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i w:val="0"/>
          <w:sz w:val="36"/>
        </w:rPr>
        <w:t>把“方法”从“结论”中解放出来</w:t>
      </w:r>
    </w:p>
    <w:p>
      <w:pPr>
        <w:spacing w:before="0" w:after="360" w:line="360" w:lineRule="auto"/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——读《共产党宣言》兼论中国式现代化的主体性自觉</w:t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课程：中国式现代化理论与实践　　指导教师：朱安东教授</w:t>
      </w:r>
    </w:p>
    <w:p>
      <w:pPr>
        <w:spacing w:before="0" w:after="400" w:line="360" w:lineRule="auto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姓名：＿＿＿＿＿　　学号：＿＿＿＿＿　　专业：＿＿＿＿＿</w:t>
      </w:r>
    </w:p>
    <w:p>
      <w:pPr>
        <w:spacing w:before="200" w:after="120" w:line="360" w:lineRule="auto"/>
        <w:jc w:val="both"/>
      </w:pPr>
      <w:r>
        <w:rPr>
          <w:rFonts w:ascii="Times New Roman" w:hAnsi="Times New Roman" w:eastAsia="黑体"/>
          <w:b/>
          <w:i w:val="0"/>
          <w:sz w:val="24"/>
        </w:rPr>
        <w:t>一、重读的起点：我带着什么问题走进这本书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我第一次读《共产党宣言》是本科二年级，那时的读法近乎粗暴：把它当成一本“结论集”，记住“两个必然”、“消灭私有制”、“全世界无产者联合起来”几个判断，考试时默写，便算读过。这一次重读，条件变了——我正在修这门关于中国式现代化的课，脑子里装的不是考点，而是一连串真实的困惑：如果说现代化有其普遍规律，那么“中国式”究竟是修饰词还是实质？如果说西方现代化已经暴露出深刻危机，那么马克思在一百七十多年前写下的诊断，对我们判断今天的处境是否仍然有效？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带着这些问题再打开这本小册子，最先击中我的反而不是那些被反复引用的名句，而是1872年德文版序言里一句极容易被跳过的话。马克思和恩格斯说，《宣言》中阐述的一般原理整个说来直到现在还是完全正确的，但“这些原理的实际运用，正如《宣言》中所说的，随时随地都要以当时的历史条件为转移”[1]。两位作者亲手为自己的文本划定了边界：正确的是原理，需要不断重估的是运用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句话构成了我整篇报告的出发点。我逐渐意识到，《宣言》的当代性并不在于它预言了多少后来被兑现的事实——虽然这方面的清单长得惊人——而在于它提供了一种看待社会历史的方法：不是从道德义愤出发谴责不义，而是从生产方式的内在矛盾出发，追问一种社会形态何以生成、何以扩张、又何以必然遭遇自身的界限。把这种方法从那些具体结论中解放出来，是我这次阅读最大的收获，也是我愿意在这篇报告里展开的核心论点。</w:t>
      </w:r>
    </w:p>
    <w:p>
      <w:pPr>
        <w:spacing w:before="200" w:after="120" w:line="360" w:lineRule="auto"/>
        <w:jc w:val="both"/>
      </w:pPr>
      <w:r>
        <w:rPr>
          <w:rFonts w:ascii="Times New Roman" w:hAnsi="Times New Roman" w:eastAsia="黑体"/>
          <w:b/>
          <w:i w:val="0"/>
          <w:sz w:val="24"/>
        </w:rPr>
        <w:t>二、作为解剖刀的历史唯物主义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读第一部分“资产者和无产者”，最容易被误读的是它的“冷”。它对资本主义的批判不是控诉，而是解剖。马克思几乎没有花笔墨描写工人的悲惨，他要做的是说明：资产阶级社会不是从外部被否定的，而是在自身的运动中被推向极限的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一点在与第三部分的对照中格外清楚。马克思对空想社会主义的评价颇为复杂——他承认圣西门、傅立叶、欧文是“伟大的思想家”，却尖锐地指出他们的根本缺陷在于“拒绝一切政治行动，特别是一切革命行动”，企图通过宣传和小型实验来感化统治阶级[2]。空想社会主义失败的认识论根源，不在于同情不够深，而在于他们没有找到变革的杠杆。而这恰恰是历史唯物主义提供的东西：它告诉人们，批判之所以有力量，不是因为批判者更善良，而是因为批判所指认的矛盾是客观存在的、并且正在被生产力的发展不断加剧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我的体会是，这种“冷”恰恰是最“热”的。真正的人道主义不是对苦难的抒情，而是找到终结苦难的现实条件。承认这一点是需要勇气的，因为它意味着希望不是许愿，而是有待证明的判断。</w:t>
      </w:r>
    </w:p>
    <w:p>
      <w:pPr>
        <w:spacing w:before="200" w:after="120" w:line="360" w:lineRule="auto"/>
        <w:jc w:val="both"/>
      </w:pPr>
      <w:r>
        <w:rPr>
          <w:rFonts w:ascii="Times New Roman" w:hAnsi="Times New Roman" w:eastAsia="黑体"/>
          <w:b/>
          <w:i w:val="0"/>
          <w:sz w:val="24"/>
        </w:rPr>
        <w:t>三、资产阶级的“革命作用”与世界市场：一个被低估的分析框架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书最令我震惊的段落，是对资产阶级历史作用的高度肯定。“资产阶级在历史上曾经起过非常革命的作用”[3]，这样的措辞在马克思主义文本中并不多见。马克思写道，资产阶级“第一个证明了，人的活动能够取得什么样的成就”，它使“一切等级的和固定的东西都烟消云散了”[4]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过去我把这一段理解为辩证法的修辞练习，这次读出了别的意味：马克思在这里做的，是拒绝一种廉价的怀旧。他并不认为前资本主义的田园牧歌值得留恋，相反，他清楚地指出资本主义把人类从封建束缚中解放出来，创造了前所未有的物质能力与社会交往形式。一个批判者能够如此公允地承认对手的历史功绩，这本身就是理论自信的表现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由此延伸出的第二点，是《宣言》对世界市场的判断。马克思说，资产阶级“由于开拓了世界市场，使一切国家的生产和消费都成为世界性的了”，“过去那种地方的和民族的自给自足和闭关自守状态，被各民族的各方面的互相往来和各方面的互相依赖所代替了”[5]。更值得玩味的是同一段中的层级描述：它“使农村从属于城市”，“使未开化和半开化的国家从属于文明的国家”[6]。请注意，这不是对全球化的礼赞，而是对全球化之等级性的揭穿——资本主义的世界扩张从来不是平等的相互依赖，而是中心与边缘的结构性支配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个框架在今天依然是锋利的。当我们讨论“逆全球化”“脱钩断链”时，通行的解释往往停留在政策博弈层面。但用《宣言》的眼光看，资本的世界性扩张不是某个国家的政策选择，而是价值增殖的内在要求——资本不能停下来，因为停下来就不成其为资本。因此，“脱钩”在资本逻辑内部是做不到的；真正可能的是改变逻辑本身。这一判断的分量，我觉得比任何时事评论都要重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不过我必须诚实地记录一个让我不安的疑问。马克思笔下的工人是“机器的单纯的附属品”，他的被剥夺感来自肉体的疲惫与贫困。而在我这一代人熟悉的算法调度、平台用工、“优化”话语里，支配的形式变得远为精致——它不再以饥饿相威胁，而以“被淘汰”的焦虑相驱动，以“自我提升”的名义要求无止境的自我剥削。马克思的分析框架是否足以解释这种转变？我倾向于认为，如果把“劳动”仅仅理解为体力支出，就会漏掉当代支配的关键；但如果说《宣言》已经不适用，我又觉得轻率。这个问题我还没有答案，愿意在研讨课上听老师和同学的看法。</w:t>
      </w:r>
    </w:p>
    <w:p>
      <w:pPr>
        <w:spacing w:before="200" w:after="120" w:line="360" w:lineRule="auto"/>
        <w:jc w:val="both"/>
      </w:pPr>
      <w:r>
        <w:rPr>
          <w:rFonts w:ascii="Times New Roman" w:hAnsi="Times New Roman" w:eastAsia="黑体"/>
          <w:b/>
          <w:i w:val="0"/>
          <w:sz w:val="24"/>
        </w:rPr>
        <w:t>四、“自由人联合体”：现代化的目的论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如果说前半部是解剖，那么第二部分结尾就是全书的落点。《宣言》设想，代替那存在着阶级和阶级对立的资产阶级旧社会的，将是“这样一个联合体，在那里，每个人的自由发展是一切人的自由发展的条件”[7]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句话我抄在笔记本上很久。它包含两个容易被忽略的结构：其一是“每个人”而非“一切人”——自由不是总量概念，不能以多数人的发展为代价换取少数人的成就；其二是“条件”二字——个人的自由发展不是联合体的附加好处，而是它得以成立的前提。换言之，一种社会形态是否优越，标准不在于它创造了多少财富，而在于它是否把人的发展当作目的而非手段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须强调，马克思绝不是浪漫主义的反现代者。他反对的从来不是生产力的发展，而是“以人为手段”的现代化。这个区分在今天讨论中国式现代化时至关重要：“以人民为中心”不是一个道德承诺，而是一个关于现代化性质的判断——它要求制度安排把人的发展置于资本增殖之上，共同富裕正是这一要求的现实化，它不是平均主义，而是防止资本逻辑把人的发展降格为增值的手段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同时我要提出一点保留意见，这也是我读这一部分时最想说的话：《宣言》对未来社会的具体制度设计着墨极少，这恰恰是它区别于空想社会主义的地方，也是它科学性的体现。但也正因为如此，任何把《宣言》当作“施工图”来逐条落实的做法，都是对它的误读。历史上一些实践所遭遇的挫折，部分原因正是认识论上的——把方法当结论，把方向当方案。对我而言，读《宣言》的正确姿势不是从中寻找政策，而是从中获得判断力。</w:t>
      </w:r>
    </w:p>
    <w:p>
      <w:pPr>
        <w:spacing w:before="200" w:after="120" w:line="360" w:lineRule="auto"/>
        <w:jc w:val="both"/>
      </w:pPr>
      <w:r>
        <w:rPr>
          <w:rFonts w:ascii="Times New Roman" w:hAnsi="Times New Roman" w:eastAsia="黑体"/>
          <w:b/>
          <w:i w:val="0"/>
          <w:sz w:val="24"/>
        </w:rPr>
        <w:t>五、从《宣言》到中国式现代化：主体性何以可能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如果只是复述《宣言》的思想要点，这篇报告就不算完成。课程要求我们在历史对比与国际比较中理解中国式现代化，我想做的，是把我上面梳理的“读法”与这一主题真正接上。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一主题最要紧的，是“主体性”三个字——现代化的道路能不能由本国人民从自身实践出发自主开辟，而不是照搬一套现成的理论模板。有研究者也指出，中国式现代化是一项植根中国大地的原创性实践，解释它只能从实践本身出发[8]。但我更想说明的是，这个“主体性自觉”其实并不需要外部理论来背书，它恰恰可以从《宣言》文本内部推导出来。1872年序言那句“原理的运用要以历史条件为转移”，本身就是一则关于主体性的方法论声明：原理是普遍的，运用却必须是具体的、历史的、本国的。把这句话读懂，就等于拿到了判断“现代化是否只有一条路”的钥匙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到历史脉络。近代以来中国对救亡富强道路的求索，从“中体西用”到“全盘西化”，从器物到制度到文化，几代人的反复试错，本质上都在回答同一个问题：现代化是否只有一条路？中国共产党的答案在方法论上是清晰的——现代化所要求的生产力发展具有普遍性，但通往现代化的道路是具体的、历史的，因而必须由本国人民在自身条件下开辟。这正是1872年序言那句话在实践层面的展开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而“打破现代化等于西方化的迷思”，在我看来不是修辞。因为《宣言》本身就揭示了：资本主义现代化从来不是普世的，它是扩张性的、等级性的，它的“普世”恰恰建立在把世界划分为中心与边缘的基础之上。中国式现代化宣示走和平发展道路、不搞扩张，在这个意义上是对马克思所揭示的那种等级性全球化的真正回应。当然，我保留一个追问：这个回应最终不能只靠意愿，必须靠制度来保证——不搞扩张如何被制度化地约束？这是我在结课时最想请教的问题。</w:t>
      </w:r>
    </w:p>
    <w:p>
      <w:pPr>
        <w:spacing w:before="200" w:after="120" w:line="360" w:lineRule="auto"/>
        <w:jc w:val="both"/>
      </w:pPr>
      <w:r>
        <w:rPr>
          <w:rFonts w:ascii="Times New Roman" w:hAnsi="Times New Roman" w:eastAsia="黑体"/>
          <w:b/>
          <w:i w:val="0"/>
          <w:sz w:val="24"/>
        </w:rPr>
        <w:t>六、几点自我批评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读经典最容易犯的错误，是把“历史条件”抽掉。1872年序言已经把武器交到我们手里，我们却常常不用——用一句引文去终结讨论，而不是开启讨论。我在本科阶段就是这样做的，这是需要批评的。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二个困惑关于“两个决不会”与革命主体性的张力。马克思在《〈政治经济学批判〉序言》中断言，无论哪一个社会形态，在它所能容纳的全部生产力发挥出来以前，是决不会灭亡的[9]。如果严格接受这一判断，那么当下的批判实践应当如何定位？我目前的倾向是把它理解为一种结构性约束而非宿命论——它限定的是变革的可能区间，而不是取消人的能动性。但这个理解是否经得起推敲，我仍在思考之中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个体会关于青年。课程强调推进中国式现代化需要凝聚青年共识、汇聚青春力量。就我的观察，今天青年之所以仍然愿意读《宣言》，往往不是因为它提供了现成答案，而是因为它坦率地承认矛盾的真实存在。在一个充斥着“优化”“内卷”“上岸”等话语的环境里，一本敢于宣布“这一切都可以被改变”的书，本身就是一种力量。这种力量不是安慰，而是一种让人重新获得历史感的清醒。</w:t>
      </w:r>
    </w:p>
    <w:p>
      <w:pPr>
        <w:spacing w:before="200" w:after="120" w:line="360" w:lineRule="auto"/>
        <w:jc w:val="both"/>
      </w:pPr>
      <w:r>
        <w:rPr>
          <w:rFonts w:ascii="Times New Roman" w:hAnsi="Times New Roman" w:eastAsia="黑体"/>
          <w:b/>
          <w:i w:val="0"/>
          <w:sz w:val="24"/>
        </w:rPr>
        <w:t>七、结语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这本书我读了三遍。第一遍读出了愤怒，第二遍读出了冷静，第三遍读出了责任。愤怒是容易的，冷静是困难的，而责任是把前两者结合起来之后才可能出现的东西。</w:t>
      </w:r>
    </w:p>
    <w:p>
      <w:pPr>
        <w:spacing w:line="360" w:lineRule="auto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《宣言》的最后一句是“全世界无产者，联合起来！”[10]。在一百七十多年后的今天，我愿意把它作一点当代的延伸来理解：联合不仅是阶级意义上的，也是文明意义上的——是不同的民族、不同的现代化道路之间平等相待、互鉴共生的联合。人类命运共同体所表达的，正是这种联合的当代形态。而要实现它，首先要求我们自己先站稳：把方法从结论中解放出来，用自己的实践去回答属于自己的问题。这既是我读《宣言》的心得，也是这门课给我最重要的教益。</w:t>
      </w:r>
    </w:p>
    <w:p>
      <w:pPr>
        <w:spacing w:before="400" w:after="200" w:line="360" w:lineRule="auto"/>
        <w:jc w:val="center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[1] 马克思、恩格斯：《共产党宣言》（1872年德文版序言），《马克思恩格斯文集》第二卷，北京：人民出版社，2009年，第5页。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[2] 马克思、恩格斯：《共产党宣言》，《马克思恩格斯文集》第二卷，北京：人民出版社，2009年，第62页。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[3] 同上，第33页。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[4] 同上，第34—35页。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[5] 同上，第35页。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[6] 同上，第36页。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[7] 同上，第53页。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[8] 朱安东：《在回答“四个之问”中构建自主知识体系》，中国社会科学网，2026年5月27日。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[9] 马克思：《〈政治经济学批判〉序言》，《马克思恩格斯文集》第二卷，北京：人民出版社，2009年，第592页。</w:t>
      </w:r>
    </w:p>
    <w:p>
      <w:pPr>
        <w:spacing w:line="300" w:lineRule="auto" w:after="60"/>
        <w:ind w:hanging="360" w:left="360"/>
        <w:jc w:val="both"/>
      </w:pPr>
      <w:r>
        <w:rPr>
          <w:rFonts w:ascii="Times New Roman" w:hAnsi="Times New Roman" w:eastAsia="宋体"/>
          <w:b w:val="0"/>
          <w:sz w:val="21"/>
        </w:rPr>
        <w:t>[10] 马克思、恩格斯：《共产党宣言》，《马克思恩格斯文集》第二卷，北京：人民出版社，2009年，第66页。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