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FEFFD" w14:textId="441E66C0" w:rsidR="00472F09" w:rsidRPr="00826331" w:rsidRDefault="00826331" w:rsidP="00472F09">
      <w:pPr>
        <w:pStyle w:val="1"/>
        <w:rPr>
          <w:rFonts w:ascii="楷体" w:eastAsia="楷体" w:hAnsi="楷体" w:hint="eastAsia"/>
          <w:color w:val="auto"/>
        </w:rPr>
      </w:pPr>
      <w:r>
        <w:rPr>
          <w:rFonts w:ascii="楷体" w:eastAsia="楷体" w:hAnsi="楷体" w:hint="eastAsia"/>
          <w:color w:val="auto"/>
        </w:rPr>
        <w:t>1.</w:t>
      </w:r>
      <w:r w:rsidR="00472F09" w:rsidRPr="00826331">
        <w:rPr>
          <w:rFonts w:ascii="楷体" w:eastAsia="楷体" w:hAnsi="楷体" w:hint="eastAsia"/>
          <w:color w:val="auto"/>
        </w:rPr>
        <w:t>基本情况</w:t>
      </w:r>
    </w:p>
    <w:p w14:paraId="40066CB7" w14:textId="77777777" w:rsidR="00472F09" w:rsidRPr="00826331" w:rsidRDefault="00472F09" w:rsidP="00472F09">
      <w:pPr>
        <w:pStyle w:val="2"/>
        <w:rPr>
          <w:rFonts w:ascii="楷体" w:eastAsia="楷体" w:hAnsi="楷体" w:hint="eastAsia"/>
          <w:color w:val="auto"/>
        </w:rPr>
      </w:pPr>
      <w:r w:rsidRPr="00826331">
        <w:rPr>
          <w:rFonts w:ascii="楷体" w:eastAsia="楷体" w:hAnsi="楷体" w:hint="eastAsia"/>
          <w:color w:val="auto"/>
        </w:rPr>
        <w:t>写完再总结</w:t>
      </w:r>
    </w:p>
    <w:p w14:paraId="51857DF9" w14:textId="05BA0DB3" w:rsidR="00472F09" w:rsidRPr="00826331" w:rsidRDefault="00826331" w:rsidP="00472F09">
      <w:pPr>
        <w:pStyle w:val="1"/>
        <w:rPr>
          <w:rFonts w:ascii="楷体" w:eastAsia="楷体" w:hAnsi="楷体" w:hint="eastAsia"/>
          <w:color w:val="auto"/>
        </w:rPr>
      </w:pPr>
      <w:r>
        <w:rPr>
          <w:rFonts w:ascii="楷体" w:eastAsia="楷体" w:hAnsi="楷体" w:hint="eastAsia"/>
          <w:color w:val="auto"/>
        </w:rPr>
        <w:t>2.</w:t>
      </w:r>
      <w:r w:rsidR="00472F09" w:rsidRPr="00826331">
        <w:rPr>
          <w:rFonts w:ascii="楷体" w:eastAsia="楷体" w:hAnsi="楷体" w:hint="eastAsia"/>
          <w:color w:val="auto"/>
        </w:rPr>
        <w:t>投资逻辑</w:t>
      </w:r>
      <w:r w:rsidR="00BD2663">
        <w:rPr>
          <w:rFonts w:ascii="楷体" w:eastAsia="楷体" w:hAnsi="楷体" w:hint="eastAsia"/>
          <w:color w:val="auto"/>
        </w:rPr>
        <w:t>（感觉得先写后面，再回过头来写整个）</w:t>
      </w:r>
    </w:p>
    <w:p w14:paraId="42186B99" w14:textId="46B00849" w:rsidR="00472F09" w:rsidRDefault="00826331" w:rsidP="00472F09">
      <w:pPr>
        <w:pStyle w:val="2"/>
        <w:rPr>
          <w:rFonts w:ascii="楷体" w:eastAsia="楷体" w:hAnsi="楷体" w:hint="eastAsia"/>
          <w:color w:val="auto"/>
        </w:rPr>
      </w:pPr>
      <w:r>
        <w:rPr>
          <w:rFonts w:ascii="楷体" w:eastAsia="楷体" w:hAnsi="楷体" w:hint="eastAsia"/>
          <w:color w:val="auto"/>
        </w:rPr>
        <w:t>2.1</w:t>
      </w:r>
      <w:r w:rsidR="001B5F26">
        <w:rPr>
          <w:rFonts w:ascii="楷体" w:eastAsia="楷体" w:hAnsi="楷体" w:hint="eastAsia"/>
          <w:color w:val="auto"/>
        </w:rPr>
        <w:t xml:space="preserve"> 格局</w:t>
      </w:r>
      <w:r w:rsidR="00EF20E3">
        <w:rPr>
          <w:rFonts w:ascii="楷体" w:eastAsia="楷体" w:hAnsi="楷体" w:hint="eastAsia"/>
          <w:color w:val="auto"/>
        </w:rPr>
        <w:t>更新</w:t>
      </w:r>
      <w:r w:rsidR="001B5F26">
        <w:rPr>
          <w:rFonts w:ascii="楷体" w:eastAsia="楷体" w:hAnsi="楷体" w:hint="eastAsia"/>
          <w:color w:val="auto"/>
        </w:rPr>
        <w:t>造成产业性质</w:t>
      </w:r>
      <w:r w:rsidR="00EF20E3">
        <w:rPr>
          <w:rFonts w:ascii="楷体" w:eastAsia="楷体" w:hAnsi="楷体" w:hint="eastAsia"/>
          <w:color w:val="auto"/>
        </w:rPr>
        <w:t>转换</w:t>
      </w:r>
    </w:p>
    <w:p w14:paraId="00337A42" w14:textId="00559BAB" w:rsidR="00E11271" w:rsidRDefault="00E11271" w:rsidP="00E11271">
      <w:pPr>
        <w:ind w:firstLineChars="200" w:firstLine="480"/>
        <w:rPr>
          <w:rFonts w:ascii="楷体" w:eastAsia="楷体" w:hAnsi="楷体" w:hint="eastAsia"/>
          <w:sz w:val="24"/>
        </w:rPr>
      </w:pPr>
      <w:r>
        <w:rPr>
          <w:rFonts w:ascii="楷体" w:eastAsia="楷体" w:hAnsi="楷体" w:hint="eastAsia"/>
          <w:sz w:val="24"/>
        </w:rPr>
        <w:t>传统通信业</w:t>
      </w:r>
      <w:r w:rsidR="003F642F">
        <w:rPr>
          <w:rFonts w:ascii="楷体" w:eastAsia="楷体" w:hAnsi="楷体" w:hint="eastAsia"/>
          <w:sz w:val="24"/>
        </w:rPr>
        <w:t>主要呈现出周期型特征</w:t>
      </w:r>
      <w:r w:rsidR="00F215BD">
        <w:rPr>
          <w:rFonts w:ascii="楷体" w:eastAsia="楷体" w:hAnsi="楷体" w:hint="eastAsia"/>
          <w:sz w:val="24"/>
        </w:rPr>
        <w:t>，在每轮周期末尾ARPU持续下降造成行业萎靡</w:t>
      </w:r>
      <w:r w:rsidR="00B06109" w:rsidRPr="00B06109">
        <w:rPr>
          <w:rFonts w:ascii="楷体" w:eastAsia="楷体" w:hAnsi="楷体" w:hint="eastAsia"/>
          <w:sz w:val="24"/>
        </w:rPr>
        <w:t>，产业矛盾的管道化，无法捕获数据价值</w:t>
      </w:r>
      <w:r w:rsidR="00F215BD">
        <w:rPr>
          <w:rFonts w:ascii="楷体" w:eastAsia="楷体" w:hAnsi="楷体" w:hint="eastAsia"/>
          <w:sz w:val="24"/>
        </w:rPr>
        <w:t>，</w:t>
      </w:r>
      <w:r w:rsidR="000E4FFC">
        <w:rPr>
          <w:rFonts w:ascii="楷体" w:eastAsia="楷体" w:hAnsi="楷体" w:hint="eastAsia"/>
          <w:sz w:val="24"/>
        </w:rPr>
        <w:t>也无法提供可观盈利</w:t>
      </w:r>
    </w:p>
    <w:p w14:paraId="5856D8D4" w14:textId="16AD3906" w:rsidR="008F0E2F" w:rsidRDefault="00147452" w:rsidP="00147452">
      <w:pPr>
        <w:rPr>
          <w:rFonts w:ascii="楷体" w:eastAsia="楷体" w:hAnsi="楷体" w:hint="eastAsia"/>
          <w:sz w:val="24"/>
        </w:rPr>
      </w:pPr>
      <w:r>
        <w:rPr>
          <w:noProof/>
        </w:rPr>
        <w:drawing>
          <wp:inline distT="0" distB="0" distL="0" distR="0" wp14:anchorId="0E714F55" wp14:editId="7717EE6A">
            <wp:extent cx="5274310" cy="1957070"/>
            <wp:effectExtent l="0" t="0" r="2540" b="5080"/>
            <wp:docPr id="83804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4240" name=""/>
                    <pic:cNvPicPr/>
                  </pic:nvPicPr>
                  <pic:blipFill>
                    <a:blip r:embed="rId7"/>
                    <a:stretch>
                      <a:fillRect/>
                    </a:stretch>
                  </pic:blipFill>
                  <pic:spPr>
                    <a:xfrm>
                      <a:off x="0" y="0"/>
                      <a:ext cx="5274310" cy="1957070"/>
                    </a:xfrm>
                    <a:prstGeom prst="rect">
                      <a:avLst/>
                    </a:prstGeom>
                  </pic:spPr>
                </pic:pic>
              </a:graphicData>
            </a:graphic>
          </wp:inline>
        </w:drawing>
      </w:r>
    </w:p>
    <w:p w14:paraId="3BC7B566" w14:textId="608F4A56" w:rsidR="00F803F3" w:rsidRDefault="00F803F3" w:rsidP="00147452">
      <w:pPr>
        <w:rPr>
          <w:rFonts w:ascii="楷体" w:eastAsia="楷体" w:hAnsi="楷体" w:hint="eastAsia"/>
          <w:sz w:val="24"/>
        </w:rPr>
      </w:pPr>
      <w:r>
        <w:rPr>
          <w:rFonts w:ascii="楷体" w:eastAsia="楷体" w:hAnsi="楷体" w:hint="eastAsia"/>
          <w:sz w:val="24"/>
        </w:rPr>
        <w:t>AI时代改变了传统通信格局</w:t>
      </w:r>
      <w:r w:rsidR="00A1702A">
        <w:rPr>
          <w:rFonts w:ascii="楷体" w:eastAsia="楷体" w:hAnsi="楷体" w:hint="eastAsia"/>
          <w:sz w:val="24"/>
        </w:rPr>
        <w:t>，行业重点实现了从</w:t>
      </w:r>
      <w:r w:rsidR="001A6C9B">
        <w:rPr>
          <w:rFonts w:ascii="楷体" w:eastAsia="楷体" w:hAnsi="楷体" w:hint="eastAsia"/>
          <w:sz w:val="24"/>
        </w:rPr>
        <w:t>telecom到datacom的转变。AI</w:t>
      </w:r>
      <w:r>
        <w:rPr>
          <w:rFonts w:ascii="楷体" w:eastAsia="楷体" w:hAnsi="楷体" w:hint="eastAsia"/>
          <w:sz w:val="24"/>
        </w:rPr>
        <w:t>以更快的发展速度，技术渗透速度和更大，更持续的资本开支更改了整个行业的底层逻辑和</w:t>
      </w:r>
      <w:r w:rsidR="00A1702A">
        <w:rPr>
          <w:rFonts w:ascii="楷体" w:eastAsia="楷体" w:hAnsi="楷体" w:hint="eastAsia"/>
          <w:sz w:val="24"/>
        </w:rPr>
        <w:t>产业性质。使</w:t>
      </w:r>
      <w:r w:rsidR="001A6C9B">
        <w:rPr>
          <w:rFonts w:ascii="楷体" w:eastAsia="楷体" w:hAnsi="楷体" w:hint="eastAsia"/>
          <w:sz w:val="24"/>
        </w:rPr>
        <w:t>通信产业</w:t>
      </w:r>
      <w:r w:rsidR="00A1702A">
        <w:rPr>
          <w:rFonts w:ascii="楷体" w:eastAsia="楷体" w:hAnsi="楷体" w:hint="eastAsia"/>
          <w:sz w:val="24"/>
        </w:rPr>
        <w:t>具备了</w:t>
      </w:r>
      <w:r w:rsidR="001A6C9B">
        <w:rPr>
          <w:rFonts w:ascii="楷体" w:eastAsia="楷体" w:hAnsi="楷体" w:hint="eastAsia"/>
          <w:sz w:val="24"/>
        </w:rPr>
        <w:t>极高的</w:t>
      </w:r>
      <w:r w:rsidR="00A1702A">
        <w:rPr>
          <w:rFonts w:ascii="楷体" w:eastAsia="楷体" w:hAnsi="楷体" w:hint="eastAsia"/>
          <w:sz w:val="24"/>
        </w:rPr>
        <w:t>可投资性</w:t>
      </w:r>
    </w:p>
    <w:p w14:paraId="3DE4AB71" w14:textId="27391EFA" w:rsidR="00472F09" w:rsidRDefault="00826331" w:rsidP="00472F09">
      <w:pPr>
        <w:pStyle w:val="2"/>
        <w:rPr>
          <w:rFonts w:ascii="楷体" w:eastAsia="楷体" w:hAnsi="楷体" w:hint="eastAsia"/>
          <w:color w:val="auto"/>
        </w:rPr>
      </w:pPr>
      <w:r>
        <w:rPr>
          <w:rFonts w:ascii="楷体" w:eastAsia="楷体" w:hAnsi="楷体" w:hint="eastAsia"/>
          <w:color w:val="auto"/>
        </w:rPr>
        <w:lastRenderedPageBreak/>
        <w:t>2.2</w:t>
      </w:r>
      <w:r w:rsidR="005173CE">
        <w:rPr>
          <w:rFonts w:ascii="楷体" w:eastAsia="楷体" w:hAnsi="楷体" w:hint="eastAsia"/>
          <w:color w:val="auto"/>
        </w:rPr>
        <w:t xml:space="preserve"> </w:t>
      </w:r>
      <w:r w:rsidR="00EF20E3">
        <w:rPr>
          <w:rFonts w:ascii="楷体" w:eastAsia="楷体" w:hAnsi="楷体" w:hint="eastAsia"/>
          <w:color w:val="auto"/>
        </w:rPr>
        <w:t>供需同时爆发</w:t>
      </w:r>
      <w:r w:rsidR="000B52A9">
        <w:rPr>
          <w:rFonts w:ascii="楷体" w:eastAsia="楷体" w:hAnsi="楷体" w:hint="eastAsia"/>
          <w:color w:val="auto"/>
        </w:rPr>
        <w:t>，</w:t>
      </w:r>
      <w:r w:rsidR="001D375D">
        <w:rPr>
          <w:rFonts w:ascii="楷体" w:eastAsia="楷体" w:hAnsi="楷体" w:hint="eastAsia"/>
          <w:color w:val="auto"/>
        </w:rPr>
        <w:t>中期上具有确定性。</w:t>
      </w:r>
    </w:p>
    <w:p w14:paraId="6815CDE3" w14:textId="3F6E6725" w:rsidR="00EF20E3" w:rsidRDefault="00EF20E3" w:rsidP="00EF20E3">
      <w:pPr>
        <w:pStyle w:val="2"/>
        <w:rPr>
          <w:rFonts w:hint="eastAsia"/>
        </w:rPr>
      </w:pPr>
      <w:r>
        <w:rPr>
          <w:rFonts w:hint="eastAsia"/>
        </w:rPr>
        <w:t>2.3</w:t>
      </w:r>
      <w:r w:rsidR="001D375D">
        <w:rPr>
          <w:rFonts w:hint="eastAsia"/>
        </w:rPr>
        <w:t xml:space="preserve"> 技术迭代</w:t>
      </w:r>
      <w:r w:rsidR="0062479A">
        <w:rPr>
          <w:rFonts w:hint="eastAsia"/>
        </w:rPr>
        <w:t>，市场渗透双重加速</w:t>
      </w:r>
    </w:p>
    <w:p w14:paraId="51C68B20" w14:textId="7E46918F" w:rsidR="0062479A" w:rsidRDefault="0062479A" w:rsidP="00CB02E5">
      <w:pPr>
        <w:pStyle w:val="2"/>
        <w:rPr>
          <w:rFonts w:hint="eastAsia"/>
        </w:rPr>
      </w:pPr>
      <w:r>
        <w:rPr>
          <w:rFonts w:hint="eastAsia"/>
        </w:rPr>
        <w:t xml:space="preserve">2.4 </w:t>
      </w:r>
      <w:r w:rsidR="00CB02E5">
        <w:rPr>
          <w:rFonts w:hint="eastAsia"/>
        </w:rPr>
        <w:t>龙头效应</w:t>
      </w:r>
    </w:p>
    <w:p w14:paraId="7F2FA691" w14:textId="7FE60FC3" w:rsidR="00CB02E5" w:rsidRPr="00CB02E5" w:rsidRDefault="00CB02E5" w:rsidP="00CB02E5">
      <w:pPr>
        <w:pStyle w:val="2"/>
        <w:rPr>
          <w:rFonts w:hint="eastAsia"/>
        </w:rPr>
      </w:pPr>
      <w:r>
        <w:rPr>
          <w:rFonts w:hint="eastAsia"/>
        </w:rPr>
        <w:t>2.5 新时代的大基建，算电一体的全国格局</w:t>
      </w:r>
    </w:p>
    <w:p w14:paraId="0891E63F" w14:textId="6E4FDA9A" w:rsidR="00472F09" w:rsidRDefault="00826331" w:rsidP="00472F09">
      <w:pPr>
        <w:pStyle w:val="3"/>
        <w:rPr>
          <w:rFonts w:ascii="楷体" w:eastAsia="楷体" w:hAnsi="楷体" w:hint="eastAsia"/>
          <w:color w:val="auto"/>
        </w:rPr>
      </w:pPr>
      <w:r>
        <w:rPr>
          <w:rFonts w:ascii="楷体" w:eastAsia="楷体" w:hAnsi="楷体" w:hint="eastAsia"/>
          <w:color w:val="auto"/>
        </w:rPr>
        <w:t xml:space="preserve">2.2.1 </w:t>
      </w:r>
      <w:r w:rsidR="00F13561">
        <w:rPr>
          <w:rFonts w:ascii="楷体" w:eastAsia="楷体" w:hAnsi="楷体" w:hint="eastAsia"/>
          <w:color w:val="auto"/>
        </w:rPr>
        <w:t>AI改变了市场供需格局</w:t>
      </w:r>
    </w:p>
    <w:p w14:paraId="603AAA58" w14:textId="7BA5528C" w:rsidR="00472F09" w:rsidRDefault="00826331" w:rsidP="00472F09">
      <w:pPr>
        <w:pStyle w:val="3"/>
        <w:rPr>
          <w:rFonts w:ascii="楷体" w:eastAsia="楷体" w:hAnsi="楷体" w:hint="eastAsia"/>
          <w:color w:val="auto"/>
        </w:rPr>
      </w:pPr>
      <w:r>
        <w:rPr>
          <w:rFonts w:ascii="楷体" w:eastAsia="楷体" w:hAnsi="楷体" w:hint="eastAsia"/>
          <w:color w:val="auto"/>
        </w:rPr>
        <w:t xml:space="preserve">2.2.2 </w:t>
      </w:r>
      <w:r w:rsidR="00472F09" w:rsidRPr="00826331">
        <w:rPr>
          <w:rFonts w:ascii="楷体" w:eastAsia="楷体" w:hAnsi="楷体" w:hint="eastAsia"/>
          <w:color w:val="auto"/>
        </w:rPr>
        <w:t>国家政策的支持（可以直接用模块的部分）</w:t>
      </w:r>
    </w:p>
    <w:p w14:paraId="116EE5B7" w14:textId="5D44090A" w:rsidR="00611A5D" w:rsidRPr="00AD039D" w:rsidRDefault="00611A5D" w:rsidP="00611A5D">
      <w:pPr>
        <w:jc w:val="center"/>
        <w:rPr>
          <w:rFonts w:ascii="楷体" w:eastAsia="楷体" w:hAnsi="楷体" w:hint="eastAsia"/>
          <w:sz w:val="24"/>
          <w:szCs w:val="28"/>
        </w:rPr>
      </w:pPr>
      <w:r w:rsidRPr="00AD039D">
        <w:rPr>
          <w:rFonts w:ascii="楷体" w:eastAsia="楷体" w:hAnsi="楷体" w:hint="eastAsia"/>
          <w:sz w:val="24"/>
          <w:szCs w:val="28"/>
        </w:rPr>
        <w:t>表：国家级算力政策</w:t>
      </w:r>
    </w:p>
    <w:p w14:paraId="3D52F634" w14:textId="16D91E33" w:rsidR="005066EE" w:rsidRPr="00AD039D" w:rsidRDefault="002B7E11" w:rsidP="005066EE">
      <w:pPr>
        <w:rPr>
          <w:rFonts w:ascii="楷体" w:eastAsia="楷体" w:hAnsi="楷体" w:hint="eastAsia"/>
          <w:sz w:val="24"/>
          <w:szCs w:val="28"/>
        </w:rPr>
      </w:pPr>
      <w:r w:rsidRPr="00AD039D">
        <w:rPr>
          <w:rFonts w:ascii="楷体" w:eastAsia="楷体" w:hAnsi="楷体"/>
          <w:noProof/>
          <w:sz w:val="24"/>
          <w:szCs w:val="28"/>
        </w:rPr>
        <w:drawing>
          <wp:inline distT="0" distB="0" distL="0" distR="0" wp14:anchorId="22684DE4" wp14:editId="24254749">
            <wp:extent cx="5274310" cy="2637155"/>
            <wp:effectExtent l="0" t="0" r="2540" b="0"/>
            <wp:docPr id="1706931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31766" name=""/>
                    <pic:cNvPicPr/>
                  </pic:nvPicPr>
                  <pic:blipFill>
                    <a:blip r:embed="rId8"/>
                    <a:stretch>
                      <a:fillRect/>
                    </a:stretch>
                  </pic:blipFill>
                  <pic:spPr>
                    <a:xfrm>
                      <a:off x="0" y="0"/>
                      <a:ext cx="5274310" cy="2637155"/>
                    </a:xfrm>
                    <a:prstGeom prst="rect">
                      <a:avLst/>
                    </a:prstGeom>
                  </pic:spPr>
                </pic:pic>
              </a:graphicData>
            </a:graphic>
          </wp:inline>
        </w:drawing>
      </w:r>
    </w:p>
    <w:p w14:paraId="3E9542DE" w14:textId="6BDDD76A" w:rsidR="00611A5D" w:rsidRPr="00AD039D" w:rsidRDefault="00611A5D" w:rsidP="00611A5D">
      <w:pPr>
        <w:jc w:val="center"/>
        <w:rPr>
          <w:rFonts w:ascii="楷体" w:eastAsia="楷体" w:hAnsi="楷体" w:hint="eastAsia"/>
          <w:sz w:val="24"/>
          <w:szCs w:val="28"/>
        </w:rPr>
      </w:pPr>
      <w:r w:rsidRPr="00AD039D">
        <w:rPr>
          <w:rFonts w:ascii="楷体" w:eastAsia="楷体" w:hAnsi="楷体" w:hint="eastAsia"/>
          <w:sz w:val="24"/>
          <w:szCs w:val="28"/>
        </w:rPr>
        <w:t>表：地方级算力政策</w:t>
      </w:r>
    </w:p>
    <w:p w14:paraId="5A483DA5" w14:textId="29EAB5A6" w:rsidR="002B7E11" w:rsidRDefault="002B7E11" w:rsidP="005066EE">
      <w:pPr>
        <w:rPr>
          <w:rFonts w:hint="eastAsia"/>
        </w:rPr>
      </w:pPr>
      <w:r>
        <w:rPr>
          <w:noProof/>
        </w:rPr>
        <w:lastRenderedPageBreak/>
        <w:drawing>
          <wp:inline distT="0" distB="0" distL="0" distR="0" wp14:anchorId="2C476D95" wp14:editId="52253BAA">
            <wp:extent cx="5274310" cy="4135755"/>
            <wp:effectExtent l="0" t="0" r="2540" b="0"/>
            <wp:docPr id="222816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16130" name=""/>
                    <pic:cNvPicPr/>
                  </pic:nvPicPr>
                  <pic:blipFill>
                    <a:blip r:embed="rId9"/>
                    <a:stretch>
                      <a:fillRect/>
                    </a:stretch>
                  </pic:blipFill>
                  <pic:spPr>
                    <a:xfrm>
                      <a:off x="0" y="0"/>
                      <a:ext cx="5274310" cy="4135755"/>
                    </a:xfrm>
                    <a:prstGeom prst="rect">
                      <a:avLst/>
                    </a:prstGeom>
                  </pic:spPr>
                </pic:pic>
              </a:graphicData>
            </a:graphic>
          </wp:inline>
        </w:drawing>
      </w:r>
    </w:p>
    <w:p w14:paraId="117AD4F0" w14:textId="719DA239" w:rsidR="002B7E11" w:rsidRPr="00776B4D" w:rsidRDefault="002B7E11" w:rsidP="002B7E11">
      <w:pPr>
        <w:ind w:firstLineChars="200" w:firstLine="320"/>
        <w:rPr>
          <w:rFonts w:ascii="楷体" w:eastAsia="楷体" w:hAnsi="楷体" w:hint="eastAsia"/>
          <w:sz w:val="16"/>
          <w:szCs w:val="16"/>
        </w:rPr>
      </w:pPr>
      <w:r w:rsidRPr="00776B4D">
        <w:rPr>
          <w:rFonts w:ascii="楷体" w:eastAsia="楷体" w:hAnsi="楷体" w:hint="eastAsia"/>
          <w:sz w:val="16"/>
          <w:szCs w:val="16"/>
        </w:rPr>
        <w:t>数据来源：</w:t>
      </w:r>
      <w:r>
        <w:rPr>
          <w:rFonts w:ascii="楷体" w:eastAsia="楷体" w:hAnsi="楷体" w:hint="eastAsia"/>
          <w:sz w:val="16"/>
          <w:szCs w:val="16"/>
        </w:rPr>
        <w:t>银河证券</w:t>
      </w:r>
      <w:r w:rsidRPr="00776B4D">
        <w:rPr>
          <w:rFonts w:ascii="楷体" w:eastAsia="楷体" w:hAnsi="楷体"/>
          <w:sz w:val="16"/>
          <w:szCs w:val="16"/>
        </w:rPr>
        <w:t xml:space="preserve"> </w:t>
      </w:r>
    </w:p>
    <w:p w14:paraId="3D7CB83A" w14:textId="51C06FE7" w:rsidR="005234B2" w:rsidRPr="005234B2" w:rsidRDefault="005234B2" w:rsidP="005234B2">
      <w:pPr>
        <w:rPr>
          <w:rFonts w:ascii="楷体" w:eastAsia="楷体" w:hAnsi="楷体" w:hint="eastAsia"/>
          <w:sz w:val="24"/>
        </w:rPr>
      </w:pPr>
      <w:r w:rsidRPr="005234B2">
        <w:rPr>
          <w:rFonts w:ascii="楷体" w:eastAsia="楷体" w:hAnsi="楷体" w:hint="eastAsia"/>
          <w:sz w:val="24"/>
        </w:rPr>
        <w:t>AI基础设施已被提升到国家战略层面。华西证券年度策略指出，国务院2025年7-8月连续发布AI相关文件，从顶层设计到产业落地的政策框架已基本成型（华西证券-2026年通信策略）。</w:t>
      </w:r>
    </w:p>
    <w:p w14:paraId="44FBD092" w14:textId="707480DC" w:rsidR="005234B2" w:rsidRPr="005234B2" w:rsidRDefault="005234B2" w:rsidP="005234B2">
      <w:pPr>
        <w:rPr>
          <w:rFonts w:ascii="楷体" w:eastAsia="楷体" w:hAnsi="楷体" w:hint="eastAsia"/>
          <w:sz w:val="24"/>
        </w:rPr>
      </w:pPr>
      <w:r w:rsidRPr="005234B2">
        <w:rPr>
          <w:rFonts w:ascii="楷体" w:eastAsia="楷体" w:hAnsi="楷体" w:hint="eastAsia"/>
          <w:sz w:val="24"/>
        </w:rPr>
        <w:t>政策层面的核心逻辑是：算力基础设施类似于高铁、电网，是数字经济时代的新型"基建"。中国正在通过"东数西算"工程和算力枢纽节点建设，系统性地布局智算中心网络。</w:t>
      </w:r>
    </w:p>
    <w:p w14:paraId="515BFFD0" w14:textId="16E9C8D8" w:rsidR="00FA0F5D" w:rsidRPr="005234B2" w:rsidRDefault="005234B2" w:rsidP="005234B2">
      <w:pPr>
        <w:rPr>
          <w:rFonts w:ascii="楷体" w:eastAsia="楷体" w:hAnsi="楷体" w:hint="eastAsia"/>
          <w:sz w:val="24"/>
        </w:rPr>
      </w:pPr>
      <w:r w:rsidRPr="005234B2">
        <w:rPr>
          <w:rFonts w:ascii="楷体" w:eastAsia="楷体" w:hAnsi="楷体" w:hint="eastAsia"/>
          <w:sz w:val="24"/>
        </w:rPr>
        <w:t>这带来的直接利好是：政策驱动的算力建设需求独立于市场化Capex周期，提供了一个额外的需求安全垫。即使海外云商Capex短期波动，国内政策驱动的算力建设仍在持续推进</w:t>
      </w:r>
      <w:r>
        <w:rPr>
          <w:rFonts w:ascii="楷体" w:eastAsia="楷体" w:hAnsi="楷体" w:hint="eastAsia"/>
          <w:sz w:val="24"/>
        </w:rPr>
        <w:t>，从而形成从产业界到国家基建层面的双轮驱动</w:t>
      </w:r>
      <w:r w:rsidRPr="005234B2">
        <w:rPr>
          <w:rFonts w:ascii="楷体" w:eastAsia="楷体" w:hAnsi="楷体" w:hint="eastAsia"/>
          <w:sz w:val="24"/>
        </w:rPr>
        <w:t>。</w:t>
      </w:r>
    </w:p>
    <w:p w14:paraId="45A5D94B" w14:textId="183E4CF5" w:rsidR="00472F09" w:rsidRPr="00826331" w:rsidRDefault="00826331" w:rsidP="00472F09">
      <w:pPr>
        <w:pStyle w:val="3"/>
        <w:rPr>
          <w:rFonts w:ascii="楷体" w:eastAsia="楷体" w:hAnsi="楷体" w:hint="eastAsia"/>
          <w:color w:val="auto"/>
        </w:rPr>
      </w:pPr>
      <w:r>
        <w:rPr>
          <w:rFonts w:ascii="楷体" w:eastAsia="楷体" w:hAnsi="楷体" w:hint="eastAsia"/>
          <w:color w:val="auto"/>
        </w:rPr>
        <w:lastRenderedPageBreak/>
        <w:t xml:space="preserve">2.2.3 </w:t>
      </w:r>
      <w:r w:rsidR="00472F09" w:rsidRPr="00826331">
        <w:rPr>
          <w:rFonts w:ascii="楷体" w:eastAsia="楷体" w:hAnsi="楷体" w:hint="eastAsia"/>
          <w:color w:val="auto"/>
        </w:rPr>
        <w:t>Token的消耗量级巨大（这里暂时不做测算</w:t>
      </w:r>
      <w:r w:rsidR="00FC3E5C">
        <w:rPr>
          <w:rFonts w:ascii="楷体" w:eastAsia="楷体" w:hAnsi="楷体" w:hint="eastAsia"/>
          <w:color w:val="auto"/>
        </w:rPr>
        <w:t>，只说token的事儿</w:t>
      </w:r>
    </w:p>
    <w:p w14:paraId="068DFE99" w14:textId="69B421F6" w:rsidR="00472F09" w:rsidRPr="00826331" w:rsidRDefault="00826331" w:rsidP="00472F09">
      <w:pPr>
        <w:pStyle w:val="3"/>
        <w:rPr>
          <w:rFonts w:ascii="楷体" w:eastAsia="楷体" w:hAnsi="楷体" w:hint="eastAsia"/>
          <w:color w:val="auto"/>
        </w:rPr>
      </w:pPr>
      <w:r>
        <w:rPr>
          <w:rFonts w:ascii="楷体" w:eastAsia="楷体" w:hAnsi="楷体" w:hint="eastAsia"/>
          <w:color w:val="auto"/>
        </w:rPr>
        <w:t xml:space="preserve">2.2.4 </w:t>
      </w:r>
      <w:r w:rsidR="00472F09" w:rsidRPr="00826331">
        <w:rPr>
          <w:rFonts w:ascii="楷体" w:eastAsia="楷体" w:hAnsi="楷体" w:hint="eastAsia"/>
          <w:color w:val="auto"/>
        </w:rPr>
        <w:t>光模块角色的转变（从telecom 到 datacom</w:t>
      </w:r>
    </w:p>
    <w:p w14:paraId="106CD9B9" w14:textId="39CF887E" w:rsidR="00472F09" w:rsidRPr="00826331" w:rsidRDefault="00826331" w:rsidP="00472F09">
      <w:pPr>
        <w:pStyle w:val="3"/>
        <w:rPr>
          <w:rFonts w:ascii="楷体" w:eastAsia="楷体" w:hAnsi="楷体" w:hint="eastAsia"/>
          <w:color w:val="auto"/>
        </w:rPr>
      </w:pPr>
      <w:r>
        <w:rPr>
          <w:rFonts w:ascii="楷体" w:eastAsia="楷体" w:hAnsi="楷体" w:hint="eastAsia"/>
          <w:color w:val="auto"/>
        </w:rPr>
        <w:t xml:space="preserve">2.2.5 </w:t>
      </w:r>
      <w:r w:rsidR="00472F09" w:rsidRPr="00826331">
        <w:rPr>
          <w:rFonts w:ascii="楷体" w:eastAsia="楷体" w:hAnsi="楷体" w:hint="eastAsia"/>
          <w:color w:val="auto"/>
        </w:rPr>
        <w:t>AI热潮的持续（短期内不会结束</w:t>
      </w:r>
    </w:p>
    <w:p w14:paraId="3AE95324" w14:textId="23745062" w:rsidR="00472F09" w:rsidRPr="00826331" w:rsidRDefault="00826331" w:rsidP="00472F09">
      <w:pPr>
        <w:pStyle w:val="2"/>
        <w:rPr>
          <w:rFonts w:ascii="楷体" w:eastAsia="楷体" w:hAnsi="楷体" w:hint="eastAsia"/>
          <w:color w:val="auto"/>
        </w:rPr>
      </w:pPr>
      <w:r>
        <w:rPr>
          <w:rFonts w:ascii="楷体" w:eastAsia="楷体" w:hAnsi="楷体" w:hint="eastAsia"/>
          <w:color w:val="auto"/>
        </w:rPr>
        <w:t xml:space="preserve">2.3 </w:t>
      </w:r>
      <w:r w:rsidR="00472F09" w:rsidRPr="00826331">
        <w:rPr>
          <w:rFonts w:ascii="楷体" w:eastAsia="楷体" w:hAnsi="楷体" w:hint="eastAsia"/>
          <w:color w:val="auto"/>
        </w:rPr>
        <w:t>传统通信产业的稳态和嬗变</w:t>
      </w:r>
    </w:p>
    <w:p w14:paraId="24276A1D" w14:textId="35152E9D" w:rsidR="00472F09" w:rsidRPr="00826331" w:rsidRDefault="00826331" w:rsidP="00472F09">
      <w:pPr>
        <w:pStyle w:val="3"/>
        <w:rPr>
          <w:rFonts w:ascii="楷体" w:eastAsia="楷体" w:hAnsi="楷体" w:hint="eastAsia"/>
          <w:color w:val="auto"/>
        </w:rPr>
      </w:pPr>
      <w:r>
        <w:rPr>
          <w:rFonts w:ascii="楷体" w:eastAsia="楷体" w:hAnsi="楷体" w:hint="eastAsia"/>
          <w:color w:val="auto"/>
        </w:rPr>
        <w:t xml:space="preserve">2.3.1 </w:t>
      </w:r>
      <w:r w:rsidR="00472F09" w:rsidRPr="00826331">
        <w:rPr>
          <w:rFonts w:ascii="楷体" w:eastAsia="楷体" w:hAnsi="楷体" w:hint="eastAsia"/>
          <w:color w:val="auto"/>
        </w:rPr>
        <w:t>运营商的角色转变</w:t>
      </w:r>
    </w:p>
    <w:p w14:paraId="171EB2CE" w14:textId="1F81CB17" w:rsidR="00472F09" w:rsidRPr="00826331" w:rsidRDefault="00826331" w:rsidP="00472F09">
      <w:pPr>
        <w:pStyle w:val="3"/>
        <w:rPr>
          <w:rFonts w:ascii="楷体" w:eastAsia="楷体" w:hAnsi="楷体" w:hint="eastAsia"/>
          <w:color w:val="auto"/>
        </w:rPr>
      </w:pPr>
      <w:r>
        <w:rPr>
          <w:rFonts w:ascii="楷体" w:eastAsia="楷体" w:hAnsi="楷体" w:hint="eastAsia"/>
          <w:color w:val="auto"/>
        </w:rPr>
        <w:t xml:space="preserve">2.3.2 </w:t>
      </w:r>
      <w:r w:rsidR="00472F09" w:rsidRPr="00826331">
        <w:rPr>
          <w:rFonts w:ascii="楷体" w:eastAsia="楷体" w:hAnsi="楷体" w:hint="eastAsia"/>
          <w:color w:val="auto"/>
        </w:rPr>
        <w:t>服务器，光纤等的服务对象转变</w:t>
      </w:r>
    </w:p>
    <w:p w14:paraId="0FBE3B44" w14:textId="74930376" w:rsidR="00472F09" w:rsidRPr="00826331" w:rsidRDefault="00826331" w:rsidP="00472F09">
      <w:pPr>
        <w:pStyle w:val="2"/>
        <w:rPr>
          <w:rFonts w:ascii="楷体" w:eastAsia="楷体" w:hAnsi="楷体" w:hint="eastAsia"/>
          <w:color w:val="auto"/>
        </w:rPr>
      </w:pPr>
      <w:r>
        <w:rPr>
          <w:rFonts w:ascii="楷体" w:eastAsia="楷体" w:hAnsi="楷体" w:hint="eastAsia"/>
          <w:color w:val="auto"/>
        </w:rPr>
        <w:t xml:space="preserve">2.4 </w:t>
      </w:r>
      <w:r w:rsidR="00472F09" w:rsidRPr="00826331">
        <w:rPr>
          <w:rFonts w:ascii="楷体" w:eastAsia="楷体" w:hAnsi="楷体" w:hint="eastAsia"/>
          <w:color w:val="auto"/>
        </w:rPr>
        <w:t>主题期权：5G-A/6G+星间通信（占投资逻辑部分10%-20%） 下一代通信的孕育</w:t>
      </w:r>
    </w:p>
    <w:p w14:paraId="0FF45C8C" w14:textId="77777777" w:rsidR="00472F09" w:rsidRPr="00826331" w:rsidRDefault="00472F09" w:rsidP="00472F09">
      <w:pPr>
        <w:rPr>
          <w:rFonts w:ascii="楷体" w:eastAsia="楷体" w:hAnsi="楷体" w:hint="eastAsia"/>
        </w:rPr>
      </w:pPr>
    </w:p>
    <w:p w14:paraId="2C8F2D38" w14:textId="6DCBE852" w:rsidR="00472F09" w:rsidRDefault="004E6458" w:rsidP="00472F09">
      <w:pPr>
        <w:pStyle w:val="1"/>
        <w:rPr>
          <w:rFonts w:ascii="楷体" w:eastAsia="楷体" w:hAnsi="楷体" w:hint="eastAsia"/>
          <w:color w:val="auto"/>
        </w:rPr>
      </w:pPr>
      <w:r>
        <w:rPr>
          <w:rFonts w:ascii="楷体" w:eastAsia="楷体" w:hAnsi="楷体" w:hint="eastAsia"/>
          <w:color w:val="auto"/>
        </w:rPr>
        <w:t xml:space="preserve">3. </w:t>
      </w:r>
      <w:r w:rsidR="00CC7144">
        <w:rPr>
          <w:rFonts w:ascii="楷体" w:eastAsia="楷体" w:hAnsi="楷体" w:hint="eastAsia"/>
          <w:color w:val="auto"/>
        </w:rPr>
        <w:t>产业趋势</w:t>
      </w:r>
    </w:p>
    <w:p w14:paraId="72AB65C2" w14:textId="781937E1" w:rsidR="00CC7144" w:rsidRDefault="00CC7144" w:rsidP="00CC7144">
      <w:pPr>
        <w:rPr>
          <w:rFonts w:hint="eastAsia"/>
        </w:rPr>
      </w:pPr>
      <w:r>
        <w:rPr>
          <w:rFonts w:hint="eastAsia"/>
        </w:rPr>
        <w:t>模糊正确，产业趋势，行业节奏</w:t>
      </w:r>
    </w:p>
    <w:p w14:paraId="7143A8DE" w14:textId="6DB49C8E" w:rsidR="00BF5647" w:rsidRDefault="00BF5647" w:rsidP="00CC7144">
      <w:pPr>
        <w:rPr>
          <w:rFonts w:hint="eastAsia"/>
        </w:rPr>
      </w:pPr>
      <w:r>
        <w:rPr>
          <w:rFonts w:hint="eastAsia"/>
        </w:rPr>
        <w:t>一些核心参考：华泰251230</w:t>
      </w:r>
    </w:p>
    <w:p w14:paraId="5C02A193" w14:textId="5761410D" w:rsidR="00CC7144" w:rsidRDefault="00BD7180" w:rsidP="00E46BE0">
      <w:pPr>
        <w:pStyle w:val="2"/>
        <w:rPr>
          <w:rFonts w:hint="eastAsia"/>
        </w:rPr>
      </w:pPr>
      <w:r>
        <w:rPr>
          <w:rFonts w:hint="eastAsia"/>
        </w:rPr>
        <w:t>3.</w:t>
      </w:r>
      <w:r w:rsidR="00E52BFD">
        <w:rPr>
          <w:rFonts w:hint="eastAsia"/>
        </w:rPr>
        <w:t>1.</w:t>
      </w:r>
      <w:r w:rsidR="00D17872">
        <w:rPr>
          <w:rFonts w:hint="eastAsia"/>
        </w:rPr>
        <w:t>总结：</w:t>
      </w:r>
      <w:r w:rsidR="00CC7144">
        <w:rPr>
          <w:rFonts w:hint="eastAsia"/>
        </w:rPr>
        <w:t>从大的方向上说</w:t>
      </w:r>
      <w:r w:rsidR="00365681">
        <w:rPr>
          <w:rFonts w:hint="eastAsia"/>
        </w:rPr>
        <w:t>：新的部分锐意进取，老的部分稳重有进，整体上未来可期。</w:t>
      </w:r>
    </w:p>
    <w:p w14:paraId="058D7F99" w14:textId="721E3AF6" w:rsidR="00DF583E" w:rsidRDefault="00AF38C0" w:rsidP="00DF583E">
      <w:pPr>
        <w:rPr>
          <w:rFonts w:hint="eastAsia"/>
          <w:b/>
          <w:bCs/>
          <w:color w:val="EE0000"/>
        </w:rPr>
      </w:pPr>
      <w:r w:rsidRPr="00AF38C0">
        <w:rPr>
          <w:rFonts w:hint="eastAsia"/>
        </w:rPr>
        <w:t>受益于AI基础设施建设对以太网交换机和高速光模块的强劲需求，以及光互连技术在AI</w:t>
      </w:r>
      <w:r w:rsidR="00A74B74">
        <w:rPr>
          <w:rFonts w:hint="eastAsia"/>
        </w:rPr>
        <w:t xml:space="preserve"> </w:t>
      </w:r>
      <w:r w:rsidRPr="00AF38C0">
        <w:rPr>
          <w:rFonts w:hint="eastAsia"/>
        </w:rPr>
        <w:t>scale-up网络中的应用推广，光模块市场规模有望持续快速增长。根据Lightcounting数据，近15年来全球光模块供应商格局的深刻变革，截至2020年，多数日本和美国供应商已退出该市场，而中国厂商的排名则持续攀升，2024年全球光模块TOP10榜单显示，中国厂商已在该领域占据主导地位（占7席）</w:t>
      </w:r>
      <w:r w:rsidR="00D8553F" w:rsidRPr="00D8553F">
        <w:rPr>
          <w:rFonts w:hint="eastAsia"/>
          <w:b/>
          <w:bCs/>
          <w:color w:val="EE0000"/>
        </w:rPr>
        <w:t>占据优势的角度</w:t>
      </w:r>
    </w:p>
    <w:p w14:paraId="3DB75C4D" w14:textId="3E2EEB18" w:rsidR="00F60BEF" w:rsidRDefault="00F60BEF" w:rsidP="00DF583E">
      <w:pPr>
        <w:rPr>
          <w:rFonts w:hint="eastAsia"/>
        </w:rPr>
      </w:pPr>
      <w:r w:rsidRPr="00F60BEF">
        <w:rPr>
          <w:rFonts w:hint="eastAsia"/>
        </w:rPr>
        <w:t>2023年初以来AI新一轮技术变革尤其是LLM的训练与推理，带动行业进入新周期，量价关系与过去几轮相比显著不同，当前节点从单纯需求端放量扩展至供给端技术爆发式变化，成长空间也从Scale-out扩展至Scale-up等场景，产业上限正在打开。</w:t>
      </w:r>
    </w:p>
    <w:p w14:paraId="0FB9C079" w14:textId="72135BD0" w:rsidR="00D8553F" w:rsidRDefault="00A1645D" w:rsidP="00CC7144">
      <w:pPr>
        <w:rPr>
          <w:rFonts w:hint="eastAsia"/>
        </w:rPr>
      </w:pPr>
      <w:r w:rsidRPr="00A1645D">
        <w:rPr>
          <w:rFonts w:hint="eastAsia"/>
        </w:rPr>
        <w:lastRenderedPageBreak/>
        <w:t>全球人工智能市场持续呈现增长态势，带动AI服务器需求快速增长。根据MIR睿工业的调查，全球AI服务器出货量（以机架为单位）预计将在2025年达到21万台，此后持续增长，到2030年有望攀升至70万台。在需求方面，微软、Meta、亚马逊等美国大型科技企业占据了全球AI服务器需求的40%以上。从中国市场来看，根据IDC报告，2024年中国人工智能算力市场规模达到190亿美元，2025年将达到259亿美元，同比增长36.2%，2028年将达到552亿美元。大模型兴起和生成式人工智能应用显著提升带动人工智能服务器市场规模持续扩大，带动光模块需求快速增长。</w:t>
      </w:r>
      <w:r>
        <w:rPr>
          <w:rFonts w:hint="eastAsia"/>
        </w:rPr>
        <w:t>（</w:t>
      </w:r>
      <w:r w:rsidRPr="00A1645D">
        <w:rPr>
          <w:rFonts w:hint="eastAsia"/>
          <w:color w:val="EE0000"/>
        </w:rPr>
        <w:t>从服务器的角度</w:t>
      </w:r>
      <w:r>
        <w:rPr>
          <w:rFonts w:hint="eastAsia"/>
          <w:color w:val="EE0000"/>
        </w:rPr>
        <w:t>：问题，为什么是服务器？服务器和光通信之间的联系是？</w:t>
      </w:r>
      <w:r w:rsidR="007F398B">
        <w:rPr>
          <w:rFonts w:hint="eastAsia"/>
          <w:color w:val="EE0000"/>
        </w:rPr>
        <w:t>因为AI智算无论是up还是out，都还是需要有一个主机来统摄一切的</w:t>
      </w:r>
      <w:r>
        <w:rPr>
          <w:rFonts w:hint="eastAsia"/>
        </w:rPr>
        <w:t>）</w:t>
      </w:r>
    </w:p>
    <w:p w14:paraId="630B2732" w14:textId="6BB62B07" w:rsidR="00377F56" w:rsidRDefault="00377F56" w:rsidP="00CC7144">
      <w:pPr>
        <w:rPr>
          <w:rFonts w:hint="eastAsia"/>
        </w:rPr>
      </w:pPr>
      <w:r w:rsidRPr="00377F56">
        <w:rPr>
          <w:rFonts w:hint="eastAsia"/>
        </w:rPr>
        <w:t>受益于AI基础设施建设对以太网交换机和高速光模块的强劲需求，以及光互连技术在AI</w:t>
      </w:r>
      <w:r w:rsidR="007F398B">
        <w:rPr>
          <w:rFonts w:hint="eastAsia"/>
        </w:rPr>
        <w:t xml:space="preserve"> </w:t>
      </w:r>
      <w:r w:rsidRPr="00377F56">
        <w:rPr>
          <w:rFonts w:hint="eastAsia"/>
        </w:rPr>
        <w:t>scale-up网络中的应用推广，光模块市场规模有望持续快速增长。根据Lightcounting预测，全球以太网光模块市场规模2026年将同比增长35%至189亿美元，2027-2030年增速还将维持在双位数以上，2030年有望突破350亿美元。其中800G和1.6T等高速光模块的需求有望逐步占据市场主导地位。根据Lightcounting预测，2026年800G和1.6T光模块将迎来快速放量，预计2030年800G和1.6T以太网光模块的整体市场规模将超过220亿美元。</w:t>
      </w:r>
    </w:p>
    <w:p w14:paraId="201A8285" w14:textId="1F5FAF58" w:rsidR="00377F56" w:rsidRDefault="00377F56" w:rsidP="00377F56">
      <w:pPr>
        <w:jc w:val="center"/>
        <w:rPr>
          <w:rFonts w:hint="eastAsia"/>
        </w:rPr>
      </w:pPr>
      <w:r>
        <w:rPr>
          <w:rFonts w:hint="eastAsia"/>
        </w:rPr>
        <w:t>图：光模块发展大趋势</w:t>
      </w:r>
    </w:p>
    <w:p w14:paraId="2270E641" w14:textId="0BE9F48B" w:rsidR="00377F56" w:rsidRDefault="00377F56" w:rsidP="00377F56">
      <w:pPr>
        <w:jc w:val="center"/>
        <w:rPr>
          <w:rFonts w:hint="eastAsia"/>
        </w:rPr>
      </w:pPr>
      <w:r>
        <w:rPr>
          <w:noProof/>
        </w:rPr>
        <w:drawing>
          <wp:inline distT="0" distB="0" distL="0" distR="0" wp14:anchorId="29572BF9" wp14:editId="12F7BE2D">
            <wp:extent cx="5274310" cy="3320415"/>
            <wp:effectExtent l="0" t="0" r="2540" b="0"/>
            <wp:docPr id="1246070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70183" name=""/>
                    <pic:cNvPicPr/>
                  </pic:nvPicPr>
                  <pic:blipFill>
                    <a:blip r:embed="rId10"/>
                    <a:stretch>
                      <a:fillRect/>
                    </a:stretch>
                  </pic:blipFill>
                  <pic:spPr>
                    <a:xfrm>
                      <a:off x="0" y="0"/>
                      <a:ext cx="5274310" cy="3320415"/>
                    </a:xfrm>
                    <a:prstGeom prst="rect">
                      <a:avLst/>
                    </a:prstGeom>
                  </pic:spPr>
                </pic:pic>
              </a:graphicData>
            </a:graphic>
          </wp:inline>
        </w:drawing>
      </w:r>
    </w:p>
    <w:p w14:paraId="1287CE7E" w14:textId="77777777" w:rsidR="00377F56" w:rsidRDefault="00377F56" w:rsidP="00CC7144">
      <w:pPr>
        <w:rPr>
          <w:rFonts w:hint="eastAsia"/>
        </w:rPr>
      </w:pPr>
    </w:p>
    <w:p w14:paraId="67B61DD9" w14:textId="097CA6FB" w:rsidR="00CC7144" w:rsidRDefault="00BD7180" w:rsidP="00E46BE0">
      <w:pPr>
        <w:pStyle w:val="2"/>
        <w:rPr>
          <w:rFonts w:hint="eastAsia"/>
        </w:rPr>
      </w:pPr>
      <w:r>
        <w:rPr>
          <w:rFonts w:hint="eastAsia"/>
        </w:rPr>
        <w:lastRenderedPageBreak/>
        <w:t>3.</w:t>
      </w:r>
      <w:r w:rsidR="00D17872">
        <w:rPr>
          <w:rFonts w:hint="eastAsia"/>
        </w:rPr>
        <w:t>2.</w:t>
      </w:r>
      <w:r w:rsidR="00CC7144">
        <w:rPr>
          <w:rFonts w:hint="eastAsia"/>
        </w:rPr>
        <w:t>新型的部分很不错</w:t>
      </w:r>
    </w:p>
    <w:p w14:paraId="6BB32F9D" w14:textId="45C281B3" w:rsidR="00771A72" w:rsidRDefault="00771A72" w:rsidP="00E46BE0">
      <w:pPr>
        <w:pStyle w:val="3"/>
        <w:rPr>
          <w:rFonts w:hint="eastAsia"/>
        </w:rPr>
      </w:pPr>
      <w:r>
        <w:tab/>
      </w:r>
      <w:r w:rsidR="00BD7180">
        <w:rPr>
          <w:rFonts w:hint="eastAsia"/>
        </w:rPr>
        <w:t>3.</w:t>
      </w:r>
      <w:r w:rsidR="00D17872">
        <w:rPr>
          <w:rFonts w:hint="eastAsia"/>
        </w:rPr>
        <w:t>2.1</w:t>
      </w:r>
      <w:r>
        <w:rPr>
          <w:rFonts w:hint="eastAsia"/>
        </w:rPr>
        <w:t>新的时代</w:t>
      </w:r>
      <w:r w:rsidR="00D17872">
        <w:rPr>
          <w:rFonts w:hint="eastAsia"/>
        </w:rPr>
        <w:t>，行业性质变化</w:t>
      </w:r>
      <w:r>
        <w:rPr>
          <w:rFonts w:hint="eastAsia"/>
        </w:rPr>
        <w:t>，</w:t>
      </w:r>
      <w:r w:rsidR="00F528BF">
        <w:rPr>
          <w:rFonts w:hint="eastAsia"/>
        </w:rPr>
        <w:t>范式转换，</w:t>
      </w:r>
      <w:r>
        <w:rPr>
          <w:rFonts w:hint="eastAsia"/>
        </w:rPr>
        <w:t>这里还可以提一下云厂</w:t>
      </w:r>
    </w:p>
    <w:p w14:paraId="1C81ECFB" w14:textId="77777777" w:rsidR="00E46BE0" w:rsidRDefault="00E46BE0" w:rsidP="00E46BE0">
      <w:pPr>
        <w:rPr>
          <w:rFonts w:ascii="楷体" w:eastAsia="楷体" w:hAnsi="楷体" w:hint="eastAsia"/>
          <w:sz w:val="24"/>
          <w:szCs w:val="28"/>
        </w:rPr>
      </w:pPr>
      <w:r w:rsidRPr="00BD7437">
        <w:rPr>
          <w:rFonts w:ascii="楷体" w:eastAsia="楷体" w:hAnsi="楷体" w:hint="eastAsia"/>
          <w:sz w:val="24"/>
          <w:szCs w:val="28"/>
        </w:rPr>
        <w:t>通信产业按照信息互联的对象可以分为两种，与人互联（telecom）与数据通信互联（Datacom）两种。前者包含无线/射频/星间/固网，可以称之为传统通信产业。后者在当前主要以光通信为主，可以称之为新型通信产业。</w:t>
      </w:r>
    </w:p>
    <w:p w14:paraId="3F6D114E" w14:textId="77777777" w:rsidR="00E46BE0" w:rsidRDefault="00E46BE0" w:rsidP="00E46BE0">
      <w:pPr>
        <w:ind w:firstLineChars="200" w:firstLine="480"/>
        <w:rPr>
          <w:rFonts w:ascii="楷体" w:eastAsia="楷体" w:hAnsi="楷体" w:hint="eastAsia"/>
          <w:sz w:val="24"/>
        </w:rPr>
      </w:pPr>
      <w:r>
        <w:rPr>
          <w:rFonts w:ascii="楷体" w:eastAsia="楷体" w:hAnsi="楷体" w:hint="eastAsia"/>
          <w:sz w:val="24"/>
        </w:rPr>
        <w:t>传统通信业的主要矛盾是“网络建设投入”与“投资回报快速递减”的矛盾。</w:t>
      </w:r>
      <w:r w:rsidRPr="008F0E2F">
        <w:rPr>
          <w:rFonts w:ascii="楷体" w:eastAsia="楷体" w:hAnsi="楷体" w:hint="eastAsia"/>
          <w:sz w:val="24"/>
        </w:rPr>
        <w:t>这个矛盾贯穿了3G</w:t>
      </w:r>
      <w:r>
        <w:rPr>
          <w:rFonts w:ascii="楷体" w:eastAsia="楷体" w:hAnsi="楷体" w:hint="eastAsia"/>
          <w:sz w:val="24"/>
        </w:rPr>
        <w:t>到</w:t>
      </w:r>
      <w:r w:rsidRPr="008F0E2F">
        <w:rPr>
          <w:rFonts w:ascii="楷体" w:eastAsia="楷体" w:hAnsi="楷体" w:hint="eastAsia"/>
          <w:sz w:val="24"/>
        </w:rPr>
        <w:t>5G三个周期。每一代移动通信技术的建设高峰期，运营商大规模</w:t>
      </w:r>
      <w:r>
        <w:rPr>
          <w:rFonts w:ascii="楷体" w:eastAsia="楷体" w:hAnsi="楷体" w:hint="eastAsia"/>
          <w:sz w:val="24"/>
        </w:rPr>
        <w:t>资本开支</w:t>
      </w:r>
      <w:r w:rsidRPr="008F0E2F">
        <w:rPr>
          <w:rFonts w:ascii="楷体" w:eastAsia="楷体" w:hAnsi="楷体" w:hint="eastAsia"/>
          <w:sz w:val="24"/>
        </w:rPr>
        <w:t>，带动设备业绩增长。但高峰过后，需求增长放缓，ARPU持续承压，运营商被迫削减开支，产业链进入低谷</w:t>
      </w:r>
      <w:r>
        <w:rPr>
          <w:rFonts w:ascii="楷体" w:eastAsia="楷体" w:hAnsi="楷体" w:hint="eastAsia"/>
          <w:sz w:val="24"/>
        </w:rPr>
        <w:t>，</w:t>
      </w:r>
      <w:r w:rsidRPr="008F0E2F">
        <w:rPr>
          <w:rFonts w:ascii="楷体" w:eastAsia="楷体" w:hAnsi="楷体" w:hint="eastAsia"/>
          <w:sz w:val="24"/>
        </w:rPr>
        <w:t>然后再等待下一</w:t>
      </w:r>
      <w:r>
        <w:rPr>
          <w:rFonts w:ascii="楷体" w:eastAsia="楷体" w:hAnsi="楷体" w:hint="eastAsia"/>
          <w:sz w:val="24"/>
        </w:rPr>
        <w:t>轮</w:t>
      </w:r>
      <w:r w:rsidRPr="008F0E2F">
        <w:rPr>
          <w:rFonts w:ascii="楷体" w:eastAsia="楷体" w:hAnsi="楷体" w:hint="eastAsia"/>
          <w:sz w:val="24"/>
        </w:rPr>
        <w:t>周期。</w:t>
      </w:r>
    </w:p>
    <w:p w14:paraId="563DB90C" w14:textId="77777777" w:rsidR="00E46BE0" w:rsidRDefault="00E46BE0" w:rsidP="00E46BE0">
      <w:pPr>
        <w:ind w:firstLineChars="200" w:firstLine="480"/>
        <w:rPr>
          <w:rFonts w:ascii="楷体" w:eastAsia="楷体" w:hAnsi="楷体" w:hint="eastAsia"/>
          <w:sz w:val="24"/>
        </w:rPr>
      </w:pPr>
      <w:r w:rsidRPr="00B06109">
        <w:rPr>
          <w:rFonts w:ascii="楷体" w:eastAsia="楷体" w:hAnsi="楷体" w:hint="eastAsia"/>
          <w:sz w:val="24"/>
        </w:rPr>
        <w:t>在传统通信的框架下，产业矛盾的本质是"管道化"——通信网络</w:t>
      </w:r>
      <w:r>
        <w:rPr>
          <w:rFonts w:ascii="楷体" w:eastAsia="楷体" w:hAnsi="楷体" w:hint="eastAsia"/>
          <w:sz w:val="24"/>
        </w:rPr>
        <w:t>的定位接近基础生产资料</w:t>
      </w:r>
      <w:r w:rsidRPr="00B06109">
        <w:rPr>
          <w:rFonts w:ascii="楷体" w:eastAsia="楷体" w:hAnsi="楷体" w:hint="eastAsia"/>
          <w:sz w:val="24"/>
        </w:rPr>
        <w:t>，提供</w:t>
      </w:r>
      <w:r>
        <w:rPr>
          <w:rFonts w:ascii="楷体" w:eastAsia="楷体" w:hAnsi="楷体" w:hint="eastAsia"/>
          <w:sz w:val="24"/>
        </w:rPr>
        <w:t>必要</w:t>
      </w:r>
      <w:r w:rsidRPr="00B06109">
        <w:rPr>
          <w:rFonts w:ascii="楷体" w:eastAsia="楷体" w:hAnsi="楷体" w:hint="eastAsia"/>
          <w:sz w:val="24"/>
        </w:rPr>
        <w:t>连接服务，但无法捕获数据价值。</w:t>
      </w:r>
      <w:r>
        <w:rPr>
          <w:rFonts w:ascii="楷体" w:eastAsia="楷体" w:hAnsi="楷体" w:hint="eastAsia"/>
          <w:sz w:val="24"/>
        </w:rPr>
        <w:t>也无法提供可观盈利</w:t>
      </w:r>
    </w:p>
    <w:p w14:paraId="18F0E7CA" w14:textId="77777777" w:rsidR="00E46BE0" w:rsidRPr="00BD7437" w:rsidRDefault="00E46BE0" w:rsidP="00E46BE0">
      <w:pPr>
        <w:rPr>
          <w:rFonts w:ascii="楷体" w:eastAsia="楷体" w:hAnsi="楷体" w:hint="eastAsia"/>
          <w:sz w:val="24"/>
          <w:szCs w:val="28"/>
        </w:rPr>
      </w:pPr>
      <w:r>
        <w:rPr>
          <w:noProof/>
        </w:rPr>
        <w:drawing>
          <wp:inline distT="0" distB="0" distL="0" distR="0" wp14:anchorId="079A7D3F" wp14:editId="4CC38E1C">
            <wp:extent cx="5274310" cy="1957070"/>
            <wp:effectExtent l="0" t="0" r="2540" b="5080"/>
            <wp:docPr id="1115735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4240" name=""/>
                    <pic:cNvPicPr/>
                  </pic:nvPicPr>
                  <pic:blipFill>
                    <a:blip r:embed="rId7"/>
                    <a:stretch>
                      <a:fillRect/>
                    </a:stretch>
                  </pic:blipFill>
                  <pic:spPr>
                    <a:xfrm>
                      <a:off x="0" y="0"/>
                      <a:ext cx="5274310" cy="1957070"/>
                    </a:xfrm>
                    <a:prstGeom prst="rect">
                      <a:avLst/>
                    </a:prstGeom>
                  </pic:spPr>
                </pic:pic>
              </a:graphicData>
            </a:graphic>
          </wp:inline>
        </w:drawing>
      </w:r>
    </w:p>
    <w:p w14:paraId="6CF8EF78" w14:textId="77777777" w:rsidR="00E46BE0" w:rsidRDefault="00E46BE0" w:rsidP="00E46BE0">
      <w:pPr>
        <w:ind w:firstLineChars="200" w:firstLine="480"/>
        <w:rPr>
          <w:rFonts w:ascii="楷体" w:eastAsia="楷体" w:hAnsi="楷体" w:hint="eastAsia"/>
          <w:sz w:val="24"/>
        </w:rPr>
      </w:pPr>
      <w:r>
        <w:rPr>
          <w:rFonts w:ascii="楷体" w:eastAsia="楷体" w:hAnsi="楷体" w:hint="eastAsia"/>
          <w:sz w:val="24"/>
        </w:rPr>
        <w:t>但是AI的发展和繁荣极大地改变了这一格局，使得通信行业的底层驱动力从人的连接需求（tele-Communications）转向机器的连接需求（Data-Communications）。这一转变带来了一系列反应。</w:t>
      </w:r>
    </w:p>
    <w:p w14:paraId="5057B110" w14:textId="6A5D992B" w:rsidR="00F50B1A" w:rsidRPr="00776B4D" w:rsidRDefault="00E46BE0" w:rsidP="00D57B1D">
      <w:pPr>
        <w:rPr>
          <w:rFonts w:ascii="楷体" w:eastAsia="楷体" w:hAnsi="楷体" w:hint="eastAsia"/>
          <w:sz w:val="16"/>
          <w:szCs w:val="16"/>
        </w:rPr>
      </w:pPr>
      <w:r>
        <w:rPr>
          <w:rFonts w:ascii="楷体" w:eastAsia="楷体" w:hAnsi="楷体" w:hint="eastAsia"/>
          <w:sz w:val="24"/>
        </w:rPr>
        <w:t>需求引擎上，AI时代的通信需求更大，从过去三大运营商招标周期的扩张和萎缩为主导，向以国内外云厂，互联网巨头和AI基建企业Capex为主要增长引擎切换。</w:t>
      </w:r>
    </w:p>
    <w:p w14:paraId="2AA6498E" w14:textId="77777777" w:rsidR="00E46BE0" w:rsidRDefault="00E46BE0" w:rsidP="00E46BE0">
      <w:pPr>
        <w:ind w:firstLineChars="200" w:firstLine="480"/>
        <w:rPr>
          <w:rFonts w:ascii="楷体" w:eastAsia="楷体" w:hAnsi="楷体" w:hint="eastAsia"/>
          <w:sz w:val="24"/>
        </w:rPr>
      </w:pPr>
      <w:r>
        <w:rPr>
          <w:rFonts w:ascii="楷体" w:eastAsia="楷体" w:hAnsi="楷体" w:hint="eastAsia"/>
          <w:sz w:val="24"/>
        </w:rPr>
        <w:t>增长曲线上，AI时代的通信增长更多，传统通信的项目需求多为一次性建设以支持多年期使用，增长曲线为阶梯状。而AI算力需求则是持续要好的，从末端对AI的使用，到推理算力的消耗，GPU和CPU的运转，光互连的传输，这是一个连续且连贯的过程。这意味着周期型，一次性Capex向持续投入型</w:t>
      </w:r>
      <w:r>
        <w:rPr>
          <w:rFonts w:ascii="楷体" w:eastAsia="楷体" w:hAnsi="楷体" w:hint="eastAsia"/>
          <w:sz w:val="24"/>
        </w:rPr>
        <w:lastRenderedPageBreak/>
        <w:t>Capex的转变，增长曲线将从阶梯状转变为斜率陡峭的上行曲线。</w:t>
      </w:r>
    </w:p>
    <w:p w14:paraId="48609903" w14:textId="77777777" w:rsidR="00E46BE0" w:rsidRDefault="00E46BE0" w:rsidP="00E46BE0">
      <w:pPr>
        <w:ind w:firstLineChars="200" w:firstLine="480"/>
        <w:rPr>
          <w:rFonts w:ascii="楷体" w:eastAsia="楷体" w:hAnsi="楷体" w:hint="eastAsia"/>
          <w:sz w:val="24"/>
        </w:rPr>
      </w:pPr>
      <w:r>
        <w:rPr>
          <w:rFonts w:ascii="楷体" w:eastAsia="楷体" w:hAnsi="楷体" w:hint="eastAsia"/>
          <w:sz w:val="24"/>
        </w:rPr>
        <w:t>迭代技术上，AI时代的通信迭代更快，</w:t>
      </w:r>
      <w:r w:rsidRPr="00DA2302">
        <w:rPr>
          <w:rFonts w:ascii="楷体" w:eastAsia="楷体" w:hAnsi="楷体"/>
          <w:sz w:val="24"/>
        </w:rPr>
        <w:t>传统通信的技术周期是"一代十年"——3G到4G大约10年，4G到5G大约10年。AI光通信的迭代速度远快于此：从800G到1.6T到3.2T，每一代间隔仅2-3年。</w:t>
      </w:r>
    </w:p>
    <w:p w14:paraId="33DB71A3" w14:textId="77777777" w:rsidR="00E46BE0" w:rsidRDefault="00E46BE0" w:rsidP="00E46BE0">
      <w:pPr>
        <w:ind w:firstLineChars="200" w:firstLine="480"/>
        <w:rPr>
          <w:rFonts w:ascii="楷体" w:eastAsia="楷体" w:hAnsi="楷体" w:hint="eastAsia"/>
          <w:sz w:val="24"/>
        </w:rPr>
      </w:pPr>
      <w:r w:rsidRPr="00DA2302">
        <w:rPr>
          <w:rFonts w:ascii="楷体" w:eastAsia="楷体" w:hAnsi="楷体"/>
          <w:sz w:val="24"/>
        </w:rPr>
        <w:t>2023-2030年光通信</w:t>
      </w:r>
      <w:r>
        <w:rPr>
          <w:rFonts w:ascii="楷体" w:eastAsia="楷体" w:hAnsi="楷体" w:hint="eastAsia"/>
          <w:sz w:val="24"/>
        </w:rPr>
        <w:t>传输速率</w:t>
      </w:r>
      <w:r w:rsidRPr="00DA2302">
        <w:rPr>
          <w:rFonts w:ascii="楷体" w:eastAsia="楷体" w:hAnsi="楷体"/>
          <w:sz w:val="24"/>
        </w:rPr>
        <w:t>将从100G/λ演进到400G/λ，</w:t>
      </w:r>
      <w:r>
        <w:rPr>
          <w:rFonts w:ascii="楷体" w:eastAsia="楷体" w:hAnsi="楷体" w:hint="eastAsia"/>
          <w:sz w:val="24"/>
        </w:rPr>
        <w:t>光模块</w:t>
      </w:r>
      <w:r w:rsidRPr="00DA2302">
        <w:rPr>
          <w:rFonts w:ascii="楷体" w:eastAsia="楷体" w:hAnsi="楷体"/>
          <w:sz w:val="24"/>
        </w:rPr>
        <w:t>路径从可插拔</w:t>
      </w:r>
      <w:r>
        <w:rPr>
          <w:rFonts w:ascii="楷体" w:eastAsia="楷体" w:hAnsi="楷体" w:hint="eastAsia"/>
          <w:sz w:val="24"/>
        </w:rPr>
        <w:t>，</w:t>
      </w:r>
      <w:r w:rsidRPr="00DA2302">
        <w:rPr>
          <w:rFonts w:ascii="楷体" w:eastAsia="楷体" w:hAnsi="楷体"/>
          <w:sz w:val="24"/>
        </w:rPr>
        <w:t>NPO</w:t>
      </w:r>
      <w:r>
        <w:rPr>
          <w:rFonts w:ascii="楷体" w:eastAsia="楷体" w:hAnsi="楷体" w:hint="eastAsia"/>
          <w:sz w:val="24"/>
        </w:rPr>
        <w:t>，</w:t>
      </w:r>
      <w:r w:rsidRPr="00DA2302">
        <w:rPr>
          <w:rFonts w:ascii="楷体" w:eastAsia="楷体" w:hAnsi="楷体"/>
          <w:sz w:val="24"/>
        </w:rPr>
        <w:t>CPO</w:t>
      </w:r>
      <w:r>
        <w:rPr>
          <w:rFonts w:ascii="楷体" w:eastAsia="楷体" w:hAnsi="楷体" w:hint="eastAsia"/>
          <w:sz w:val="24"/>
        </w:rPr>
        <w:t>，</w:t>
      </w:r>
      <w:r w:rsidRPr="00DA2302">
        <w:rPr>
          <w:rFonts w:ascii="楷体" w:eastAsia="楷体" w:hAnsi="楷体"/>
          <w:sz w:val="24"/>
        </w:rPr>
        <w:t>XPO</w:t>
      </w:r>
      <w:r>
        <w:rPr>
          <w:rFonts w:ascii="楷体" w:eastAsia="楷体" w:hAnsi="楷体" w:hint="eastAsia"/>
          <w:sz w:val="24"/>
        </w:rPr>
        <w:t>，CPC</w:t>
      </w:r>
      <w:r w:rsidRPr="00DA2302">
        <w:rPr>
          <w:rFonts w:ascii="楷体" w:eastAsia="楷体" w:hAnsi="楷体"/>
          <w:sz w:val="24"/>
        </w:rPr>
        <w:t>。每次迭代都打开新的增量空间。</w:t>
      </w:r>
    </w:p>
    <w:p w14:paraId="04A34BAA" w14:textId="77777777" w:rsidR="00E46BE0" w:rsidRPr="00E11271" w:rsidRDefault="00E46BE0" w:rsidP="00E46BE0">
      <w:pPr>
        <w:ind w:firstLineChars="200" w:firstLine="480"/>
        <w:rPr>
          <w:rFonts w:ascii="楷体" w:eastAsia="楷体" w:hAnsi="楷体" w:hint="eastAsia"/>
          <w:sz w:val="24"/>
        </w:rPr>
      </w:pPr>
      <w:r>
        <w:rPr>
          <w:rFonts w:ascii="楷体" w:eastAsia="楷体" w:hAnsi="楷体" w:hint="eastAsia"/>
          <w:sz w:val="24"/>
        </w:rPr>
        <w:t>在此基础上，我们认为通信股的定价逻辑正在发生根本变化</w:t>
      </w:r>
      <w:r w:rsidRPr="001D5B2B">
        <w:rPr>
          <w:rFonts w:ascii="楷体" w:eastAsia="楷体" w:hAnsi="楷体" w:hint="eastAsia"/>
          <w:sz w:val="24"/>
        </w:rPr>
        <w:t>，人工智能将通信行业从依赖运营商资本开支为主导的周期型行业，逐步转变为了人工智能+运营商资本开支双轮驱动的周期+成本复合行业。</w:t>
      </w:r>
      <w:r w:rsidRPr="009C5835">
        <w:rPr>
          <w:rFonts w:ascii="楷体" w:eastAsia="楷体" w:hAnsi="楷体" w:hint="eastAsia"/>
          <w:sz w:val="24"/>
        </w:rPr>
        <w:t>通信网络本身的功能也在进化——从传输管道向实时智能节点转变。AI推理需求正在推动通信网络从单纯的搬运数据变成参与计算"这意味着通信设备的价值锚从带宽变成了算力密度，价值量大幅提升。</w:t>
      </w:r>
    </w:p>
    <w:p w14:paraId="7B2D8631" w14:textId="77777777" w:rsidR="00E46BE0" w:rsidRPr="00E46BE0" w:rsidRDefault="00E46BE0" w:rsidP="00E46BE0">
      <w:pPr>
        <w:rPr>
          <w:rFonts w:hint="eastAsia"/>
        </w:rPr>
      </w:pPr>
    </w:p>
    <w:p w14:paraId="51B1D74C" w14:textId="78DA896A" w:rsidR="00D32A8D" w:rsidRDefault="00D32A8D" w:rsidP="00646D7A">
      <w:pPr>
        <w:pStyle w:val="3"/>
        <w:rPr>
          <w:rFonts w:hint="eastAsia"/>
        </w:rPr>
      </w:pPr>
      <w:r>
        <w:tab/>
      </w:r>
      <w:r w:rsidR="00BD7180">
        <w:rPr>
          <w:rFonts w:hint="eastAsia"/>
        </w:rPr>
        <w:t>3.</w:t>
      </w:r>
      <w:r>
        <w:rPr>
          <w:rFonts w:hint="eastAsia"/>
        </w:rPr>
        <w:t>2.2 投资时钟</w:t>
      </w:r>
    </w:p>
    <w:p w14:paraId="05E5E9B2" w14:textId="750D12DD" w:rsidR="00B263C4" w:rsidRDefault="00B263C4" w:rsidP="00B263C4">
      <w:pPr>
        <w:rPr>
          <w:rFonts w:hint="eastAsia"/>
        </w:rPr>
      </w:pPr>
      <w:r>
        <w:rPr>
          <w:rFonts w:hint="eastAsia"/>
        </w:rPr>
        <w:t>正处在一个什么样的阶段，即将进入一个什么样的阶段？</w:t>
      </w:r>
    </w:p>
    <w:p w14:paraId="4DBF424B" w14:textId="1EC0759D" w:rsidR="00B263C4" w:rsidRPr="00B263C4" w:rsidRDefault="00B263C4" w:rsidP="00B263C4">
      <w:pPr>
        <w:rPr>
          <w:rFonts w:hint="eastAsia"/>
        </w:rPr>
      </w:pPr>
      <w:r>
        <w:rPr>
          <w:rFonts w:hint="eastAsia"/>
        </w:rPr>
        <w:t>光芯片，光模块，</w:t>
      </w:r>
    </w:p>
    <w:p w14:paraId="125FB70E" w14:textId="77777777" w:rsidR="00646D7A" w:rsidRDefault="00646D7A" w:rsidP="00646D7A">
      <w:pPr>
        <w:pStyle w:val="4"/>
        <w:rPr>
          <w:rFonts w:hint="eastAsia"/>
        </w:rPr>
      </w:pPr>
      <w:r>
        <w:rPr>
          <w:rFonts w:hint="eastAsia"/>
        </w:rPr>
        <w:t>数据通信目前的阶段</w:t>
      </w:r>
    </w:p>
    <w:p w14:paraId="1924E772" w14:textId="77777777" w:rsidR="00A026E6" w:rsidRDefault="00A026E6" w:rsidP="00A026E6">
      <w:pPr>
        <w:rPr>
          <w:rFonts w:hint="eastAsia"/>
        </w:rPr>
      </w:pPr>
      <w:r>
        <w:rPr>
          <w:rFonts w:hint="eastAsia"/>
        </w:rPr>
        <w:t>建议增加"投资时钟"小节：</w:t>
      </w:r>
    </w:p>
    <w:p w14:paraId="37CFB850" w14:textId="77777777" w:rsidR="00A026E6" w:rsidRDefault="00A026E6" w:rsidP="00A026E6">
      <w:pPr>
        <w:rPr>
          <w:rFonts w:hint="eastAsia"/>
        </w:rPr>
      </w:pPr>
      <w:r>
        <w:rPr>
          <w:rFonts w:hint="eastAsia"/>
        </w:rPr>
        <w:t>Q2 2026（当前）：英伟达GB200量产爬坡期，验证1.6T光模块良率</w:t>
      </w:r>
    </w:p>
    <w:p w14:paraId="36DE9BDF" w14:textId="77777777" w:rsidR="00A026E6" w:rsidRDefault="00A026E6" w:rsidP="00A026E6">
      <w:pPr>
        <w:rPr>
          <w:rFonts w:hint="eastAsia"/>
        </w:rPr>
      </w:pPr>
      <w:r>
        <w:rPr>
          <w:rFonts w:hint="eastAsia"/>
        </w:rPr>
        <w:t>Q3 2026：云商Capex年中修订，验证AI基建持续性</w:t>
      </w:r>
    </w:p>
    <w:p w14:paraId="150E8671" w14:textId="77777777" w:rsidR="00A026E6" w:rsidRDefault="00A026E6" w:rsidP="00A026E6">
      <w:pPr>
        <w:rPr>
          <w:rFonts w:hint="eastAsia"/>
        </w:rPr>
      </w:pPr>
      <w:r>
        <w:rPr>
          <w:rFonts w:hint="eastAsia"/>
        </w:rPr>
        <w:t>Q4 2026：硅光渗透率数据出炉，验证技术路线收敛速度</w:t>
      </w:r>
    </w:p>
    <w:p w14:paraId="6E6D3754" w14:textId="69485B04" w:rsidR="00A026E6" w:rsidRDefault="00A026E6" w:rsidP="00A026E6">
      <w:pPr>
        <w:rPr>
          <w:rFonts w:hint="eastAsia"/>
        </w:rPr>
      </w:pPr>
      <w:r>
        <w:rPr>
          <w:rFonts w:hint="eastAsia"/>
        </w:rPr>
        <w:t>2027H1：若CPO方案成熟，警惕传统可插拔光模块估值下杀风险</w:t>
      </w:r>
    </w:p>
    <w:p w14:paraId="1D389B6C" w14:textId="77777777" w:rsidR="00A026E6" w:rsidRPr="00A026E6" w:rsidRDefault="00A026E6" w:rsidP="00A026E6">
      <w:pPr>
        <w:rPr>
          <w:rFonts w:hint="eastAsia"/>
        </w:rPr>
      </w:pPr>
    </w:p>
    <w:p w14:paraId="5B725BAA" w14:textId="1BC5C76A" w:rsidR="00EE6A0B" w:rsidRPr="00EE6A0B" w:rsidRDefault="00EE6A0B" w:rsidP="00EE6A0B">
      <w:pPr>
        <w:rPr>
          <w:rFonts w:hint="eastAsia"/>
        </w:rPr>
      </w:pPr>
      <w:r>
        <w:rPr>
          <w:rFonts w:hint="eastAsia"/>
        </w:rPr>
        <w:t>宏观上</w:t>
      </w:r>
    </w:p>
    <w:p w14:paraId="2601A34E" w14:textId="4F1A55DE" w:rsidR="00EE6A0B" w:rsidRDefault="00EE6A0B" w:rsidP="00EE6A0B">
      <w:pPr>
        <w:rPr>
          <w:rFonts w:hint="eastAsia"/>
        </w:rPr>
      </w:pPr>
      <w:r>
        <w:rPr>
          <w:noProof/>
        </w:rPr>
        <w:lastRenderedPageBreak/>
        <w:drawing>
          <wp:inline distT="0" distB="0" distL="0" distR="0" wp14:anchorId="405CFEF7" wp14:editId="0387AB55">
            <wp:extent cx="5274310" cy="2883535"/>
            <wp:effectExtent l="0" t="0" r="2540" b="0"/>
            <wp:docPr id="1318154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54761" name=""/>
                    <pic:cNvPicPr/>
                  </pic:nvPicPr>
                  <pic:blipFill>
                    <a:blip r:embed="rId11"/>
                    <a:stretch>
                      <a:fillRect/>
                    </a:stretch>
                  </pic:blipFill>
                  <pic:spPr>
                    <a:xfrm>
                      <a:off x="0" y="0"/>
                      <a:ext cx="5274310" cy="2883535"/>
                    </a:xfrm>
                    <a:prstGeom prst="rect">
                      <a:avLst/>
                    </a:prstGeom>
                  </pic:spPr>
                </pic:pic>
              </a:graphicData>
            </a:graphic>
          </wp:inline>
        </w:drawing>
      </w:r>
    </w:p>
    <w:p w14:paraId="3B412450" w14:textId="4FE24D10" w:rsidR="00EE6A0B" w:rsidRDefault="00EE6A0B" w:rsidP="00EE6A0B">
      <w:pPr>
        <w:rPr>
          <w:rFonts w:hint="eastAsia"/>
        </w:rPr>
      </w:pPr>
      <w:r>
        <w:rPr>
          <w:rFonts w:hint="eastAsia"/>
        </w:rPr>
        <w:t>数据来源：Wind，申万宏源研究。</w:t>
      </w:r>
    </w:p>
    <w:p w14:paraId="72014B4B" w14:textId="52554AF7" w:rsidR="00EE6A0B" w:rsidRPr="00EE6A0B" w:rsidRDefault="00EE6A0B" w:rsidP="00EE6A0B">
      <w:pPr>
        <w:rPr>
          <w:rFonts w:hint="eastAsia"/>
        </w:rPr>
      </w:pPr>
      <w:r>
        <w:rPr>
          <w:rFonts w:hint="eastAsia"/>
        </w:rPr>
        <w:t>注纵轴百分比</w:t>
      </w:r>
      <w:r w:rsidR="006F2EE6">
        <w:rPr>
          <w:rFonts w:hint="eastAsia"/>
        </w:rPr>
        <w:t>以2016/1/4为基准，新易盛，源杰，基准日2016/3/3，2022/12/21</w:t>
      </w:r>
    </w:p>
    <w:p w14:paraId="7CFE569E" w14:textId="77777777" w:rsidR="00646D7A" w:rsidRDefault="00646D7A" w:rsidP="00646D7A">
      <w:pPr>
        <w:rPr>
          <w:rFonts w:hint="eastAsia"/>
        </w:rPr>
      </w:pPr>
      <w:r>
        <w:rPr>
          <w:rFonts w:hint="eastAsia"/>
        </w:rPr>
        <w:t>聚焦成长性的部分，我们认为数据间通信正处于</w:t>
      </w:r>
      <w:r w:rsidRPr="001E22D6">
        <w:rPr>
          <w:rFonts w:hint="eastAsia"/>
        </w:rPr>
        <w:t>"中段向后期过渡"阶段——这是一个多代际技术并存、</w:t>
      </w:r>
      <w:r>
        <w:rPr>
          <w:rFonts w:hint="eastAsia"/>
        </w:rPr>
        <w:t>未来路线尚未收敛，</w:t>
      </w:r>
      <w:r w:rsidRPr="001E22D6">
        <w:rPr>
          <w:rFonts w:hint="eastAsia"/>
        </w:rPr>
        <w:t>新旧增长曲线交接的特殊时点。</w:t>
      </w:r>
    </w:p>
    <w:p w14:paraId="444DF6FD" w14:textId="77777777" w:rsidR="00646D7A" w:rsidRDefault="00646D7A" w:rsidP="00646D7A">
      <w:pPr>
        <w:rPr>
          <w:rFonts w:hint="eastAsia"/>
        </w:rPr>
      </w:pPr>
      <w:r>
        <w:rPr>
          <w:rFonts w:hint="eastAsia"/>
        </w:rPr>
        <w:t>以产品为例，则呈现出多代同堂的复杂结构</w:t>
      </w:r>
    </w:p>
    <w:tbl>
      <w:tblPr>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9"/>
        <w:gridCol w:w="944"/>
        <w:gridCol w:w="4500"/>
        <w:gridCol w:w="2312"/>
      </w:tblGrid>
      <w:tr w:rsidR="00646D7A" w:rsidRPr="00FF001E" w14:paraId="6F158F80" w14:textId="77777777" w:rsidTr="004670C2">
        <w:trPr>
          <w:trHeight w:val="285"/>
        </w:trPr>
        <w:tc>
          <w:tcPr>
            <w:tcW w:w="1319" w:type="dxa"/>
            <w:noWrap/>
            <w:vAlign w:val="center"/>
            <w:hideMark/>
          </w:tcPr>
          <w:p w14:paraId="7E093108" w14:textId="77777777" w:rsidR="00646D7A" w:rsidRPr="00FF001E" w:rsidRDefault="00646D7A" w:rsidP="004670C2">
            <w:pPr>
              <w:widowControl/>
              <w:spacing w:after="0" w:line="240" w:lineRule="auto"/>
              <w:rPr>
                <w:rFonts w:ascii="等线" w:eastAsia="等线" w:hAnsi="等线" w:cs="宋体" w:hint="eastAsia"/>
                <w:color w:val="000000"/>
                <w:kern w:val="0"/>
                <w:szCs w:val="22"/>
                <w14:ligatures w14:val="none"/>
              </w:rPr>
            </w:pPr>
            <w:r w:rsidRPr="00FF001E">
              <w:rPr>
                <w:rFonts w:ascii="等线" w:eastAsia="等线" w:hAnsi="等线" w:cs="宋体" w:hint="eastAsia"/>
                <w:color w:val="000000"/>
                <w:kern w:val="0"/>
                <w:szCs w:val="22"/>
                <w14:ligatures w14:val="none"/>
              </w:rPr>
              <w:t>产品代际</w:t>
            </w:r>
          </w:p>
        </w:tc>
        <w:tc>
          <w:tcPr>
            <w:tcW w:w="944" w:type="dxa"/>
            <w:noWrap/>
            <w:vAlign w:val="center"/>
            <w:hideMark/>
          </w:tcPr>
          <w:p w14:paraId="41AAFA0A" w14:textId="77777777" w:rsidR="00646D7A" w:rsidRPr="00FF001E" w:rsidRDefault="00646D7A" w:rsidP="004670C2">
            <w:pPr>
              <w:widowControl/>
              <w:spacing w:after="0" w:line="240" w:lineRule="auto"/>
              <w:rPr>
                <w:rFonts w:ascii="等线" w:eastAsia="等线" w:hAnsi="等线" w:cs="宋体" w:hint="eastAsia"/>
                <w:color w:val="000000"/>
                <w:kern w:val="0"/>
                <w:szCs w:val="22"/>
                <w14:ligatures w14:val="none"/>
              </w:rPr>
            </w:pPr>
            <w:r w:rsidRPr="00FF001E">
              <w:rPr>
                <w:rFonts w:ascii="等线" w:eastAsia="等线" w:hAnsi="等线" w:cs="宋体" w:hint="eastAsia"/>
                <w:color w:val="000000"/>
                <w:kern w:val="0"/>
                <w:szCs w:val="22"/>
                <w14:ligatures w14:val="none"/>
              </w:rPr>
              <w:t>成长阶段</w:t>
            </w:r>
          </w:p>
        </w:tc>
        <w:tc>
          <w:tcPr>
            <w:tcW w:w="4500" w:type="dxa"/>
            <w:noWrap/>
            <w:vAlign w:val="center"/>
            <w:hideMark/>
          </w:tcPr>
          <w:p w14:paraId="57472E78" w14:textId="77777777" w:rsidR="00646D7A" w:rsidRPr="00FF001E" w:rsidRDefault="00646D7A" w:rsidP="004670C2">
            <w:pPr>
              <w:widowControl/>
              <w:spacing w:after="0" w:line="240" w:lineRule="auto"/>
              <w:rPr>
                <w:rFonts w:ascii="等线" w:eastAsia="等线" w:hAnsi="等线" w:cs="宋体" w:hint="eastAsia"/>
                <w:color w:val="000000"/>
                <w:kern w:val="0"/>
                <w:szCs w:val="22"/>
                <w14:ligatures w14:val="none"/>
              </w:rPr>
            </w:pPr>
            <w:r w:rsidRPr="00FF001E">
              <w:rPr>
                <w:rFonts w:ascii="等线" w:eastAsia="等线" w:hAnsi="等线" w:cs="宋体" w:hint="eastAsia"/>
                <w:color w:val="000000"/>
                <w:kern w:val="0"/>
                <w:szCs w:val="22"/>
                <w14:ligatures w14:val="none"/>
              </w:rPr>
              <w:t>关键信号</w:t>
            </w:r>
          </w:p>
        </w:tc>
        <w:tc>
          <w:tcPr>
            <w:tcW w:w="2312" w:type="dxa"/>
            <w:noWrap/>
            <w:vAlign w:val="center"/>
            <w:hideMark/>
          </w:tcPr>
          <w:p w14:paraId="60CE8D74" w14:textId="77777777" w:rsidR="00646D7A" w:rsidRPr="00FF001E" w:rsidRDefault="00646D7A" w:rsidP="004670C2">
            <w:pPr>
              <w:widowControl/>
              <w:spacing w:after="0" w:line="240" w:lineRule="auto"/>
              <w:rPr>
                <w:rFonts w:ascii="等线" w:eastAsia="等线" w:hAnsi="等线" w:cs="宋体" w:hint="eastAsia"/>
                <w:color w:val="000000"/>
                <w:kern w:val="0"/>
                <w:szCs w:val="22"/>
                <w14:ligatures w14:val="none"/>
              </w:rPr>
            </w:pPr>
            <w:r w:rsidRPr="00FF001E">
              <w:rPr>
                <w:rFonts w:ascii="等线" w:eastAsia="等线" w:hAnsi="等线" w:cs="宋体" w:hint="eastAsia"/>
                <w:color w:val="000000"/>
                <w:kern w:val="0"/>
                <w:szCs w:val="22"/>
                <w14:ligatures w14:val="none"/>
              </w:rPr>
              <w:t>代表需求方</w:t>
            </w:r>
          </w:p>
        </w:tc>
      </w:tr>
      <w:tr w:rsidR="00646D7A" w:rsidRPr="00FF001E" w14:paraId="51241A41" w14:textId="77777777" w:rsidTr="004670C2">
        <w:trPr>
          <w:trHeight w:val="285"/>
        </w:trPr>
        <w:tc>
          <w:tcPr>
            <w:tcW w:w="1319" w:type="dxa"/>
            <w:noWrap/>
            <w:vAlign w:val="center"/>
            <w:hideMark/>
          </w:tcPr>
          <w:p w14:paraId="292F2513" w14:textId="77777777" w:rsidR="00646D7A" w:rsidRPr="00FF001E" w:rsidRDefault="00646D7A" w:rsidP="004670C2">
            <w:pPr>
              <w:widowControl/>
              <w:spacing w:after="0" w:line="240" w:lineRule="auto"/>
              <w:rPr>
                <w:rFonts w:ascii="等线" w:eastAsia="等线" w:hAnsi="等线" w:cs="宋体" w:hint="eastAsia"/>
                <w:color w:val="000000"/>
                <w:kern w:val="0"/>
                <w:szCs w:val="22"/>
                <w14:ligatures w14:val="none"/>
              </w:rPr>
            </w:pPr>
            <w:r w:rsidRPr="00FF001E">
              <w:rPr>
                <w:rFonts w:ascii="等线" w:eastAsia="等线" w:hAnsi="等线" w:cs="宋体" w:hint="eastAsia"/>
                <w:color w:val="000000"/>
                <w:kern w:val="0"/>
                <w:szCs w:val="22"/>
                <w14:ligatures w14:val="none"/>
              </w:rPr>
              <w:t>400G</w:t>
            </w:r>
          </w:p>
        </w:tc>
        <w:tc>
          <w:tcPr>
            <w:tcW w:w="944" w:type="dxa"/>
            <w:noWrap/>
            <w:vAlign w:val="center"/>
            <w:hideMark/>
          </w:tcPr>
          <w:p w14:paraId="10AE223F" w14:textId="77777777" w:rsidR="00646D7A" w:rsidRPr="00FF001E" w:rsidRDefault="00646D7A" w:rsidP="004670C2">
            <w:pPr>
              <w:widowControl/>
              <w:spacing w:after="0" w:line="240" w:lineRule="auto"/>
              <w:rPr>
                <w:rFonts w:ascii="等线" w:eastAsia="等线" w:hAnsi="等线" w:cs="宋体" w:hint="eastAsia"/>
                <w:color w:val="000000"/>
                <w:kern w:val="0"/>
                <w:szCs w:val="22"/>
                <w14:ligatures w14:val="none"/>
              </w:rPr>
            </w:pPr>
            <w:r w:rsidRPr="00FF001E">
              <w:rPr>
                <w:rFonts w:ascii="等线" w:eastAsia="等线" w:hAnsi="等线" w:cs="宋体" w:hint="eastAsia"/>
                <w:color w:val="000000"/>
                <w:kern w:val="0"/>
                <w:szCs w:val="22"/>
                <w14:ligatures w14:val="none"/>
              </w:rPr>
              <w:t>成熟期</w:t>
            </w:r>
          </w:p>
        </w:tc>
        <w:tc>
          <w:tcPr>
            <w:tcW w:w="4500" w:type="dxa"/>
            <w:noWrap/>
            <w:vAlign w:val="center"/>
            <w:hideMark/>
          </w:tcPr>
          <w:p w14:paraId="03648449" w14:textId="77777777" w:rsidR="00646D7A" w:rsidRPr="00FF001E" w:rsidRDefault="00646D7A" w:rsidP="004670C2">
            <w:pPr>
              <w:widowControl/>
              <w:spacing w:after="0" w:line="240" w:lineRule="auto"/>
              <w:rPr>
                <w:rFonts w:ascii="等线" w:eastAsia="等线" w:hAnsi="等线" w:cs="宋体" w:hint="eastAsia"/>
                <w:color w:val="000000"/>
                <w:kern w:val="0"/>
                <w:szCs w:val="22"/>
                <w14:ligatures w14:val="none"/>
              </w:rPr>
            </w:pPr>
            <w:r w:rsidRPr="00FF001E">
              <w:rPr>
                <w:rFonts w:ascii="等线" w:eastAsia="等线" w:hAnsi="等线" w:cs="宋体" w:hint="eastAsia"/>
                <w:color w:val="000000"/>
                <w:kern w:val="0"/>
                <w:szCs w:val="22"/>
                <w14:ligatures w14:val="none"/>
              </w:rPr>
              <w:t>价格年降20%+，出货量增速&lt;20%，向传统云市场下沉</w:t>
            </w:r>
          </w:p>
        </w:tc>
        <w:tc>
          <w:tcPr>
            <w:tcW w:w="2312" w:type="dxa"/>
            <w:noWrap/>
            <w:vAlign w:val="center"/>
            <w:hideMark/>
          </w:tcPr>
          <w:p w14:paraId="42339D3E" w14:textId="77777777" w:rsidR="00646D7A" w:rsidRPr="00FF001E" w:rsidRDefault="00646D7A" w:rsidP="004670C2">
            <w:pPr>
              <w:widowControl/>
              <w:spacing w:after="0" w:line="240" w:lineRule="auto"/>
              <w:rPr>
                <w:rFonts w:ascii="等线" w:eastAsia="等线" w:hAnsi="等线" w:cs="宋体" w:hint="eastAsia"/>
                <w:color w:val="000000"/>
                <w:kern w:val="0"/>
                <w:szCs w:val="22"/>
                <w14:ligatures w14:val="none"/>
              </w:rPr>
            </w:pPr>
            <w:r w:rsidRPr="00FF001E">
              <w:rPr>
                <w:rFonts w:ascii="等线" w:eastAsia="等线" w:hAnsi="等线" w:cs="宋体" w:hint="eastAsia"/>
                <w:color w:val="000000"/>
                <w:kern w:val="0"/>
                <w:szCs w:val="22"/>
                <w14:ligatures w14:val="none"/>
              </w:rPr>
              <w:t>传统云计算、电信运营商</w:t>
            </w:r>
          </w:p>
        </w:tc>
      </w:tr>
      <w:tr w:rsidR="00646D7A" w:rsidRPr="00FF001E" w14:paraId="3E106EBE" w14:textId="77777777" w:rsidTr="004670C2">
        <w:trPr>
          <w:trHeight w:val="285"/>
        </w:trPr>
        <w:tc>
          <w:tcPr>
            <w:tcW w:w="1319" w:type="dxa"/>
            <w:noWrap/>
            <w:vAlign w:val="center"/>
            <w:hideMark/>
          </w:tcPr>
          <w:p w14:paraId="71101B6F" w14:textId="77777777" w:rsidR="00646D7A" w:rsidRPr="00FF001E" w:rsidRDefault="00646D7A" w:rsidP="004670C2">
            <w:pPr>
              <w:widowControl/>
              <w:spacing w:after="0" w:line="240" w:lineRule="auto"/>
              <w:rPr>
                <w:rFonts w:ascii="等线" w:eastAsia="等线" w:hAnsi="等线" w:cs="宋体" w:hint="eastAsia"/>
                <w:color w:val="000000"/>
                <w:kern w:val="0"/>
                <w:szCs w:val="22"/>
                <w14:ligatures w14:val="none"/>
              </w:rPr>
            </w:pPr>
            <w:r w:rsidRPr="00FF001E">
              <w:rPr>
                <w:rFonts w:ascii="等线" w:eastAsia="等线" w:hAnsi="等线" w:cs="宋体" w:hint="eastAsia"/>
                <w:color w:val="000000"/>
                <w:kern w:val="0"/>
                <w:szCs w:val="22"/>
                <w14:ligatures w14:val="none"/>
              </w:rPr>
              <w:t>800G</w:t>
            </w:r>
          </w:p>
        </w:tc>
        <w:tc>
          <w:tcPr>
            <w:tcW w:w="944" w:type="dxa"/>
            <w:noWrap/>
            <w:vAlign w:val="center"/>
            <w:hideMark/>
          </w:tcPr>
          <w:p w14:paraId="11F959C7" w14:textId="77777777" w:rsidR="00646D7A" w:rsidRPr="00FF001E" w:rsidRDefault="00646D7A" w:rsidP="004670C2">
            <w:pPr>
              <w:widowControl/>
              <w:spacing w:after="0" w:line="240" w:lineRule="auto"/>
              <w:rPr>
                <w:rFonts w:ascii="等线" w:eastAsia="等线" w:hAnsi="等线" w:cs="宋体" w:hint="eastAsia"/>
                <w:color w:val="000000"/>
                <w:kern w:val="0"/>
                <w:szCs w:val="22"/>
                <w14:ligatures w14:val="none"/>
              </w:rPr>
            </w:pPr>
            <w:r w:rsidRPr="00FF001E">
              <w:rPr>
                <w:rFonts w:ascii="等线" w:eastAsia="等线" w:hAnsi="等线" w:cs="宋体" w:hint="eastAsia"/>
                <w:color w:val="000000"/>
                <w:kern w:val="0"/>
                <w:szCs w:val="22"/>
                <w14:ligatures w14:val="none"/>
              </w:rPr>
              <w:t>成长期后期</w:t>
            </w:r>
          </w:p>
        </w:tc>
        <w:tc>
          <w:tcPr>
            <w:tcW w:w="4500" w:type="dxa"/>
            <w:noWrap/>
            <w:vAlign w:val="center"/>
            <w:hideMark/>
          </w:tcPr>
          <w:p w14:paraId="25F5E2DD" w14:textId="77777777" w:rsidR="00646D7A" w:rsidRPr="00FF001E" w:rsidRDefault="00646D7A" w:rsidP="004670C2">
            <w:pPr>
              <w:widowControl/>
              <w:spacing w:after="0" w:line="240" w:lineRule="auto"/>
              <w:rPr>
                <w:rFonts w:ascii="等线" w:eastAsia="等线" w:hAnsi="等线" w:cs="宋体" w:hint="eastAsia"/>
                <w:color w:val="000000"/>
                <w:kern w:val="0"/>
                <w:szCs w:val="22"/>
                <w14:ligatures w14:val="none"/>
              </w:rPr>
            </w:pPr>
            <w:r w:rsidRPr="00FF001E">
              <w:rPr>
                <w:rFonts w:ascii="等线" w:eastAsia="等线" w:hAnsi="等线" w:cs="宋体" w:hint="eastAsia"/>
                <w:color w:val="000000"/>
                <w:kern w:val="0"/>
                <w:szCs w:val="22"/>
                <w14:ligatures w14:val="none"/>
              </w:rPr>
              <w:t>出货量绝对值最大（2026年预计3000-5000万只），但增速边际放缓至60%</w:t>
            </w:r>
            <w:r>
              <w:rPr>
                <w:rFonts w:ascii="等线" w:eastAsia="等线" w:hAnsi="等线" w:cs="宋体" w:hint="eastAsia"/>
                <w:color w:val="000000"/>
                <w:kern w:val="0"/>
                <w:szCs w:val="22"/>
                <w14:ligatures w14:val="none"/>
              </w:rPr>
              <w:t>左</w:t>
            </w:r>
            <w:r w:rsidRPr="00FF001E">
              <w:rPr>
                <w:rFonts w:ascii="等线" w:eastAsia="等线" w:hAnsi="等线" w:cs="宋体" w:hint="eastAsia"/>
                <w:color w:val="000000"/>
                <w:kern w:val="0"/>
                <w:szCs w:val="22"/>
                <w14:ligatures w14:val="none"/>
              </w:rPr>
              <w:t>右</w:t>
            </w:r>
          </w:p>
        </w:tc>
        <w:tc>
          <w:tcPr>
            <w:tcW w:w="2312" w:type="dxa"/>
            <w:noWrap/>
            <w:vAlign w:val="center"/>
            <w:hideMark/>
          </w:tcPr>
          <w:p w14:paraId="650CFB45" w14:textId="77777777" w:rsidR="00646D7A" w:rsidRPr="00FF001E" w:rsidRDefault="00646D7A" w:rsidP="004670C2">
            <w:pPr>
              <w:widowControl/>
              <w:spacing w:after="0" w:line="240" w:lineRule="auto"/>
              <w:rPr>
                <w:rFonts w:ascii="等线" w:eastAsia="等线" w:hAnsi="等线" w:cs="宋体" w:hint="eastAsia"/>
                <w:color w:val="000000"/>
                <w:kern w:val="0"/>
                <w:szCs w:val="22"/>
                <w14:ligatures w14:val="none"/>
              </w:rPr>
            </w:pPr>
            <w:r w:rsidRPr="00FF001E">
              <w:rPr>
                <w:rFonts w:ascii="等线" w:eastAsia="等线" w:hAnsi="等线" w:cs="宋体" w:hint="eastAsia"/>
                <w:color w:val="000000"/>
                <w:kern w:val="0"/>
                <w:szCs w:val="22"/>
                <w14:ligatures w14:val="none"/>
              </w:rPr>
              <w:t>北美四大云厂商（AWS/Azure/谷歌/Meta）</w:t>
            </w:r>
          </w:p>
        </w:tc>
      </w:tr>
      <w:tr w:rsidR="00646D7A" w:rsidRPr="00FF001E" w14:paraId="6FBADE42" w14:textId="77777777" w:rsidTr="004670C2">
        <w:trPr>
          <w:trHeight w:val="285"/>
        </w:trPr>
        <w:tc>
          <w:tcPr>
            <w:tcW w:w="1319" w:type="dxa"/>
            <w:noWrap/>
            <w:vAlign w:val="center"/>
            <w:hideMark/>
          </w:tcPr>
          <w:p w14:paraId="17753F59" w14:textId="77777777" w:rsidR="00646D7A" w:rsidRPr="00FF001E" w:rsidRDefault="00646D7A" w:rsidP="004670C2">
            <w:pPr>
              <w:widowControl/>
              <w:spacing w:after="0" w:line="240" w:lineRule="auto"/>
              <w:rPr>
                <w:rFonts w:ascii="等线" w:eastAsia="等线" w:hAnsi="等线" w:cs="宋体" w:hint="eastAsia"/>
                <w:color w:val="000000"/>
                <w:kern w:val="0"/>
                <w:szCs w:val="22"/>
                <w14:ligatures w14:val="none"/>
              </w:rPr>
            </w:pPr>
            <w:r w:rsidRPr="00FF001E">
              <w:rPr>
                <w:rFonts w:ascii="等线" w:eastAsia="等线" w:hAnsi="等线" w:cs="宋体" w:hint="eastAsia"/>
                <w:color w:val="000000"/>
                <w:kern w:val="0"/>
                <w:szCs w:val="22"/>
                <w14:ligatures w14:val="none"/>
              </w:rPr>
              <w:t>1.6T</w:t>
            </w:r>
          </w:p>
        </w:tc>
        <w:tc>
          <w:tcPr>
            <w:tcW w:w="944" w:type="dxa"/>
            <w:noWrap/>
            <w:vAlign w:val="center"/>
            <w:hideMark/>
          </w:tcPr>
          <w:p w14:paraId="080C0863" w14:textId="77777777" w:rsidR="00646D7A" w:rsidRPr="00FF001E" w:rsidRDefault="00646D7A" w:rsidP="004670C2">
            <w:pPr>
              <w:widowControl/>
              <w:spacing w:after="0" w:line="240" w:lineRule="auto"/>
              <w:rPr>
                <w:rFonts w:ascii="等线" w:eastAsia="等线" w:hAnsi="等线" w:cs="宋体" w:hint="eastAsia"/>
                <w:color w:val="000000"/>
                <w:kern w:val="0"/>
                <w:szCs w:val="22"/>
                <w14:ligatures w14:val="none"/>
              </w:rPr>
            </w:pPr>
            <w:r w:rsidRPr="00FF001E">
              <w:rPr>
                <w:rFonts w:ascii="等线" w:eastAsia="等线" w:hAnsi="等线" w:cs="宋体" w:hint="eastAsia"/>
                <w:color w:val="000000"/>
                <w:kern w:val="0"/>
                <w:szCs w:val="22"/>
                <w14:ligatures w14:val="none"/>
              </w:rPr>
              <w:t>成长期早期</w:t>
            </w:r>
          </w:p>
        </w:tc>
        <w:tc>
          <w:tcPr>
            <w:tcW w:w="4500" w:type="dxa"/>
            <w:noWrap/>
            <w:vAlign w:val="center"/>
            <w:hideMark/>
          </w:tcPr>
          <w:p w14:paraId="50AA6347" w14:textId="77777777" w:rsidR="00646D7A" w:rsidRPr="00FF001E" w:rsidRDefault="00646D7A" w:rsidP="004670C2">
            <w:pPr>
              <w:widowControl/>
              <w:spacing w:after="0" w:line="240" w:lineRule="auto"/>
              <w:rPr>
                <w:rFonts w:ascii="等线" w:eastAsia="等线" w:hAnsi="等线" w:cs="宋体" w:hint="eastAsia"/>
                <w:color w:val="000000"/>
                <w:kern w:val="0"/>
                <w:szCs w:val="22"/>
                <w14:ligatures w14:val="none"/>
              </w:rPr>
            </w:pPr>
            <w:r w:rsidRPr="00FF001E">
              <w:rPr>
                <w:rFonts w:ascii="等线" w:eastAsia="等线" w:hAnsi="等线" w:cs="宋体" w:hint="eastAsia"/>
                <w:color w:val="000000"/>
                <w:kern w:val="0"/>
                <w:szCs w:val="22"/>
                <w14:ligatures w14:val="none"/>
              </w:rPr>
              <w:t>2026年商业化元年，英伟达Rubin平台独占80%</w:t>
            </w:r>
            <w:r>
              <w:rPr>
                <w:rFonts w:ascii="等线" w:eastAsia="等线" w:hAnsi="等线" w:cs="宋体" w:hint="eastAsia"/>
                <w:color w:val="000000"/>
                <w:kern w:val="0"/>
                <w:szCs w:val="22"/>
                <w14:ligatures w14:val="none"/>
              </w:rPr>
              <w:t>份</w:t>
            </w:r>
            <w:r w:rsidRPr="00FF001E">
              <w:rPr>
                <w:rFonts w:ascii="等线" w:eastAsia="等线" w:hAnsi="等线" w:cs="宋体" w:hint="eastAsia"/>
                <w:color w:val="000000"/>
                <w:kern w:val="0"/>
                <w:szCs w:val="22"/>
                <w14:ligatures w14:val="none"/>
              </w:rPr>
              <w:t>额，ASP从1000美元降至850美元</w:t>
            </w:r>
          </w:p>
        </w:tc>
        <w:tc>
          <w:tcPr>
            <w:tcW w:w="2312" w:type="dxa"/>
            <w:noWrap/>
            <w:vAlign w:val="center"/>
            <w:hideMark/>
          </w:tcPr>
          <w:p w14:paraId="33AF862B" w14:textId="77777777" w:rsidR="00646D7A" w:rsidRPr="00FF001E" w:rsidRDefault="00646D7A" w:rsidP="004670C2">
            <w:pPr>
              <w:widowControl/>
              <w:spacing w:after="0" w:line="240" w:lineRule="auto"/>
              <w:rPr>
                <w:rFonts w:ascii="等线" w:eastAsia="等线" w:hAnsi="等线" w:cs="宋体" w:hint="eastAsia"/>
                <w:color w:val="000000"/>
                <w:kern w:val="0"/>
                <w:szCs w:val="22"/>
                <w14:ligatures w14:val="none"/>
              </w:rPr>
            </w:pPr>
            <w:r w:rsidRPr="00FF001E">
              <w:rPr>
                <w:rFonts w:ascii="等线" w:eastAsia="等线" w:hAnsi="等线" w:cs="宋体" w:hint="eastAsia"/>
                <w:color w:val="000000"/>
                <w:kern w:val="0"/>
                <w:szCs w:val="22"/>
                <w14:ligatures w14:val="none"/>
              </w:rPr>
              <w:t>英伟达GPU集群、下一代AI超算</w:t>
            </w:r>
          </w:p>
        </w:tc>
      </w:tr>
      <w:tr w:rsidR="00646D7A" w:rsidRPr="00FF001E" w14:paraId="696D6A4D" w14:textId="77777777" w:rsidTr="004670C2">
        <w:trPr>
          <w:trHeight w:val="285"/>
        </w:trPr>
        <w:tc>
          <w:tcPr>
            <w:tcW w:w="1319" w:type="dxa"/>
            <w:noWrap/>
            <w:vAlign w:val="center"/>
            <w:hideMark/>
          </w:tcPr>
          <w:p w14:paraId="6EED847B" w14:textId="77777777" w:rsidR="00646D7A" w:rsidRPr="00FF001E" w:rsidRDefault="00646D7A" w:rsidP="004670C2">
            <w:pPr>
              <w:widowControl/>
              <w:spacing w:after="0" w:line="240" w:lineRule="auto"/>
              <w:rPr>
                <w:rFonts w:ascii="等线" w:eastAsia="等线" w:hAnsi="等线" w:cs="宋体" w:hint="eastAsia"/>
                <w:color w:val="000000"/>
                <w:kern w:val="0"/>
                <w:szCs w:val="22"/>
                <w14:ligatures w14:val="none"/>
              </w:rPr>
            </w:pPr>
            <w:r w:rsidRPr="00FF001E">
              <w:rPr>
                <w:rFonts w:ascii="等线" w:eastAsia="等线" w:hAnsi="等线" w:cs="宋体" w:hint="eastAsia"/>
                <w:color w:val="000000"/>
                <w:kern w:val="0"/>
                <w:szCs w:val="22"/>
                <w14:ligatures w14:val="none"/>
              </w:rPr>
              <w:t>CPO/Scale-up</w:t>
            </w:r>
          </w:p>
        </w:tc>
        <w:tc>
          <w:tcPr>
            <w:tcW w:w="944" w:type="dxa"/>
            <w:noWrap/>
            <w:vAlign w:val="center"/>
            <w:hideMark/>
          </w:tcPr>
          <w:p w14:paraId="2900624A" w14:textId="77777777" w:rsidR="00646D7A" w:rsidRPr="00FF001E" w:rsidRDefault="00646D7A" w:rsidP="004670C2">
            <w:pPr>
              <w:widowControl/>
              <w:spacing w:after="0" w:line="240" w:lineRule="auto"/>
              <w:rPr>
                <w:rFonts w:ascii="等线" w:eastAsia="等线" w:hAnsi="等线" w:cs="宋体" w:hint="eastAsia"/>
                <w:color w:val="000000"/>
                <w:kern w:val="0"/>
                <w:szCs w:val="22"/>
                <w14:ligatures w14:val="none"/>
              </w:rPr>
            </w:pPr>
            <w:r w:rsidRPr="00FF001E">
              <w:rPr>
                <w:rFonts w:ascii="等线" w:eastAsia="等线" w:hAnsi="等线" w:cs="宋体" w:hint="eastAsia"/>
                <w:color w:val="000000"/>
                <w:kern w:val="0"/>
                <w:szCs w:val="22"/>
                <w14:ligatures w14:val="none"/>
              </w:rPr>
              <w:t>导入期</w:t>
            </w:r>
          </w:p>
        </w:tc>
        <w:tc>
          <w:tcPr>
            <w:tcW w:w="4500" w:type="dxa"/>
            <w:noWrap/>
            <w:vAlign w:val="center"/>
            <w:hideMark/>
          </w:tcPr>
          <w:p w14:paraId="0EC77140" w14:textId="77777777" w:rsidR="00646D7A" w:rsidRPr="00FF001E" w:rsidRDefault="00646D7A" w:rsidP="004670C2">
            <w:pPr>
              <w:widowControl/>
              <w:spacing w:after="0" w:line="240" w:lineRule="auto"/>
              <w:rPr>
                <w:rFonts w:ascii="等线" w:eastAsia="等线" w:hAnsi="等线" w:cs="宋体" w:hint="eastAsia"/>
                <w:color w:val="000000"/>
                <w:kern w:val="0"/>
                <w:szCs w:val="22"/>
                <w14:ligatures w14:val="none"/>
              </w:rPr>
            </w:pPr>
            <w:r w:rsidRPr="00FF001E">
              <w:rPr>
                <w:rFonts w:ascii="等线" w:eastAsia="等线" w:hAnsi="等线" w:cs="宋体" w:hint="eastAsia"/>
                <w:color w:val="000000"/>
                <w:kern w:val="0"/>
                <w:szCs w:val="22"/>
                <w14:ligatures w14:val="none"/>
              </w:rPr>
              <w:t>2026年渗透率仅3%，博通/台积电技术验证中，2027-2028关键卡位</w:t>
            </w:r>
          </w:p>
        </w:tc>
        <w:tc>
          <w:tcPr>
            <w:tcW w:w="2312" w:type="dxa"/>
            <w:noWrap/>
            <w:vAlign w:val="center"/>
            <w:hideMark/>
          </w:tcPr>
          <w:p w14:paraId="145058DA" w14:textId="77777777" w:rsidR="00646D7A" w:rsidRPr="00FF001E" w:rsidRDefault="00646D7A" w:rsidP="004670C2">
            <w:pPr>
              <w:widowControl/>
              <w:spacing w:after="0" w:line="240" w:lineRule="auto"/>
              <w:rPr>
                <w:rFonts w:ascii="等线" w:eastAsia="等线" w:hAnsi="等线" w:cs="宋体" w:hint="eastAsia"/>
                <w:color w:val="000000"/>
                <w:kern w:val="0"/>
                <w:szCs w:val="22"/>
                <w14:ligatures w14:val="none"/>
              </w:rPr>
            </w:pPr>
            <w:r w:rsidRPr="00FF001E">
              <w:rPr>
                <w:rFonts w:ascii="等线" w:eastAsia="等线" w:hAnsi="等线" w:cs="宋体" w:hint="eastAsia"/>
                <w:color w:val="000000"/>
                <w:kern w:val="0"/>
                <w:szCs w:val="22"/>
                <w14:ligatures w14:val="none"/>
              </w:rPr>
              <w:t>英伟达Rubin Ultra、谷歌TPU Ironwood</w:t>
            </w:r>
          </w:p>
        </w:tc>
      </w:tr>
    </w:tbl>
    <w:p w14:paraId="2593F446" w14:textId="77777777" w:rsidR="00646D7A" w:rsidRDefault="00646D7A" w:rsidP="00646D7A">
      <w:pPr>
        <w:rPr>
          <w:rFonts w:hint="eastAsia"/>
        </w:rPr>
      </w:pPr>
      <w:r>
        <w:rPr>
          <w:rFonts w:hint="eastAsia"/>
        </w:rPr>
        <w:t>而对于未来的路线，则远未称得上收敛</w:t>
      </w:r>
    </w:p>
    <w:p w14:paraId="380EF546" w14:textId="77777777" w:rsidR="00646D7A" w:rsidRPr="00DA2302" w:rsidRDefault="00646D7A" w:rsidP="00646D7A">
      <w:pPr>
        <w:rPr>
          <w:rFonts w:ascii="楷体" w:eastAsia="楷体" w:hAnsi="楷体" w:hint="eastAsia"/>
          <w:sz w:val="24"/>
        </w:rPr>
      </w:pPr>
      <w:r w:rsidRPr="007710CE">
        <w:rPr>
          <w:rFonts w:ascii="楷体" w:eastAsia="楷体" w:hAnsi="楷体"/>
          <w:noProof/>
          <w:sz w:val="24"/>
        </w:rPr>
        <w:lastRenderedPageBreak/>
        <w:drawing>
          <wp:inline distT="0" distB="0" distL="0" distR="0" wp14:anchorId="61D1757F" wp14:editId="44060FF5">
            <wp:extent cx="5432312" cy="3036627"/>
            <wp:effectExtent l="0" t="0" r="0" b="0"/>
            <wp:docPr id="405628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40178" cy="3041024"/>
                    </a:xfrm>
                    <a:prstGeom prst="rect">
                      <a:avLst/>
                    </a:prstGeom>
                    <a:noFill/>
                    <a:ln>
                      <a:noFill/>
                    </a:ln>
                  </pic:spPr>
                </pic:pic>
              </a:graphicData>
            </a:graphic>
          </wp:inline>
        </w:drawing>
      </w:r>
    </w:p>
    <w:p w14:paraId="30E46216" w14:textId="77777777" w:rsidR="00646D7A" w:rsidRPr="00776B4D" w:rsidRDefault="00646D7A" w:rsidP="00646D7A">
      <w:pPr>
        <w:ind w:firstLineChars="200" w:firstLine="320"/>
        <w:rPr>
          <w:rFonts w:ascii="楷体" w:eastAsia="楷体" w:hAnsi="楷体" w:hint="eastAsia"/>
          <w:sz w:val="16"/>
          <w:szCs w:val="16"/>
        </w:rPr>
      </w:pPr>
      <w:r w:rsidRPr="00776B4D">
        <w:rPr>
          <w:rFonts w:ascii="楷体" w:eastAsia="楷体" w:hAnsi="楷体" w:hint="eastAsia"/>
          <w:sz w:val="16"/>
          <w:szCs w:val="16"/>
        </w:rPr>
        <w:t>数据来源：</w:t>
      </w:r>
      <w:r>
        <w:rPr>
          <w:rFonts w:ascii="楷体" w:eastAsia="楷体" w:hAnsi="楷体" w:hint="eastAsia"/>
          <w:sz w:val="16"/>
          <w:szCs w:val="16"/>
        </w:rPr>
        <w:t>申万宏源研究</w:t>
      </w:r>
    </w:p>
    <w:p w14:paraId="4493AFCC" w14:textId="77777777" w:rsidR="00646D7A" w:rsidRPr="00AB140F" w:rsidRDefault="00646D7A" w:rsidP="00646D7A">
      <w:pPr>
        <w:rPr>
          <w:rFonts w:hint="eastAsia"/>
        </w:rPr>
      </w:pPr>
    </w:p>
    <w:p w14:paraId="3E851411" w14:textId="55DDF7C1" w:rsidR="00646D7A" w:rsidRDefault="0028046D" w:rsidP="00646D7A">
      <w:pPr>
        <w:rPr>
          <w:rFonts w:hint="eastAsia"/>
        </w:rPr>
      </w:pPr>
      <w:r>
        <w:rPr>
          <w:rFonts w:hint="eastAsia"/>
        </w:rPr>
        <w:t>超节点的情况</w:t>
      </w:r>
    </w:p>
    <w:p w14:paraId="41C7B098" w14:textId="2A384C9A" w:rsidR="0028046D" w:rsidRPr="00646D7A" w:rsidRDefault="0028046D" w:rsidP="00646D7A">
      <w:pPr>
        <w:rPr>
          <w:rFonts w:hint="eastAsia"/>
        </w:rPr>
      </w:pPr>
      <w:r>
        <w:rPr>
          <w:noProof/>
        </w:rPr>
        <w:drawing>
          <wp:inline distT="0" distB="0" distL="0" distR="0" wp14:anchorId="4CDF770D" wp14:editId="2808303D">
            <wp:extent cx="5274310" cy="2018030"/>
            <wp:effectExtent l="0" t="0" r="2540" b="1270"/>
            <wp:docPr id="629454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54086" name=""/>
                    <pic:cNvPicPr/>
                  </pic:nvPicPr>
                  <pic:blipFill>
                    <a:blip r:embed="rId13"/>
                    <a:stretch>
                      <a:fillRect/>
                    </a:stretch>
                  </pic:blipFill>
                  <pic:spPr>
                    <a:xfrm>
                      <a:off x="0" y="0"/>
                      <a:ext cx="5274310" cy="2018030"/>
                    </a:xfrm>
                    <a:prstGeom prst="rect">
                      <a:avLst/>
                    </a:prstGeom>
                  </pic:spPr>
                </pic:pic>
              </a:graphicData>
            </a:graphic>
          </wp:inline>
        </w:drawing>
      </w:r>
    </w:p>
    <w:p w14:paraId="1B82D015" w14:textId="61C6DC58" w:rsidR="00F528BF" w:rsidRDefault="00771A72" w:rsidP="007C571C">
      <w:pPr>
        <w:pStyle w:val="3"/>
        <w:rPr>
          <w:rFonts w:hint="eastAsia"/>
        </w:rPr>
      </w:pPr>
      <w:r>
        <w:tab/>
      </w:r>
      <w:r w:rsidR="00BD7180">
        <w:rPr>
          <w:rFonts w:hint="eastAsia"/>
        </w:rPr>
        <w:t>3.</w:t>
      </w:r>
      <w:r w:rsidR="00D17872">
        <w:rPr>
          <w:rFonts w:hint="eastAsia"/>
        </w:rPr>
        <w:t>2.2</w:t>
      </w:r>
      <w:r w:rsidR="00F528BF">
        <w:rPr>
          <w:rFonts w:hint="eastAsia"/>
        </w:rPr>
        <w:t>需求上，需求从哪里来?有没有持续性？</w:t>
      </w:r>
      <w:r w:rsidR="007D7047">
        <w:rPr>
          <w:rFonts w:hint="eastAsia"/>
        </w:rPr>
        <w:t>scale up也可以讲讲</w:t>
      </w:r>
    </w:p>
    <w:p w14:paraId="64B64929" w14:textId="13F50ABB" w:rsidR="00D57B1D" w:rsidRDefault="00D57B1D" w:rsidP="00D57B1D">
      <w:pPr>
        <w:rPr>
          <w:rFonts w:ascii="楷体" w:eastAsia="楷体" w:hAnsi="楷体" w:hint="eastAsia"/>
          <w:sz w:val="24"/>
        </w:rPr>
      </w:pPr>
      <w:r>
        <w:rPr>
          <w:rFonts w:ascii="楷体" w:eastAsia="楷体" w:hAnsi="楷体" w:hint="eastAsia"/>
          <w:sz w:val="24"/>
        </w:rPr>
        <w:t>以四大云厂为标志，2026年的Capex上修合计近7000亿美元，接近2025年的两倍。这种量级远超三大运营商2898亿元的开支</w:t>
      </w:r>
    </w:p>
    <w:p w14:paraId="4021A3E1" w14:textId="77777777" w:rsidR="00D57B1D" w:rsidRPr="00886A8B" w:rsidRDefault="00D57B1D" w:rsidP="00D57B1D">
      <w:pPr>
        <w:jc w:val="center"/>
        <w:rPr>
          <w:rFonts w:ascii="楷体" w:eastAsia="楷体" w:hAnsi="楷体" w:hint="eastAsia"/>
          <w:sz w:val="21"/>
          <w:szCs w:val="21"/>
        </w:rPr>
      </w:pPr>
      <w:r w:rsidRPr="00886A8B">
        <w:rPr>
          <w:rFonts w:ascii="楷体" w:eastAsia="楷体" w:hAnsi="楷体" w:hint="eastAsia"/>
          <w:sz w:val="21"/>
          <w:szCs w:val="21"/>
        </w:rPr>
        <w:t>表：四大云厂25-26开支及增长率</w:t>
      </w:r>
    </w:p>
    <w:tbl>
      <w:tblPr>
        <w:tblStyle w:val="af2"/>
        <w:tblW w:w="0" w:type="auto"/>
        <w:tblInd w:w="279" w:type="dxa"/>
        <w:tblLook w:val="04A0" w:firstRow="1" w:lastRow="0" w:firstColumn="1" w:lastColumn="0" w:noHBand="0" w:noVBand="1"/>
      </w:tblPr>
      <w:tblGrid>
        <w:gridCol w:w="1559"/>
        <w:gridCol w:w="1858"/>
        <w:gridCol w:w="2253"/>
        <w:gridCol w:w="1701"/>
      </w:tblGrid>
      <w:tr w:rsidR="00D57B1D" w:rsidRPr="00886A8B" w14:paraId="724718E9" w14:textId="77777777" w:rsidTr="004670C2">
        <w:tc>
          <w:tcPr>
            <w:tcW w:w="1559" w:type="dxa"/>
          </w:tcPr>
          <w:p w14:paraId="6598BD7C"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四大云商</w:t>
            </w:r>
          </w:p>
        </w:tc>
        <w:tc>
          <w:tcPr>
            <w:tcW w:w="1858" w:type="dxa"/>
          </w:tcPr>
          <w:p w14:paraId="2FAA3A94"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25Capex</w:t>
            </w:r>
          </w:p>
        </w:tc>
        <w:tc>
          <w:tcPr>
            <w:tcW w:w="2253" w:type="dxa"/>
          </w:tcPr>
          <w:p w14:paraId="30961543"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26CapexE</w:t>
            </w:r>
          </w:p>
        </w:tc>
        <w:tc>
          <w:tcPr>
            <w:tcW w:w="1701" w:type="dxa"/>
          </w:tcPr>
          <w:p w14:paraId="08BA687C"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增长率</w:t>
            </w:r>
          </w:p>
        </w:tc>
      </w:tr>
      <w:tr w:rsidR="00D57B1D" w:rsidRPr="00886A8B" w14:paraId="4DB28F10" w14:textId="77777777" w:rsidTr="004670C2">
        <w:tc>
          <w:tcPr>
            <w:tcW w:w="1559" w:type="dxa"/>
          </w:tcPr>
          <w:p w14:paraId="2C93A7DE"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谷歌</w:t>
            </w:r>
          </w:p>
        </w:tc>
        <w:tc>
          <w:tcPr>
            <w:tcW w:w="1858" w:type="dxa"/>
          </w:tcPr>
          <w:p w14:paraId="379BC7FD"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914亿美元</w:t>
            </w:r>
          </w:p>
        </w:tc>
        <w:tc>
          <w:tcPr>
            <w:tcW w:w="2253" w:type="dxa"/>
          </w:tcPr>
          <w:p w14:paraId="6E5414AA"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1750-1850亿美元</w:t>
            </w:r>
          </w:p>
        </w:tc>
        <w:tc>
          <w:tcPr>
            <w:tcW w:w="1701" w:type="dxa"/>
          </w:tcPr>
          <w:p w14:paraId="2AA9C335"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91.5%-102.4%</w:t>
            </w:r>
          </w:p>
        </w:tc>
      </w:tr>
      <w:tr w:rsidR="00D57B1D" w:rsidRPr="00886A8B" w14:paraId="699F42FC" w14:textId="77777777" w:rsidTr="004670C2">
        <w:tc>
          <w:tcPr>
            <w:tcW w:w="1559" w:type="dxa"/>
          </w:tcPr>
          <w:p w14:paraId="5627253D"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lastRenderedPageBreak/>
              <w:t>亚马逊</w:t>
            </w:r>
          </w:p>
        </w:tc>
        <w:tc>
          <w:tcPr>
            <w:tcW w:w="1858" w:type="dxa"/>
          </w:tcPr>
          <w:p w14:paraId="36CC797D"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1318亿美元</w:t>
            </w:r>
          </w:p>
        </w:tc>
        <w:tc>
          <w:tcPr>
            <w:tcW w:w="2253" w:type="dxa"/>
          </w:tcPr>
          <w:p w14:paraId="5D5D9291"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2000亿美元</w:t>
            </w:r>
          </w:p>
        </w:tc>
        <w:tc>
          <w:tcPr>
            <w:tcW w:w="1701" w:type="dxa"/>
          </w:tcPr>
          <w:p w14:paraId="69CC9C90"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51.7%</w:t>
            </w:r>
          </w:p>
        </w:tc>
      </w:tr>
      <w:tr w:rsidR="00D57B1D" w:rsidRPr="00886A8B" w14:paraId="4C123F1F" w14:textId="77777777" w:rsidTr="004670C2">
        <w:tc>
          <w:tcPr>
            <w:tcW w:w="1559" w:type="dxa"/>
          </w:tcPr>
          <w:p w14:paraId="1DD9B55C"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微软</w:t>
            </w:r>
            <w:r>
              <w:rPr>
                <w:rFonts w:ascii="楷体" w:eastAsia="楷体" w:hAnsi="楷体" w:hint="eastAsia"/>
                <w:sz w:val="21"/>
                <w:szCs w:val="21"/>
              </w:rPr>
              <w:t>（含测）</w:t>
            </w:r>
          </w:p>
        </w:tc>
        <w:tc>
          <w:tcPr>
            <w:tcW w:w="1858" w:type="dxa"/>
          </w:tcPr>
          <w:p w14:paraId="440F4EE8"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842亿美元</w:t>
            </w:r>
          </w:p>
        </w:tc>
        <w:tc>
          <w:tcPr>
            <w:tcW w:w="2253" w:type="dxa"/>
          </w:tcPr>
          <w:p w14:paraId="1A52F4DF"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1500-1650亿美元</w:t>
            </w:r>
          </w:p>
        </w:tc>
        <w:tc>
          <w:tcPr>
            <w:tcW w:w="1701" w:type="dxa"/>
          </w:tcPr>
          <w:p w14:paraId="7B88D9A3"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78.1%-95.9%</w:t>
            </w:r>
          </w:p>
        </w:tc>
      </w:tr>
      <w:tr w:rsidR="00D57B1D" w:rsidRPr="00886A8B" w14:paraId="745E3154" w14:textId="77777777" w:rsidTr="004670C2">
        <w:tc>
          <w:tcPr>
            <w:tcW w:w="1559" w:type="dxa"/>
          </w:tcPr>
          <w:p w14:paraId="730C5A4E"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Meta</w:t>
            </w:r>
          </w:p>
        </w:tc>
        <w:tc>
          <w:tcPr>
            <w:tcW w:w="1858" w:type="dxa"/>
          </w:tcPr>
          <w:p w14:paraId="3BF15E91"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722亿美元</w:t>
            </w:r>
          </w:p>
        </w:tc>
        <w:tc>
          <w:tcPr>
            <w:tcW w:w="2253" w:type="dxa"/>
          </w:tcPr>
          <w:p w14:paraId="35C5C0CF"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1150-1350亿美元</w:t>
            </w:r>
          </w:p>
        </w:tc>
        <w:tc>
          <w:tcPr>
            <w:tcW w:w="1701" w:type="dxa"/>
          </w:tcPr>
          <w:p w14:paraId="7E82A0C2"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59.2%-86.9%</w:t>
            </w:r>
          </w:p>
        </w:tc>
      </w:tr>
      <w:tr w:rsidR="00D57B1D" w:rsidRPr="00886A8B" w14:paraId="58C91B58" w14:textId="77777777" w:rsidTr="004670C2">
        <w:tc>
          <w:tcPr>
            <w:tcW w:w="1559" w:type="dxa"/>
          </w:tcPr>
          <w:p w14:paraId="5C975149"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合计</w:t>
            </w:r>
          </w:p>
        </w:tc>
        <w:tc>
          <w:tcPr>
            <w:tcW w:w="1858" w:type="dxa"/>
          </w:tcPr>
          <w:p w14:paraId="34163B68"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3796亿美元</w:t>
            </w:r>
          </w:p>
        </w:tc>
        <w:tc>
          <w:tcPr>
            <w:tcW w:w="2253" w:type="dxa"/>
          </w:tcPr>
          <w:p w14:paraId="53F1CF1C"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6400-6850亿美元</w:t>
            </w:r>
          </w:p>
        </w:tc>
        <w:tc>
          <w:tcPr>
            <w:tcW w:w="1701" w:type="dxa"/>
          </w:tcPr>
          <w:p w14:paraId="7EA34633" w14:textId="77777777" w:rsidR="00D57B1D" w:rsidRPr="00886A8B" w:rsidRDefault="00D57B1D" w:rsidP="004670C2">
            <w:pPr>
              <w:rPr>
                <w:rFonts w:ascii="楷体" w:eastAsia="楷体" w:hAnsi="楷体" w:hint="eastAsia"/>
                <w:sz w:val="21"/>
                <w:szCs w:val="21"/>
              </w:rPr>
            </w:pPr>
            <w:r w:rsidRPr="00886A8B">
              <w:rPr>
                <w:rFonts w:ascii="楷体" w:eastAsia="楷体" w:hAnsi="楷体" w:hint="eastAsia"/>
                <w:sz w:val="21"/>
                <w:szCs w:val="21"/>
              </w:rPr>
              <w:t>68.6%-80.5%</w:t>
            </w:r>
          </w:p>
        </w:tc>
      </w:tr>
    </w:tbl>
    <w:p w14:paraId="362AF2E2" w14:textId="77777777" w:rsidR="00D57B1D" w:rsidRDefault="00D57B1D" w:rsidP="00D57B1D">
      <w:pPr>
        <w:ind w:firstLineChars="200" w:firstLine="320"/>
        <w:rPr>
          <w:rFonts w:ascii="楷体" w:eastAsia="楷体" w:hAnsi="楷体" w:hint="eastAsia"/>
          <w:sz w:val="16"/>
          <w:szCs w:val="16"/>
        </w:rPr>
      </w:pPr>
      <w:r w:rsidRPr="00776B4D">
        <w:rPr>
          <w:rFonts w:ascii="楷体" w:eastAsia="楷体" w:hAnsi="楷体" w:hint="eastAsia"/>
          <w:sz w:val="16"/>
          <w:szCs w:val="16"/>
        </w:rPr>
        <w:t>数据来源：长江证券，川江测算</w:t>
      </w:r>
    </w:p>
    <w:p w14:paraId="28B4A1DE" w14:textId="77777777" w:rsidR="00D57B1D" w:rsidRPr="00776B4D" w:rsidRDefault="00D57B1D" w:rsidP="00D57B1D">
      <w:pPr>
        <w:ind w:firstLineChars="200" w:firstLine="320"/>
        <w:rPr>
          <w:rFonts w:ascii="楷体" w:eastAsia="楷体" w:hAnsi="楷体" w:hint="eastAsia"/>
          <w:sz w:val="16"/>
          <w:szCs w:val="16"/>
        </w:rPr>
      </w:pPr>
      <w:r>
        <w:rPr>
          <w:rFonts w:ascii="楷体" w:eastAsia="楷体" w:hAnsi="楷体" w:hint="eastAsia"/>
          <w:sz w:val="16"/>
          <w:szCs w:val="16"/>
        </w:rPr>
        <w:t>建议取华泰50+增速，长江有点太高了</w:t>
      </w:r>
    </w:p>
    <w:p w14:paraId="15EDE795" w14:textId="77777777" w:rsidR="00253985" w:rsidRPr="00253985" w:rsidRDefault="00253985" w:rsidP="00253985">
      <w:pPr>
        <w:rPr>
          <w:rFonts w:hint="eastAsia"/>
        </w:rPr>
      </w:pPr>
      <w:r w:rsidRPr="00253985">
        <w:t>一、需求从哪里来——两条主线</w:t>
      </w:r>
      <w:r w:rsidRPr="00253985">
        <w:br/>
      </w:r>
      <w:r w:rsidRPr="00253985">
        <w:br/>
        <w:t>1. 海外：AI训练集群规模持续膨胀</w:t>
      </w:r>
    </w:p>
    <w:p w14:paraId="62DA070F" w14:textId="77777777" w:rsidR="00253985" w:rsidRPr="00253985" w:rsidRDefault="00253985" w:rsidP="00253985">
      <w:pPr>
        <w:numPr>
          <w:ilvl w:val="0"/>
          <w:numId w:val="5"/>
        </w:numPr>
        <w:rPr>
          <w:rFonts w:hint="eastAsia"/>
        </w:rPr>
      </w:pPr>
      <w:r w:rsidRPr="00253985">
        <w:rPr>
          <w:highlight w:val="yellow"/>
        </w:rPr>
        <w:t>四大云商</w:t>
      </w:r>
      <w:r w:rsidRPr="00253985">
        <w:t>（微软、谷歌、Meta、亚马逊）26年Capex全面高增，AI投入已形成"投入→变现→再投入"的闭环</w:t>
      </w:r>
    </w:p>
    <w:p w14:paraId="614DB2AC" w14:textId="77777777" w:rsidR="00253985" w:rsidRPr="00253985" w:rsidRDefault="00253985" w:rsidP="00253985">
      <w:pPr>
        <w:numPr>
          <w:ilvl w:val="0"/>
          <w:numId w:val="6"/>
        </w:numPr>
        <w:rPr>
          <w:rFonts w:hint="eastAsia"/>
        </w:rPr>
      </w:pPr>
      <w:r w:rsidRPr="00253985">
        <w:t>Meta表示正在加速建设GW级别超大规模集群</w:t>
      </w:r>
    </w:p>
    <w:p w14:paraId="7CCC63B8" w14:textId="77777777" w:rsidR="00253985" w:rsidRPr="00253985" w:rsidRDefault="00253985" w:rsidP="00253985">
      <w:pPr>
        <w:numPr>
          <w:ilvl w:val="0"/>
          <w:numId w:val="7"/>
        </w:numPr>
        <w:rPr>
          <w:rFonts w:hint="eastAsia"/>
        </w:rPr>
      </w:pPr>
      <w:r w:rsidRPr="00253985">
        <w:rPr>
          <w:highlight w:val="yellow"/>
        </w:rPr>
        <w:t>英伟达Blackwell需求强劲</w:t>
      </w:r>
      <w:r w:rsidRPr="00253985">
        <w:t>，网络业务同比+263%；Rubin平台26H2量产</w:t>
      </w:r>
    </w:p>
    <w:p w14:paraId="481A97FC" w14:textId="77777777" w:rsidR="00253985" w:rsidRPr="00253985" w:rsidRDefault="00253985" w:rsidP="00253985">
      <w:pPr>
        <w:rPr>
          <w:rFonts w:hint="eastAsia"/>
        </w:rPr>
      </w:pPr>
      <w:r w:rsidRPr="00253985">
        <w:t>2. 国内：推理算力需求爆发</w:t>
      </w:r>
    </w:p>
    <w:p w14:paraId="3F45680D" w14:textId="77777777" w:rsidR="00253985" w:rsidRPr="00253985" w:rsidRDefault="00253985" w:rsidP="00253985">
      <w:pPr>
        <w:numPr>
          <w:ilvl w:val="0"/>
          <w:numId w:val="8"/>
        </w:numPr>
        <w:rPr>
          <w:rFonts w:hint="eastAsia"/>
        </w:rPr>
      </w:pPr>
      <w:r w:rsidRPr="00253985">
        <w:t>中国AI大模型周</w:t>
      </w:r>
      <w:r w:rsidRPr="00253985">
        <w:rPr>
          <w:highlight w:val="yellow"/>
        </w:rPr>
        <w:t>调用量</w:t>
      </w:r>
      <w:r w:rsidRPr="00253985">
        <w:t>已达12.96万亿Token（周环比+31.5%）</w:t>
      </w:r>
    </w:p>
    <w:p w14:paraId="64B59BD4" w14:textId="03A64EA4" w:rsidR="00253985" w:rsidRPr="00253985" w:rsidRDefault="00253985" w:rsidP="00253985">
      <w:pPr>
        <w:numPr>
          <w:ilvl w:val="0"/>
          <w:numId w:val="9"/>
        </w:numPr>
        <w:rPr>
          <w:rFonts w:hint="eastAsia"/>
        </w:rPr>
      </w:pPr>
      <w:r w:rsidRPr="00253985">
        <w:rPr>
          <w:highlight w:val="yellow"/>
        </w:rPr>
        <w:t>推理算力</w:t>
      </w:r>
      <w:r w:rsidR="00AF50D7">
        <w:rPr>
          <w:rFonts w:hint="eastAsia"/>
          <w:highlight w:val="yellow"/>
        </w:rPr>
        <w:t>（意味着什么）</w:t>
      </w:r>
      <w:r w:rsidRPr="00253985">
        <w:t>增速预期将超过训练算力（银河证券判断）</w:t>
      </w:r>
    </w:p>
    <w:p w14:paraId="2627FD71" w14:textId="1BEA15B2" w:rsidR="00253985" w:rsidRPr="00253985" w:rsidRDefault="00253985" w:rsidP="00253985">
      <w:pPr>
        <w:numPr>
          <w:ilvl w:val="0"/>
          <w:numId w:val="10"/>
        </w:numPr>
        <w:rPr>
          <w:rFonts w:hint="eastAsia"/>
        </w:rPr>
      </w:pPr>
      <w:r w:rsidRPr="00253985">
        <w:rPr>
          <w:highlight w:val="yellow"/>
        </w:rPr>
        <w:t>腾讯云</w:t>
      </w:r>
      <w:r w:rsidR="00AF50D7">
        <w:rPr>
          <w:rFonts w:hint="eastAsia"/>
          <w:highlight w:val="yellow"/>
        </w:rPr>
        <w:t>（好几个云的提价都可以写一写）</w:t>
      </w:r>
      <w:r w:rsidRPr="00253985">
        <w:t>已宣布AI算力涨价5%，说明供需偏紧已传导至下游</w:t>
      </w:r>
    </w:p>
    <w:p w14:paraId="6732A154" w14:textId="77777777" w:rsidR="00253985" w:rsidRPr="00253985" w:rsidRDefault="00253985" w:rsidP="00253985">
      <w:pPr>
        <w:numPr>
          <w:ilvl w:val="0"/>
          <w:numId w:val="11"/>
        </w:numPr>
        <w:rPr>
          <w:rFonts w:hint="eastAsia"/>
        </w:rPr>
      </w:pPr>
      <w:r w:rsidRPr="00253985">
        <w:t>运营商集团层面首次AI超节点集采（移动1万卡），国产算力进入放量元年</w:t>
      </w:r>
    </w:p>
    <w:p w14:paraId="1C640615" w14:textId="77777777" w:rsidR="00253985" w:rsidRPr="00253985" w:rsidRDefault="00253985" w:rsidP="00253985">
      <w:pPr>
        <w:rPr>
          <w:rFonts w:hint="eastAsia"/>
        </w:rPr>
      </w:pPr>
      <w:r w:rsidRPr="00253985">
        <w:t>二、需求有多强——关键信号</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3"/>
        <w:gridCol w:w="3723"/>
        <w:gridCol w:w="2210"/>
      </w:tblGrid>
      <w:tr w:rsidR="00253985" w:rsidRPr="00253985" w14:paraId="6E9E52E8" w14:textId="77777777">
        <w:trPr>
          <w:tblHeader/>
          <w:tblCellSpacing w:w="15" w:type="dxa"/>
        </w:trPr>
        <w:tc>
          <w:tcPr>
            <w:tcW w:w="0" w:type="auto"/>
            <w:vAlign w:val="center"/>
            <w:hideMark/>
          </w:tcPr>
          <w:p w14:paraId="444A230E" w14:textId="77777777" w:rsidR="00253985" w:rsidRPr="00253985" w:rsidRDefault="00253985" w:rsidP="00253985">
            <w:pPr>
              <w:rPr>
                <w:rFonts w:hint="eastAsia"/>
                <w:b/>
                <w:bCs/>
              </w:rPr>
            </w:pPr>
            <w:r w:rsidRPr="00253985">
              <w:rPr>
                <w:b/>
                <w:bCs/>
              </w:rPr>
              <w:t>指标</w:t>
            </w:r>
          </w:p>
        </w:tc>
        <w:tc>
          <w:tcPr>
            <w:tcW w:w="0" w:type="auto"/>
            <w:vAlign w:val="center"/>
            <w:hideMark/>
          </w:tcPr>
          <w:p w14:paraId="6B2F983D" w14:textId="77777777" w:rsidR="00253985" w:rsidRPr="00253985" w:rsidRDefault="00253985" w:rsidP="00253985">
            <w:pPr>
              <w:rPr>
                <w:rFonts w:hint="eastAsia"/>
                <w:b/>
                <w:bCs/>
              </w:rPr>
            </w:pPr>
            <w:r w:rsidRPr="00253985">
              <w:rPr>
                <w:b/>
                <w:bCs/>
              </w:rPr>
              <w:t>数据</w:t>
            </w:r>
          </w:p>
        </w:tc>
        <w:tc>
          <w:tcPr>
            <w:tcW w:w="0" w:type="auto"/>
            <w:vAlign w:val="center"/>
            <w:hideMark/>
          </w:tcPr>
          <w:p w14:paraId="1BF0594B" w14:textId="77777777" w:rsidR="00253985" w:rsidRPr="00253985" w:rsidRDefault="00253985" w:rsidP="00253985">
            <w:pPr>
              <w:rPr>
                <w:rFonts w:hint="eastAsia"/>
                <w:b/>
                <w:bCs/>
              </w:rPr>
            </w:pPr>
            <w:r w:rsidRPr="00253985">
              <w:rPr>
                <w:b/>
                <w:bCs/>
              </w:rPr>
              <w:t>来源</w:t>
            </w:r>
          </w:p>
        </w:tc>
      </w:tr>
      <w:tr w:rsidR="00253985" w:rsidRPr="00253985" w14:paraId="74598E9B" w14:textId="77777777">
        <w:trPr>
          <w:tblCellSpacing w:w="15" w:type="dxa"/>
        </w:trPr>
        <w:tc>
          <w:tcPr>
            <w:tcW w:w="0" w:type="auto"/>
            <w:vAlign w:val="center"/>
            <w:hideMark/>
          </w:tcPr>
          <w:p w14:paraId="4ADF851E" w14:textId="77777777" w:rsidR="00253985" w:rsidRPr="00253985" w:rsidRDefault="00253985" w:rsidP="00253985">
            <w:pPr>
              <w:rPr>
                <w:rFonts w:hint="eastAsia"/>
              </w:rPr>
            </w:pPr>
            <w:r w:rsidRPr="00253985">
              <w:t>Lumentum订单</w:t>
            </w:r>
          </w:p>
        </w:tc>
        <w:tc>
          <w:tcPr>
            <w:tcW w:w="0" w:type="auto"/>
            <w:vAlign w:val="center"/>
            <w:hideMark/>
          </w:tcPr>
          <w:p w14:paraId="7C02AD08" w14:textId="77777777" w:rsidR="00253985" w:rsidRPr="00253985" w:rsidRDefault="00253985" w:rsidP="00253985">
            <w:pPr>
              <w:rPr>
                <w:rFonts w:hint="eastAsia"/>
              </w:rPr>
            </w:pPr>
            <w:r w:rsidRPr="00253985">
              <w:t>排至2028年，再过两个季度全年产能订满</w:t>
            </w:r>
          </w:p>
        </w:tc>
        <w:tc>
          <w:tcPr>
            <w:tcW w:w="0" w:type="auto"/>
            <w:vAlign w:val="center"/>
            <w:hideMark/>
          </w:tcPr>
          <w:p w14:paraId="0DB503A5" w14:textId="77777777" w:rsidR="00253985" w:rsidRPr="00253985" w:rsidRDefault="00253985" w:rsidP="00253985">
            <w:pPr>
              <w:rPr>
                <w:rFonts w:hint="eastAsia"/>
              </w:rPr>
            </w:pPr>
            <w:r w:rsidRPr="00253985">
              <w:t>银河/广发/开源 4/12-13</w:t>
            </w:r>
          </w:p>
        </w:tc>
      </w:tr>
      <w:tr w:rsidR="00253985" w:rsidRPr="00253985" w14:paraId="4E8FB504" w14:textId="77777777">
        <w:trPr>
          <w:tblCellSpacing w:w="15" w:type="dxa"/>
        </w:trPr>
        <w:tc>
          <w:tcPr>
            <w:tcW w:w="0" w:type="auto"/>
            <w:vAlign w:val="center"/>
            <w:hideMark/>
          </w:tcPr>
          <w:p w14:paraId="2AC0BCF5" w14:textId="77777777" w:rsidR="00253985" w:rsidRPr="00253985" w:rsidRDefault="00253985" w:rsidP="00253985">
            <w:pPr>
              <w:rPr>
                <w:rFonts w:hint="eastAsia"/>
              </w:rPr>
            </w:pPr>
            <w:r w:rsidRPr="00253985">
              <w:t>Coherent 1.6T订单出货比</w:t>
            </w:r>
          </w:p>
        </w:tc>
        <w:tc>
          <w:tcPr>
            <w:tcW w:w="0" w:type="auto"/>
            <w:vAlign w:val="center"/>
            <w:hideMark/>
          </w:tcPr>
          <w:p w14:paraId="3F1DC52A" w14:textId="77777777" w:rsidR="00253985" w:rsidRPr="00253985" w:rsidRDefault="00253985" w:rsidP="00253985">
            <w:pPr>
              <w:rPr>
                <w:rFonts w:hint="eastAsia"/>
              </w:rPr>
            </w:pPr>
            <w:r w:rsidRPr="00253985">
              <w:t>超4倍</w:t>
            </w:r>
          </w:p>
        </w:tc>
        <w:tc>
          <w:tcPr>
            <w:tcW w:w="0" w:type="auto"/>
            <w:vAlign w:val="center"/>
            <w:hideMark/>
          </w:tcPr>
          <w:p w14:paraId="7421C501" w14:textId="77777777" w:rsidR="00253985" w:rsidRPr="00253985" w:rsidRDefault="00253985" w:rsidP="00253985">
            <w:pPr>
              <w:rPr>
                <w:rFonts w:hint="eastAsia"/>
              </w:rPr>
            </w:pPr>
            <w:r w:rsidRPr="00253985">
              <w:t>长江证券 3/22</w:t>
            </w:r>
          </w:p>
        </w:tc>
      </w:tr>
      <w:tr w:rsidR="00253985" w:rsidRPr="00253985" w14:paraId="0B1438BD" w14:textId="77777777">
        <w:trPr>
          <w:tblCellSpacing w:w="15" w:type="dxa"/>
        </w:trPr>
        <w:tc>
          <w:tcPr>
            <w:tcW w:w="0" w:type="auto"/>
            <w:vAlign w:val="center"/>
            <w:hideMark/>
          </w:tcPr>
          <w:p w14:paraId="7A204BD1" w14:textId="77777777" w:rsidR="00253985" w:rsidRPr="00253985" w:rsidRDefault="00253985" w:rsidP="00253985">
            <w:pPr>
              <w:rPr>
                <w:rFonts w:hint="eastAsia"/>
              </w:rPr>
            </w:pPr>
            <w:r w:rsidRPr="00253985">
              <w:t>Lumentum日本工厂</w:t>
            </w:r>
          </w:p>
        </w:tc>
        <w:tc>
          <w:tcPr>
            <w:tcW w:w="0" w:type="auto"/>
            <w:vAlign w:val="center"/>
            <w:hideMark/>
          </w:tcPr>
          <w:p w14:paraId="44098A4F" w14:textId="77777777" w:rsidR="00253985" w:rsidRPr="00253985" w:rsidRDefault="00253985" w:rsidP="00253985">
            <w:pPr>
              <w:rPr>
                <w:rFonts w:hint="eastAsia"/>
              </w:rPr>
            </w:pPr>
            <w:r w:rsidRPr="00253985">
              <w:t>过去两年扩产12倍仍不够</w:t>
            </w:r>
          </w:p>
        </w:tc>
        <w:tc>
          <w:tcPr>
            <w:tcW w:w="0" w:type="auto"/>
            <w:vAlign w:val="center"/>
            <w:hideMark/>
          </w:tcPr>
          <w:p w14:paraId="3D0BDC6E" w14:textId="77777777" w:rsidR="00253985" w:rsidRPr="00253985" w:rsidRDefault="00253985" w:rsidP="00253985">
            <w:pPr>
              <w:rPr>
                <w:rFonts w:hint="eastAsia"/>
              </w:rPr>
            </w:pPr>
            <w:r w:rsidRPr="00253985">
              <w:t>开源证券 4/12</w:t>
            </w:r>
          </w:p>
        </w:tc>
      </w:tr>
      <w:tr w:rsidR="00253985" w:rsidRPr="00253985" w14:paraId="0871B67E" w14:textId="77777777">
        <w:trPr>
          <w:tblCellSpacing w:w="15" w:type="dxa"/>
        </w:trPr>
        <w:tc>
          <w:tcPr>
            <w:tcW w:w="0" w:type="auto"/>
            <w:vAlign w:val="center"/>
            <w:hideMark/>
          </w:tcPr>
          <w:p w14:paraId="21D156CC" w14:textId="77777777" w:rsidR="00253985" w:rsidRPr="00253985" w:rsidRDefault="00253985" w:rsidP="00253985">
            <w:pPr>
              <w:rPr>
                <w:rFonts w:hint="eastAsia"/>
              </w:rPr>
            </w:pPr>
            <w:r w:rsidRPr="00253985">
              <w:t>光芯片供需缺口</w:t>
            </w:r>
          </w:p>
        </w:tc>
        <w:tc>
          <w:tcPr>
            <w:tcW w:w="0" w:type="auto"/>
            <w:vAlign w:val="center"/>
            <w:hideMark/>
          </w:tcPr>
          <w:p w14:paraId="76FB830F" w14:textId="77777777" w:rsidR="00253985" w:rsidRPr="00253985" w:rsidRDefault="00253985" w:rsidP="00253985">
            <w:pPr>
              <w:rPr>
                <w:rFonts w:hint="eastAsia"/>
              </w:rPr>
            </w:pPr>
            <w:r w:rsidRPr="00253985">
              <w:t>25%-30%</w:t>
            </w:r>
          </w:p>
        </w:tc>
        <w:tc>
          <w:tcPr>
            <w:tcW w:w="0" w:type="auto"/>
            <w:vAlign w:val="center"/>
            <w:hideMark/>
          </w:tcPr>
          <w:p w14:paraId="29DFC412" w14:textId="77777777" w:rsidR="00253985" w:rsidRPr="00253985" w:rsidRDefault="00253985" w:rsidP="00253985">
            <w:pPr>
              <w:rPr>
                <w:rFonts w:hint="eastAsia"/>
              </w:rPr>
            </w:pPr>
            <w:r w:rsidRPr="00253985">
              <w:t>长江证券 3/22</w:t>
            </w:r>
          </w:p>
        </w:tc>
      </w:tr>
      <w:tr w:rsidR="00253985" w:rsidRPr="00253985" w14:paraId="334A582F" w14:textId="77777777">
        <w:trPr>
          <w:tblCellSpacing w:w="15" w:type="dxa"/>
        </w:trPr>
        <w:tc>
          <w:tcPr>
            <w:tcW w:w="0" w:type="auto"/>
            <w:vAlign w:val="center"/>
            <w:hideMark/>
          </w:tcPr>
          <w:p w14:paraId="0D72ABFC" w14:textId="77777777" w:rsidR="00253985" w:rsidRPr="00253985" w:rsidRDefault="00253985" w:rsidP="00253985">
            <w:pPr>
              <w:rPr>
                <w:rFonts w:hint="eastAsia"/>
              </w:rPr>
            </w:pPr>
            <w:r w:rsidRPr="00253985">
              <w:t>AXT InP积压订单</w:t>
            </w:r>
          </w:p>
        </w:tc>
        <w:tc>
          <w:tcPr>
            <w:tcW w:w="0" w:type="auto"/>
            <w:vAlign w:val="center"/>
            <w:hideMark/>
          </w:tcPr>
          <w:p w14:paraId="033C9C78" w14:textId="77777777" w:rsidR="00253985" w:rsidRPr="00253985" w:rsidRDefault="00253985" w:rsidP="00253985">
            <w:pPr>
              <w:rPr>
                <w:rFonts w:hint="eastAsia"/>
              </w:rPr>
            </w:pPr>
            <w:r w:rsidRPr="00253985">
              <w:t>超6000万美元，长单锁至2030年</w:t>
            </w:r>
          </w:p>
        </w:tc>
        <w:tc>
          <w:tcPr>
            <w:tcW w:w="0" w:type="auto"/>
            <w:vAlign w:val="center"/>
            <w:hideMark/>
          </w:tcPr>
          <w:p w14:paraId="474B6ABB" w14:textId="77777777" w:rsidR="00253985" w:rsidRPr="00253985" w:rsidRDefault="00253985" w:rsidP="00253985">
            <w:pPr>
              <w:rPr>
                <w:rFonts w:hint="eastAsia"/>
              </w:rPr>
            </w:pPr>
            <w:r w:rsidRPr="00253985">
              <w:t>长江证券 3/22</w:t>
            </w:r>
          </w:p>
        </w:tc>
      </w:tr>
      <w:tr w:rsidR="00253985" w:rsidRPr="00253985" w14:paraId="3D3D4A5D" w14:textId="77777777">
        <w:trPr>
          <w:tblCellSpacing w:w="15" w:type="dxa"/>
        </w:trPr>
        <w:tc>
          <w:tcPr>
            <w:tcW w:w="0" w:type="auto"/>
            <w:vAlign w:val="center"/>
            <w:hideMark/>
          </w:tcPr>
          <w:p w14:paraId="4625E228" w14:textId="77777777" w:rsidR="00253985" w:rsidRPr="00253985" w:rsidRDefault="00253985" w:rsidP="00253985">
            <w:pPr>
              <w:rPr>
                <w:rFonts w:hint="eastAsia"/>
              </w:rPr>
            </w:pPr>
            <w:r w:rsidRPr="00253985">
              <w:t>智算算力需求vs供给</w:t>
            </w:r>
          </w:p>
        </w:tc>
        <w:tc>
          <w:tcPr>
            <w:tcW w:w="0" w:type="auto"/>
            <w:vAlign w:val="center"/>
            <w:hideMark/>
          </w:tcPr>
          <w:p w14:paraId="366205A1" w14:textId="77777777" w:rsidR="00253985" w:rsidRPr="00253985" w:rsidRDefault="00253985" w:rsidP="00253985">
            <w:pPr>
              <w:rPr>
                <w:rFonts w:hint="eastAsia"/>
              </w:rPr>
            </w:pPr>
            <w:r w:rsidRPr="00253985">
              <w:t xml:space="preserve">2030E需求719 EFLOPS vs 供给9 </w:t>
            </w:r>
            <w:r w:rsidRPr="00253985">
              <w:lastRenderedPageBreak/>
              <w:t>EFLOPS</w:t>
            </w:r>
          </w:p>
        </w:tc>
        <w:tc>
          <w:tcPr>
            <w:tcW w:w="0" w:type="auto"/>
            <w:vAlign w:val="center"/>
            <w:hideMark/>
          </w:tcPr>
          <w:p w14:paraId="697EB6F2" w14:textId="77777777" w:rsidR="00253985" w:rsidRPr="00253985" w:rsidRDefault="00253985" w:rsidP="00253985">
            <w:pPr>
              <w:rPr>
                <w:rFonts w:hint="eastAsia"/>
              </w:rPr>
            </w:pPr>
            <w:r w:rsidRPr="00253985">
              <w:lastRenderedPageBreak/>
              <w:t>银河证券 1/8</w:t>
            </w:r>
          </w:p>
        </w:tc>
      </w:tr>
    </w:tbl>
    <w:p w14:paraId="53966731" w14:textId="075357A7" w:rsidR="00B65C46" w:rsidRDefault="00B65C46" w:rsidP="00253985">
      <w:pPr>
        <w:rPr>
          <w:rFonts w:hint="eastAsia"/>
        </w:rPr>
      </w:pPr>
      <w:r w:rsidRPr="00B65C46">
        <w:rPr>
          <w:rFonts w:hint="eastAsia"/>
          <w:highlight w:val="yellow"/>
        </w:rPr>
        <w:t>这一层海外厂的需求可以略微上移一点</w:t>
      </w:r>
    </w:p>
    <w:p w14:paraId="3A12B9E6" w14:textId="77777777" w:rsidR="00EB1046" w:rsidRDefault="00EB1046" w:rsidP="00253985">
      <w:pPr>
        <w:rPr>
          <w:rFonts w:hint="eastAsia"/>
        </w:rPr>
      </w:pPr>
    </w:p>
    <w:p w14:paraId="751EB0E7" w14:textId="6DA2EEDB" w:rsidR="00EB1046" w:rsidRDefault="00EB1046" w:rsidP="00253985">
      <w:pPr>
        <w:rPr>
          <w:rFonts w:hint="eastAsia"/>
        </w:rPr>
      </w:pPr>
      <w:r w:rsidRPr="00EB1046">
        <w:rPr>
          <w:rFonts w:hint="eastAsia"/>
          <w:highlight w:val="yellow"/>
        </w:rPr>
        <w:t>第一块可以说就是海外厂和国内厂的需求紧缺的问题</w:t>
      </w:r>
    </w:p>
    <w:p w14:paraId="76E8EEE4" w14:textId="77777777" w:rsidR="00EB1046" w:rsidRDefault="00EB1046" w:rsidP="00253985">
      <w:pPr>
        <w:rPr>
          <w:rFonts w:hint="eastAsia"/>
        </w:rPr>
      </w:pPr>
    </w:p>
    <w:p w14:paraId="735AB390" w14:textId="326B25D0" w:rsidR="00253985" w:rsidRPr="00253985" w:rsidRDefault="00253985" w:rsidP="00253985">
      <w:pPr>
        <w:rPr>
          <w:rFonts w:hint="eastAsia"/>
        </w:rPr>
      </w:pPr>
      <w:r w:rsidRPr="00253985">
        <w:t>三、需求结构的技术驱动</w:t>
      </w:r>
    </w:p>
    <w:p w14:paraId="79A79D16" w14:textId="77777777" w:rsidR="00253985" w:rsidRPr="00253985" w:rsidRDefault="00253985" w:rsidP="00253985">
      <w:pPr>
        <w:numPr>
          <w:ilvl w:val="0"/>
          <w:numId w:val="12"/>
        </w:numPr>
        <w:rPr>
          <w:rFonts w:hint="eastAsia"/>
        </w:rPr>
      </w:pPr>
      <w:r w:rsidRPr="00253985">
        <w:t>速率迭代：800G出货量+60%（25→26E），1.6T从220万只→900万只（4倍增长）。光模块市场规模从65亿→191亿→256亿美元</w:t>
      </w:r>
    </w:p>
    <w:p w14:paraId="2E4245E9" w14:textId="77777777" w:rsidR="00253985" w:rsidRPr="00253985" w:rsidRDefault="00253985" w:rsidP="00253985">
      <w:pPr>
        <w:numPr>
          <w:ilvl w:val="0"/>
          <w:numId w:val="13"/>
        </w:numPr>
        <w:rPr>
          <w:rFonts w:hint="eastAsia"/>
        </w:rPr>
      </w:pPr>
      <w:r w:rsidRPr="00253985">
        <w:t>Scale out → Scale up：从集群间互联向机柜内互联延伸，光互联从"配套"变成AI基础设施规模化的关键瓶颈（开源证券原话）</w:t>
      </w:r>
    </w:p>
    <w:p w14:paraId="3F80CB4B" w14:textId="77777777" w:rsidR="00253985" w:rsidRPr="00253985" w:rsidRDefault="00253985" w:rsidP="00253985">
      <w:pPr>
        <w:numPr>
          <w:ilvl w:val="0"/>
          <w:numId w:val="14"/>
        </w:numPr>
        <w:rPr>
          <w:rFonts w:hint="eastAsia"/>
        </w:rPr>
      </w:pPr>
      <w:r w:rsidRPr="00253985">
        <w:t>硅光/CPO：硅光渗透加速，CPO功耗从30W降至9W，损耗从22dB降至4dB</w:t>
      </w:r>
    </w:p>
    <w:p w14:paraId="4B03D94F" w14:textId="77777777" w:rsidR="00253985" w:rsidRPr="00253985" w:rsidRDefault="00253985" w:rsidP="00253985">
      <w:pPr>
        <w:numPr>
          <w:ilvl w:val="0"/>
          <w:numId w:val="15"/>
        </w:numPr>
        <w:rPr>
          <w:rFonts w:hint="eastAsia"/>
        </w:rPr>
      </w:pPr>
      <w:r w:rsidRPr="00253985">
        <w:t>光纤需求：AI应用拉动数据中心光纤需求占比快速提升，2029E占全球光纤需求11%</w:t>
      </w:r>
    </w:p>
    <w:p w14:paraId="6DB4761A" w14:textId="77777777" w:rsidR="00253985" w:rsidRPr="00253985" w:rsidRDefault="00253985" w:rsidP="00253985">
      <w:pPr>
        <w:rPr>
          <w:rFonts w:hint="eastAsia"/>
        </w:rPr>
      </w:pPr>
      <w:r w:rsidRPr="00253985">
        <w:t>四、供给端的分化</w:t>
      </w:r>
      <w:r w:rsidRPr="00253985">
        <w:br/>
      </w:r>
      <w:r w:rsidRPr="00253985">
        <w:br/>
        <w:t>银河证券的判断很到位——不是所有环节都紧张：</w:t>
      </w:r>
    </w:p>
    <w:p w14:paraId="3F23AB72" w14:textId="77777777" w:rsidR="00253985" w:rsidRPr="00253985" w:rsidRDefault="00253985" w:rsidP="00253985">
      <w:pPr>
        <w:numPr>
          <w:ilvl w:val="0"/>
          <w:numId w:val="16"/>
        </w:numPr>
        <w:rPr>
          <w:rFonts w:hint="eastAsia"/>
        </w:rPr>
      </w:pPr>
      <w:r w:rsidRPr="00253985">
        <w:t>高端紧缺：800G/1.6T光模块、EML芯片、CW光源（硅光用）</w:t>
      </w:r>
    </w:p>
    <w:p w14:paraId="567512BF" w14:textId="77777777" w:rsidR="00253985" w:rsidRPr="00253985" w:rsidRDefault="00253985" w:rsidP="00253985">
      <w:pPr>
        <w:numPr>
          <w:ilvl w:val="0"/>
          <w:numId w:val="17"/>
        </w:numPr>
        <w:rPr>
          <w:rFonts w:hint="eastAsia"/>
        </w:rPr>
      </w:pPr>
      <w:r w:rsidRPr="00253985">
        <w:t>中端平衡：50G/100G光器件</w:t>
      </w:r>
    </w:p>
    <w:p w14:paraId="645D1D86" w14:textId="77777777" w:rsidR="00253985" w:rsidRPr="00253985" w:rsidRDefault="00253985" w:rsidP="00253985">
      <w:pPr>
        <w:numPr>
          <w:ilvl w:val="0"/>
          <w:numId w:val="18"/>
        </w:numPr>
        <w:rPr>
          <w:rFonts w:hint="eastAsia"/>
        </w:rPr>
      </w:pPr>
      <w:r w:rsidRPr="00253985">
        <w:t>低端过剩：10G/25G传统光器件</w:t>
      </w:r>
    </w:p>
    <w:p w14:paraId="63428C59" w14:textId="77777777" w:rsidR="00253985" w:rsidRPr="00253985" w:rsidRDefault="00253985" w:rsidP="00253985">
      <w:pPr>
        <w:rPr>
          <w:rFonts w:hint="eastAsia"/>
        </w:rPr>
      </w:pPr>
      <w:r w:rsidRPr="00253985">
        <w:t>海外产能紧张直接利好国产替代：源杰科技等已突破100G/200G PAM4 EML芯片，性能对标海外。这基本就是广发那篇"窗口期"的核心逻辑。</w:t>
      </w:r>
    </w:p>
    <w:p w14:paraId="0B0F170A" w14:textId="77777777" w:rsidR="00253985" w:rsidRPr="00253985" w:rsidRDefault="00253985" w:rsidP="00253985">
      <w:pPr>
        <w:rPr>
          <w:rFonts w:hint="eastAsia"/>
        </w:rPr>
      </w:pPr>
      <w:r w:rsidRPr="00253985">
        <w:t>一句话总结：光通信现在是典型的"需求远超供给"格局，不是周期波动的问题，而是AI算力基建从训练到推理的全链路爆发。海外靠云商Capex和1.6T迭代驱动，国内靠推理算力放量和超节点集采，两条线并行。</w:t>
      </w:r>
    </w:p>
    <w:p w14:paraId="1777A9B5" w14:textId="77777777" w:rsidR="00D57B1D" w:rsidRPr="00253985" w:rsidRDefault="00D57B1D" w:rsidP="00D57B1D">
      <w:pPr>
        <w:rPr>
          <w:rFonts w:hint="eastAsia"/>
        </w:rPr>
      </w:pPr>
    </w:p>
    <w:p w14:paraId="21DD6655" w14:textId="77777777" w:rsidR="00C8746C" w:rsidRPr="00C8746C" w:rsidRDefault="00C8746C" w:rsidP="00C8746C">
      <w:pPr>
        <w:rPr>
          <w:rFonts w:hint="eastAsia"/>
        </w:rPr>
      </w:pPr>
    </w:p>
    <w:p w14:paraId="3A49232F" w14:textId="15D4C759" w:rsidR="00365681" w:rsidRDefault="00365681" w:rsidP="007C571C">
      <w:pPr>
        <w:pStyle w:val="3"/>
        <w:rPr>
          <w:rFonts w:hint="eastAsia"/>
        </w:rPr>
      </w:pPr>
      <w:r>
        <w:lastRenderedPageBreak/>
        <w:tab/>
      </w:r>
      <w:r w:rsidR="00BD7180">
        <w:rPr>
          <w:rFonts w:hint="eastAsia"/>
        </w:rPr>
        <w:t>3.</w:t>
      </w:r>
      <w:r w:rsidR="00D17872">
        <w:rPr>
          <w:rFonts w:hint="eastAsia"/>
        </w:rPr>
        <w:t>2.2 plus</w:t>
      </w:r>
      <w:r>
        <w:rPr>
          <w:rFonts w:hint="eastAsia"/>
        </w:rPr>
        <w:t>需求之二：从token对于硬件的需求测算</w:t>
      </w:r>
      <w:r w:rsidR="003916AC">
        <w:rPr>
          <w:rFonts w:hint="eastAsia"/>
        </w:rPr>
        <w:t>（林哥点的，还是要拍一个给他</w:t>
      </w:r>
      <w:r w:rsidR="007C2467">
        <w:rPr>
          <w:rFonts w:hint="eastAsia"/>
        </w:rPr>
        <w:t>（目前看很难了）</w:t>
      </w:r>
    </w:p>
    <w:p w14:paraId="2EE1DDF5" w14:textId="0A088F28" w:rsidR="00253985" w:rsidRPr="00253985" w:rsidRDefault="00253985" w:rsidP="00253985">
      <w:pPr>
        <w:rPr>
          <w:rFonts w:hint="eastAsia"/>
        </w:rPr>
      </w:pPr>
      <w:r>
        <w:rPr>
          <w:rFonts w:hint="eastAsia"/>
        </w:rPr>
        <w:t>实话实说，做不到。Token-floats-硬件数目，这个逻辑理论上成立，但是</w:t>
      </w:r>
      <w:r w:rsidR="00CA71CA">
        <w:rPr>
          <w:rFonts w:hint="eastAsia"/>
        </w:rPr>
        <w:t>不同规模的大模型的一个token对应的floats是完全不一样的。当我们在聊token的时候，我们是没有办法去知道这个token到底是从哪个规模的模型出来的。也就完全无法计算floats。而从floats去倒推硬件数目也很难，因为现在的floats有两种主流的口径，也即FP8和BF16，两个口径之间相差</w:t>
      </w:r>
      <w:r w:rsidR="00BD7482">
        <w:rPr>
          <w:rFonts w:hint="eastAsia"/>
        </w:rPr>
        <w:t>四倍</w:t>
      </w:r>
      <w:r w:rsidR="00CA71CA">
        <w:rPr>
          <w:rFonts w:hint="eastAsia"/>
        </w:rPr>
        <w:t>。当我们谈论某个数算中心算力是多少floats的时候，</w:t>
      </w:r>
      <w:r w:rsidR="00BD7482">
        <w:rPr>
          <w:rFonts w:hint="eastAsia"/>
        </w:rPr>
        <w:t>往往并不知道是哪种口径。一旦假设有偏，则估计值会</w:t>
      </w:r>
      <w:r w:rsidR="004551D3">
        <w:rPr>
          <w:rFonts w:hint="eastAsia"/>
        </w:rPr>
        <w:t>相对</w:t>
      </w:r>
      <w:r w:rsidR="00BD7482">
        <w:rPr>
          <w:rFonts w:hint="eastAsia"/>
        </w:rPr>
        <w:t>真实情况</w:t>
      </w:r>
      <w:r w:rsidR="004551D3">
        <w:rPr>
          <w:rFonts w:hint="eastAsia"/>
        </w:rPr>
        <w:t>发生极大偏移</w:t>
      </w:r>
    </w:p>
    <w:p w14:paraId="3CB604A2" w14:textId="2DDC816F" w:rsidR="00D507A6" w:rsidRPr="00D507A6" w:rsidRDefault="00BD7180" w:rsidP="00D507A6">
      <w:pPr>
        <w:pStyle w:val="3"/>
        <w:rPr>
          <w:rFonts w:hint="eastAsia"/>
        </w:rPr>
      </w:pPr>
      <w:r>
        <w:rPr>
          <w:rFonts w:hint="eastAsia"/>
        </w:rPr>
        <w:t>3.</w:t>
      </w:r>
      <w:r w:rsidR="00D17872">
        <w:rPr>
          <w:rFonts w:hint="eastAsia"/>
        </w:rPr>
        <w:t>2.3</w:t>
      </w:r>
      <w:r w:rsidR="00F528BF">
        <w:rPr>
          <w:rFonts w:hint="eastAsia"/>
        </w:rPr>
        <w:t>供给上，</w:t>
      </w:r>
      <w:r w:rsidR="002B7B2F">
        <w:rPr>
          <w:rFonts w:hint="eastAsia"/>
        </w:rPr>
        <w:t>当前的阶段，技术未收敛的现实，</w:t>
      </w:r>
      <w:r w:rsidR="00771A72">
        <w:rPr>
          <w:rFonts w:hint="eastAsia"/>
        </w:rPr>
        <w:t>技术未收敛的状态</w:t>
      </w:r>
      <w:commentRangeStart w:id="0"/>
      <w:r w:rsidR="00771A72">
        <w:rPr>
          <w:rFonts w:hint="eastAsia"/>
        </w:rPr>
        <w:t>需要我们投资巨头</w:t>
      </w:r>
      <w:commentRangeEnd w:id="0"/>
      <w:r w:rsidR="003916AC">
        <w:rPr>
          <w:rStyle w:val="af3"/>
          <w:rFonts w:hint="eastAsia"/>
          <w:sz w:val="32"/>
          <w:szCs w:val="32"/>
        </w:rPr>
        <w:commentReference w:id="0"/>
      </w:r>
      <w:r w:rsidR="00C93410">
        <w:rPr>
          <w:rFonts w:hint="eastAsia"/>
        </w:rPr>
        <w:t>，而且周期和原来不同的，技术的迭代是相当快的，每一轮迭代可能都有相当丰厚的利润</w:t>
      </w:r>
    </w:p>
    <w:p w14:paraId="15FE4EE8" w14:textId="078BF327" w:rsidR="009B0F67" w:rsidRDefault="009B0F67" w:rsidP="009B0F67">
      <w:pPr>
        <w:rPr>
          <w:rFonts w:hint="eastAsia"/>
        </w:rPr>
      </w:pPr>
      <w:r w:rsidRPr="009B0F67">
        <w:rPr>
          <w:rFonts w:hint="eastAsia"/>
        </w:rPr>
        <w:t>供应：强调供方的主动权，排货的紧俏，独立提价的能力</w:t>
      </w:r>
    </w:p>
    <w:p w14:paraId="19ECE6F3" w14:textId="77777777" w:rsidR="00D507A6" w:rsidRDefault="00D507A6" w:rsidP="00D507A6">
      <w:pPr>
        <w:jc w:val="center"/>
        <w:rPr>
          <w:rFonts w:ascii="楷体" w:eastAsia="楷体" w:hAnsi="楷体" w:hint="eastAsia"/>
          <w:sz w:val="24"/>
        </w:rPr>
      </w:pPr>
      <w:r>
        <w:rPr>
          <w:rFonts w:ascii="楷体" w:eastAsia="楷体" w:hAnsi="楷体" w:hint="eastAsia"/>
          <w:sz w:val="24"/>
        </w:rPr>
        <w:t>图：光通信高速迭代概览</w:t>
      </w:r>
    </w:p>
    <w:p w14:paraId="3064B45F" w14:textId="77777777" w:rsidR="00D507A6" w:rsidRDefault="00D507A6" w:rsidP="00D507A6">
      <w:pPr>
        <w:rPr>
          <w:rFonts w:ascii="楷体" w:eastAsia="楷体" w:hAnsi="楷体" w:hint="eastAsia"/>
          <w:sz w:val="24"/>
        </w:rPr>
      </w:pPr>
      <w:r>
        <w:rPr>
          <w:noProof/>
        </w:rPr>
        <w:drawing>
          <wp:inline distT="0" distB="0" distL="0" distR="0" wp14:anchorId="1B4D75D6" wp14:editId="05AE65B1">
            <wp:extent cx="5274310" cy="2008505"/>
            <wp:effectExtent l="0" t="0" r="2540" b="0"/>
            <wp:docPr id="669182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82808" name=""/>
                    <pic:cNvPicPr/>
                  </pic:nvPicPr>
                  <pic:blipFill>
                    <a:blip r:embed="rId18"/>
                    <a:stretch>
                      <a:fillRect/>
                    </a:stretch>
                  </pic:blipFill>
                  <pic:spPr>
                    <a:xfrm>
                      <a:off x="0" y="0"/>
                      <a:ext cx="5274310" cy="2008505"/>
                    </a:xfrm>
                    <a:prstGeom prst="rect">
                      <a:avLst/>
                    </a:prstGeom>
                  </pic:spPr>
                </pic:pic>
              </a:graphicData>
            </a:graphic>
          </wp:inline>
        </w:drawing>
      </w:r>
    </w:p>
    <w:p w14:paraId="22686DEA" w14:textId="77777777" w:rsidR="00D507A6" w:rsidRPr="009807DE" w:rsidRDefault="00D507A6" w:rsidP="00D507A6">
      <w:pPr>
        <w:ind w:firstLineChars="200" w:firstLine="320"/>
        <w:rPr>
          <w:rFonts w:ascii="楷体" w:eastAsia="楷体" w:hAnsi="楷体" w:hint="eastAsia"/>
          <w:sz w:val="16"/>
          <w:szCs w:val="16"/>
        </w:rPr>
      </w:pPr>
      <w:r w:rsidRPr="00776B4D">
        <w:rPr>
          <w:rFonts w:ascii="楷体" w:eastAsia="楷体" w:hAnsi="楷体" w:hint="eastAsia"/>
          <w:sz w:val="16"/>
          <w:szCs w:val="16"/>
        </w:rPr>
        <w:t>数据来源：</w:t>
      </w:r>
      <w:r>
        <w:rPr>
          <w:rFonts w:ascii="楷体" w:eastAsia="楷体" w:hAnsi="楷体" w:hint="eastAsia"/>
          <w:sz w:val="16"/>
          <w:szCs w:val="16"/>
        </w:rPr>
        <w:t>申万宏源研究</w:t>
      </w:r>
    </w:p>
    <w:p w14:paraId="622AAAF2" w14:textId="77777777" w:rsidR="00D507A6" w:rsidRPr="00D507A6" w:rsidRDefault="00D507A6" w:rsidP="009B0F67">
      <w:pPr>
        <w:rPr>
          <w:rFonts w:hint="eastAsia"/>
        </w:rPr>
      </w:pPr>
    </w:p>
    <w:p w14:paraId="705FF8E3" w14:textId="57A76B86" w:rsidR="00703B24" w:rsidRDefault="00BD7180" w:rsidP="00703B24">
      <w:pPr>
        <w:pStyle w:val="3"/>
        <w:rPr>
          <w:rFonts w:hint="eastAsia"/>
        </w:rPr>
      </w:pPr>
      <w:r>
        <w:rPr>
          <w:rFonts w:hint="eastAsia"/>
        </w:rPr>
        <w:t>3.</w:t>
      </w:r>
      <w:r w:rsidR="00703B24">
        <w:rPr>
          <w:rFonts w:hint="eastAsia"/>
        </w:rPr>
        <w:t>2.4 需求上，国内外抢算力都抢疯了，中期内持续性都非常好</w:t>
      </w:r>
    </w:p>
    <w:p w14:paraId="1D7A8550" w14:textId="005902E4" w:rsidR="00E55E04" w:rsidRDefault="00E55E04" w:rsidP="00E55E04">
      <w:pPr>
        <w:rPr>
          <w:rFonts w:ascii="楷体" w:eastAsia="楷体" w:hAnsi="楷体" w:hint="eastAsia"/>
        </w:rPr>
      </w:pPr>
      <w:r w:rsidRPr="00826331">
        <w:rPr>
          <w:rFonts w:ascii="楷体" w:eastAsia="楷体" w:hAnsi="楷体" w:hint="eastAsia"/>
        </w:rPr>
        <w:t>云厂的加码和capx，预示着至少短期内，不会有问题</w:t>
      </w:r>
    </w:p>
    <w:p w14:paraId="0571EAA9" w14:textId="77777777" w:rsidR="00A06F50" w:rsidRPr="00E55E04" w:rsidRDefault="00A06F50" w:rsidP="00E55E04">
      <w:pPr>
        <w:rPr>
          <w:rFonts w:hint="eastAsia"/>
        </w:rPr>
      </w:pPr>
    </w:p>
    <w:p w14:paraId="36FCA9EA" w14:textId="4CD4E785" w:rsidR="00771A72" w:rsidRDefault="00BD7180" w:rsidP="007C571C">
      <w:pPr>
        <w:pStyle w:val="3"/>
        <w:rPr>
          <w:rFonts w:hint="eastAsia"/>
        </w:rPr>
      </w:pPr>
      <w:r>
        <w:rPr>
          <w:rFonts w:hint="eastAsia"/>
        </w:rPr>
        <w:t>3.</w:t>
      </w:r>
      <w:r w:rsidR="00D17872">
        <w:rPr>
          <w:rFonts w:hint="eastAsia"/>
        </w:rPr>
        <w:t>2.</w:t>
      </w:r>
      <w:r w:rsidR="00703B24">
        <w:rPr>
          <w:rFonts w:hint="eastAsia"/>
        </w:rPr>
        <w:t>5</w:t>
      </w:r>
      <w:r w:rsidR="00D17872">
        <w:rPr>
          <w:rFonts w:hint="eastAsia"/>
        </w:rPr>
        <w:t xml:space="preserve"> </w:t>
      </w:r>
      <w:r w:rsidR="0013016E">
        <w:rPr>
          <w:rFonts w:hint="eastAsia"/>
        </w:rPr>
        <w:t>利润上，</w:t>
      </w:r>
      <w:r w:rsidR="00D17872">
        <w:rPr>
          <w:rFonts w:hint="eastAsia"/>
        </w:rPr>
        <w:t>产业链上的</w:t>
      </w:r>
      <w:r w:rsidR="0013016E">
        <w:rPr>
          <w:rFonts w:hint="eastAsia"/>
        </w:rPr>
        <w:t>价值到底是怎么分配的？</w:t>
      </w:r>
      <w:r w:rsidR="00D17872">
        <w:rPr>
          <w:rFonts w:hint="eastAsia"/>
        </w:rPr>
        <w:t>技术壁垒在哪里</w:t>
      </w:r>
    </w:p>
    <w:p w14:paraId="43C070BB" w14:textId="77777777" w:rsidR="007C571C" w:rsidRDefault="007C571C" w:rsidP="0013016E">
      <w:pPr>
        <w:ind w:firstLine="420"/>
        <w:rPr>
          <w:rFonts w:hint="eastAsia"/>
        </w:rPr>
      </w:pPr>
    </w:p>
    <w:p w14:paraId="0B32E69C" w14:textId="77777777" w:rsidR="007C571C" w:rsidRDefault="007C571C" w:rsidP="007C571C">
      <w:pPr>
        <w:rPr>
          <w:rFonts w:hint="eastAsia"/>
        </w:rPr>
      </w:pPr>
      <w:r>
        <w:rPr>
          <w:rFonts w:hint="eastAsia"/>
        </w:rPr>
        <w:t>图：光通信价值量拆分</w:t>
      </w:r>
    </w:p>
    <w:p w14:paraId="3AC5A97E" w14:textId="77777777" w:rsidR="007C571C" w:rsidRDefault="007C571C" w:rsidP="007C571C">
      <w:pPr>
        <w:rPr>
          <w:rFonts w:hint="eastAsia"/>
        </w:rPr>
      </w:pPr>
      <w:r>
        <w:rPr>
          <w:noProof/>
        </w:rPr>
        <w:drawing>
          <wp:inline distT="0" distB="0" distL="0" distR="0" wp14:anchorId="530573FE" wp14:editId="133FCA37">
            <wp:extent cx="5274310" cy="1882775"/>
            <wp:effectExtent l="0" t="0" r="2540" b="3175"/>
            <wp:docPr id="989212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12236" name=""/>
                    <pic:cNvPicPr/>
                  </pic:nvPicPr>
                  <pic:blipFill>
                    <a:blip r:embed="rId19"/>
                    <a:stretch>
                      <a:fillRect/>
                    </a:stretch>
                  </pic:blipFill>
                  <pic:spPr>
                    <a:xfrm>
                      <a:off x="0" y="0"/>
                      <a:ext cx="5274310" cy="1882775"/>
                    </a:xfrm>
                    <a:prstGeom prst="rect">
                      <a:avLst/>
                    </a:prstGeom>
                  </pic:spPr>
                </pic:pic>
              </a:graphicData>
            </a:graphic>
          </wp:inline>
        </w:drawing>
      </w:r>
    </w:p>
    <w:p w14:paraId="4C0410CD" w14:textId="77777777" w:rsidR="007C571C" w:rsidRPr="009A66ED" w:rsidRDefault="007C571C" w:rsidP="007C571C">
      <w:pPr>
        <w:rPr>
          <w:rFonts w:hint="eastAsia"/>
        </w:rPr>
      </w:pPr>
    </w:p>
    <w:p w14:paraId="609D3CD0" w14:textId="77777777" w:rsidR="007C571C" w:rsidRDefault="007C571C" w:rsidP="0013016E">
      <w:pPr>
        <w:ind w:firstLine="420"/>
        <w:rPr>
          <w:rFonts w:hint="eastAsia"/>
        </w:rPr>
      </w:pPr>
    </w:p>
    <w:p w14:paraId="576B1568" w14:textId="46A029A1" w:rsidR="00CC7144" w:rsidRDefault="009B0F67" w:rsidP="000D0A14">
      <w:pPr>
        <w:pStyle w:val="2"/>
        <w:rPr>
          <w:rFonts w:hint="eastAsia"/>
        </w:rPr>
      </w:pPr>
      <w:r>
        <w:rPr>
          <w:rFonts w:hint="eastAsia"/>
        </w:rPr>
        <w:t>3.</w:t>
      </w:r>
      <w:r w:rsidR="00D17872">
        <w:rPr>
          <w:rFonts w:hint="eastAsia"/>
        </w:rPr>
        <w:t>3.</w:t>
      </w:r>
      <w:r w:rsidR="00CC7144">
        <w:rPr>
          <w:rFonts w:hint="eastAsia"/>
        </w:rPr>
        <w:t>政策也支持</w:t>
      </w:r>
    </w:p>
    <w:p w14:paraId="0738DA49" w14:textId="77777777" w:rsidR="006319A9" w:rsidRPr="006319A9" w:rsidRDefault="006319A9" w:rsidP="006319A9">
      <w:pPr>
        <w:rPr>
          <w:rFonts w:ascii="楷体" w:eastAsia="楷体" w:hAnsi="楷体" w:hint="eastAsia"/>
        </w:rPr>
      </w:pPr>
      <w:r w:rsidRPr="006319A9">
        <w:rPr>
          <w:rFonts w:ascii="楷体" w:eastAsia="楷体" w:hAnsi="楷体" w:hint="eastAsia"/>
        </w:rPr>
        <w:t>AI基础设施已被提升到国家战略层面。华西证券年度策略指出，国务院2025年7-8月连续发布AI相关文件，从顶层设计到产业落地的政策框架已基本成型（华西证券-2026年通信策略）。</w:t>
      </w:r>
    </w:p>
    <w:p w14:paraId="2B1AD972" w14:textId="77777777" w:rsidR="006319A9" w:rsidRPr="006319A9" w:rsidRDefault="006319A9" w:rsidP="006319A9">
      <w:pPr>
        <w:rPr>
          <w:rFonts w:ascii="楷体" w:eastAsia="楷体" w:hAnsi="楷体" w:hint="eastAsia"/>
        </w:rPr>
      </w:pPr>
      <w:r w:rsidRPr="006319A9">
        <w:rPr>
          <w:rFonts w:ascii="楷体" w:eastAsia="楷体" w:hAnsi="楷体" w:hint="eastAsia"/>
        </w:rPr>
        <w:t>政策层面的核心逻辑是：算力基础设施类似于高铁、电网，是数字经济时代的新型"基建"。中国正在通过"东数西算"工程和算力枢纽节点建设，系统性地布局智算中心网络。</w:t>
      </w:r>
    </w:p>
    <w:p w14:paraId="49446392" w14:textId="4014A35C" w:rsidR="006319A9" w:rsidRPr="006319A9" w:rsidRDefault="006319A9" w:rsidP="006319A9">
      <w:pPr>
        <w:rPr>
          <w:rFonts w:ascii="楷体" w:eastAsia="楷体" w:hAnsi="楷体" w:hint="eastAsia"/>
        </w:rPr>
      </w:pPr>
      <w:r w:rsidRPr="006319A9">
        <w:rPr>
          <w:rFonts w:ascii="楷体" w:eastAsia="楷体" w:hAnsi="楷体" w:hint="eastAsia"/>
        </w:rPr>
        <w:t>这带来的直接利好是：政策驱动的算力建设需求独立于市场化Capex周期，提供了一个额外的需求安全垫。即使海外云商Capex短期波动，国内政策驱动的算力建设仍在持续推进，从而形成从产业界到国家基建层面的双轮驱动。</w:t>
      </w:r>
    </w:p>
    <w:p w14:paraId="50A21A90" w14:textId="77777777" w:rsidR="000D0A14" w:rsidRDefault="000D0A14" w:rsidP="000D0A14">
      <w:pPr>
        <w:jc w:val="center"/>
        <w:rPr>
          <w:rFonts w:ascii="楷体" w:eastAsia="楷体" w:hAnsi="楷体" w:hint="eastAsia"/>
          <w:sz w:val="21"/>
          <w:szCs w:val="22"/>
        </w:rPr>
      </w:pPr>
      <w:r w:rsidRPr="0093680D">
        <w:rPr>
          <w:rFonts w:ascii="楷体" w:eastAsia="楷体" w:hAnsi="楷体" w:hint="eastAsia"/>
          <w:sz w:val="21"/>
          <w:szCs w:val="22"/>
        </w:rPr>
        <w:t>表：中央政策</w:t>
      </w:r>
    </w:p>
    <w:tbl>
      <w:tblPr>
        <w:tblStyle w:val="af2"/>
        <w:tblW w:w="9923" w:type="dxa"/>
        <w:tblInd w:w="-572" w:type="dxa"/>
        <w:tblLook w:val="04A0" w:firstRow="1" w:lastRow="0" w:firstColumn="1" w:lastColumn="0" w:noHBand="0" w:noVBand="1"/>
      </w:tblPr>
      <w:tblGrid>
        <w:gridCol w:w="2268"/>
        <w:gridCol w:w="2127"/>
        <w:gridCol w:w="5528"/>
      </w:tblGrid>
      <w:tr w:rsidR="000D0A14" w14:paraId="2A24FBA1" w14:textId="77777777" w:rsidTr="004670C2">
        <w:tc>
          <w:tcPr>
            <w:tcW w:w="2268" w:type="dxa"/>
          </w:tcPr>
          <w:p w14:paraId="75E1E8C4" w14:textId="77777777" w:rsidR="000D0A14" w:rsidRDefault="000D0A14" w:rsidP="004670C2">
            <w:pPr>
              <w:jc w:val="center"/>
              <w:rPr>
                <w:rFonts w:ascii="楷体" w:eastAsia="楷体" w:hAnsi="楷体" w:hint="eastAsia"/>
                <w:sz w:val="21"/>
                <w:szCs w:val="22"/>
              </w:rPr>
            </w:pPr>
            <w:r>
              <w:rPr>
                <w:rFonts w:ascii="楷体" w:eastAsia="楷体" w:hAnsi="楷体" w:hint="eastAsia"/>
                <w:sz w:val="21"/>
                <w:szCs w:val="22"/>
              </w:rPr>
              <w:t>政策名称</w:t>
            </w:r>
          </w:p>
        </w:tc>
        <w:tc>
          <w:tcPr>
            <w:tcW w:w="2127" w:type="dxa"/>
          </w:tcPr>
          <w:p w14:paraId="76AB9AF7" w14:textId="77777777" w:rsidR="000D0A14" w:rsidRDefault="000D0A14" w:rsidP="004670C2">
            <w:pPr>
              <w:jc w:val="center"/>
              <w:rPr>
                <w:rFonts w:ascii="楷体" w:eastAsia="楷体" w:hAnsi="楷体" w:hint="eastAsia"/>
                <w:sz w:val="21"/>
                <w:szCs w:val="22"/>
              </w:rPr>
            </w:pPr>
            <w:r>
              <w:rPr>
                <w:rFonts w:ascii="楷体" w:eastAsia="楷体" w:hAnsi="楷体" w:hint="eastAsia"/>
                <w:sz w:val="21"/>
                <w:szCs w:val="22"/>
              </w:rPr>
              <w:t>政策主体</w:t>
            </w:r>
          </w:p>
        </w:tc>
        <w:tc>
          <w:tcPr>
            <w:tcW w:w="5528" w:type="dxa"/>
          </w:tcPr>
          <w:p w14:paraId="3064E7FF" w14:textId="77777777" w:rsidR="000D0A14" w:rsidRDefault="000D0A14" w:rsidP="004670C2">
            <w:pPr>
              <w:jc w:val="center"/>
              <w:rPr>
                <w:rFonts w:ascii="楷体" w:eastAsia="楷体" w:hAnsi="楷体" w:hint="eastAsia"/>
                <w:sz w:val="21"/>
                <w:szCs w:val="22"/>
              </w:rPr>
            </w:pPr>
            <w:r>
              <w:rPr>
                <w:rFonts w:ascii="楷体" w:eastAsia="楷体" w:hAnsi="楷体" w:hint="eastAsia"/>
                <w:sz w:val="21"/>
                <w:szCs w:val="22"/>
              </w:rPr>
              <w:t>政策要点</w:t>
            </w:r>
          </w:p>
        </w:tc>
      </w:tr>
      <w:tr w:rsidR="000D0A14" w14:paraId="01FEE2C4" w14:textId="77777777" w:rsidTr="004670C2">
        <w:tc>
          <w:tcPr>
            <w:tcW w:w="2268" w:type="dxa"/>
          </w:tcPr>
          <w:p w14:paraId="67D608BB" w14:textId="77777777" w:rsidR="000D0A14" w:rsidRDefault="000D0A14" w:rsidP="004670C2">
            <w:pPr>
              <w:jc w:val="center"/>
              <w:rPr>
                <w:rFonts w:ascii="楷体" w:eastAsia="楷体" w:hAnsi="楷体" w:hint="eastAsia"/>
                <w:sz w:val="21"/>
                <w:szCs w:val="22"/>
              </w:rPr>
            </w:pPr>
            <w:r w:rsidRPr="00F5130F">
              <w:rPr>
                <w:rFonts w:ascii="楷体" w:eastAsia="楷体" w:hAnsi="楷体"/>
                <w:sz w:val="21"/>
                <w:szCs w:val="22"/>
              </w:rPr>
              <w:t>深入实施 “东数西算” 工程加快构建全国一体化算力网的实施意见</w:t>
            </w:r>
          </w:p>
        </w:tc>
        <w:tc>
          <w:tcPr>
            <w:tcW w:w="2127" w:type="dxa"/>
          </w:tcPr>
          <w:p w14:paraId="1919E572" w14:textId="77777777" w:rsidR="000D0A14" w:rsidRDefault="000D0A14" w:rsidP="004670C2">
            <w:pPr>
              <w:jc w:val="center"/>
              <w:rPr>
                <w:rFonts w:ascii="楷体" w:eastAsia="楷体" w:hAnsi="楷体" w:hint="eastAsia"/>
                <w:sz w:val="21"/>
                <w:szCs w:val="22"/>
              </w:rPr>
            </w:pPr>
            <w:r w:rsidRPr="00F5130F">
              <w:rPr>
                <w:rFonts w:ascii="楷体" w:eastAsia="楷体" w:hAnsi="楷体"/>
                <w:sz w:val="21"/>
                <w:szCs w:val="22"/>
              </w:rPr>
              <w:t>国家发改委等五部门</w:t>
            </w:r>
          </w:p>
        </w:tc>
        <w:tc>
          <w:tcPr>
            <w:tcW w:w="5528" w:type="dxa"/>
          </w:tcPr>
          <w:p w14:paraId="11841564" w14:textId="77777777" w:rsidR="000D0A14" w:rsidRDefault="000D0A14" w:rsidP="004670C2">
            <w:pPr>
              <w:rPr>
                <w:rFonts w:ascii="楷体" w:eastAsia="楷体" w:hAnsi="楷体" w:hint="eastAsia"/>
                <w:sz w:val="21"/>
                <w:szCs w:val="22"/>
              </w:rPr>
            </w:pPr>
            <w:r w:rsidRPr="00F5130F">
              <w:rPr>
                <w:rFonts w:ascii="楷体" w:eastAsia="楷体" w:hAnsi="楷体"/>
                <w:sz w:val="21"/>
                <w:szCs w:val="22"/>
              </w:rPr>
              <w:t>到 2025 年底，通用算力、智能算力、超级算力等多元算力加速集聚，国家枢纽节点地区各类新增算力占全国新增算力的 60% 以上，国家枢纽节点算力资源使用率显著超过全国平均水平</w:t>
            </w:r>
          </w:p>
          <w:p w14:paraId="1335620A" w14:textId="77777777" w:rsidR="000D0A14" w:rsidRPr="00F5130F" w:rsidRDefault="000D0A14" w:rsidP="004670C2">
            <w:pPr>
              <w:jc w:val="center"/>
              <w:rPr>
                <w:rFonts w:ascii="楷体" w:eastAsia="楷体" w:hAnsi="楷体" w:hint="eastAsia"/>
                <w:sz w:val="21"/>
                <w:szCs w:val="22"/>
              </w:rPr>
            </w:pPr>
          </w:p>
        </w:tc>
      </w:tr>
      <w:tr w:rsidR="000D0A14" w14:paraId="1665A07F" w14:textId="77777777" w:rsidTr="004670C2">
        <w:tc>
          <w:tcPr>
            <w:tcW w:w="2268" w:type="dxa"/>
          </w:tcPr>
          <w:p w14:paraId="2A4E3778" w14:textId="77777777" w:rsidR="000D0A14" w:rsidRDefault="000D0A14" w:rsidP="004670C2">
            <w:pPr>
              <w:jc w:val="center"/>
              <w:rPr>
                <w:rFonts w:ascii="楷体" w:eastAsia="楷体" w:hAnsi="楷体" w:hint="eastAsia"/>
                <w:sz w:val="21"/>
                <w:szCs w:val="22"/>
              </w:rPr>
            </w:pPr>
            <w:r w:rsidRPr="0084400D">
              <w:rPr>
                <w:rFonts w:ascii="楷体" w:eastAsia="楷体" w:hAnsi="楷体"/>
                <w:sz w:val="21"/>
                <w:szCs w:val="22"/>
              </w:rPr>
              <w:lastRenderedPageBreak/>
              <w:t>算力基础设施高质量发展行动计划</w:t>
            </w:r>
          </w:p>
        </w:tc>
        <w:tc>
          <w:tcPr>
            <w:tcW w:w="2127" w:type="dxa"/>
          </w:tcPr>
          <w:p w14:paraId="15B2CE44" w14:textId="77777777" w:rsidR="000D0A14" w:rsidRDefault="000D0A14" w:rsidP="004670C2">
            <w:pPr>
              <w:jc w:val="center"/>
              <w:rPr>
                <w:rFonts w:ascii="楷体" w:eastAsia="楷体" w:hAnsi="楷体" w:hint="eastAsia"/>
                <w:sz w:val="21"/>
                <w:szCs w:val="22"/>
              </w:rPr>
            </w:pPr>
            <w:r w:rsidRPr="009750F1">
              <w:rPr>
                <w:rFonts w:ascii="楷体" w:eastAsia="楷体" w:hAnsi="楷体"/>
                <w:sz w:val="21"/>
                <w:szCs w:val="22"/>
              </w:rPr>
              <w:t>工信部等六部门</w:t>
            </w:r>
          </w:p>
        </w:tc>
        <w:tc>
          <w:tcPr>
            <w:tcW w:w="5528" w:type="dxa"/>
          </w:tcPr>
          <w:p w14:paraId="079FBEC1" w14:textId="77777777" w:rsidR="000D0A14" w:rsidRDefault="000D0A14" w:rsidP="004670C2">
            <w:pPr>
              <w:rPr>
                <w:rFonts w:ascii="楷体" w:eastAsia="楷体" w:hAnsi="楷体" w:hint="eastAsia"/>
                <w:sz w:val="21"/>
                <w:szCs w:val="22"/>
              </w:rPr>
            </w:pPr>
            <w:r w:rsidRPr="009750F1">
              <w:rPr>
                <w:rFonts w:ascii="楷体" w:eastAsia="楷体" w:hAnsi="楷体"/>
                <w:sz w:val="21"/>
                <w:szCs w:val="22"/>
              </w:rPr>
              <w:t>到 2025 年算力规模超过 300EFLOPS，智能算力占比达到 35%。推动算力结构多元配置，逐步提升智能算力占比，推动智能算力与通用算力协同，满足不同类型算力业务需求</w:t>
            </w:r>
          </w:p>
        </w:tc>
      </w:tr>
      <w:tr w:rsidR="000D0A14" w14:paraId="32970AE2" w14:textId="77777777" w:rsidTr="004670C2">
        <w:tc>
          <w:tcPr>
            <w:tcW w:w="2268" w:type="dxa"/>
          </w:tcPr>
          <w:p w14:paraId="53CAEC52" w14:textId="77777777" w:rsidR="000D0A14" w:rsidRDefault="000D0A14" w:rsidP="004670C2">
            <w:pPr>
              <w:jc w:val="center"/>
              <w:rPr>
                <w:rFonts w:ascii="楷体" w:eastAsia="楷体" w:hAnsi="楷体" w:hint="eastAsia"/>
                <w:sz w:val="21"/>
                <w:szCs w:val="22"/>
              </w:rPr>
            </w:pPr>
            <w:r w:rsidRPr="0084400D">
              <w:rPr>
                <w:rFonts w:ascii="楷体" w:eastAsia="楷体" w:hAnsi="楷体"/>
                <w:sz w:val="21"/>
                <w:szCs w:val="22"/>
              </w:rPr>
              <w:t>数字中国建设整体布局规划</w:t>
            </w:r>
          </w:p>
        </w:tc>
        <w:tc>
          <w:tcPr>
            <w:tcW w:w="2127" w:type="dxa"/>
          </w:tcPr>
          <w:p w14:paraId="2AD8EADE" w14:textId="77777777" w:rsidR="000D0A14" w:rsidRDefault="000D0A14" w:rsidP="004670C2">
            <w:pPr>
              <w:jc w:val="center"/>
              <w:rPr>
                <w:rFonts w:ascii="楷体" w:eastAsia="楷体" w:hAnsi="楷体" w:hint="eastAsia"/>
                <w:sz w:val="21"/>
                <w:szCs w:val="22"/>
              </w:rPr>
            </w:pPr>
            <w:r w:rsidRPr="0084400D">
              <w:rPr>
                <w:rFonts w:ascii="楷体" w:eastAsia="楷体" w:hAnsi="楷体"/>
                <w:sz w:val="21"/>
                <w:szCs w:val="22"/>
              </w:rPr>
              <w:t>国务院</w:t>
            </w:r>
          </w:p>
        </w:tc>
        <w:tc>
          <w:tcPr>
            <w:tcW w:w="5528" w:type="dxa"/>
          </w:tcPr>
          <w:p w14:paraId="5EB721C2" w14:textId="77777777" w:rsidR="000D0A14" w:rsidRDefault="000D0A14" w:rsidP="004670C2">
            <w:pPr>
              <w:rPr>
                <w:rFonts w:ascii="楷体" w:eastAsia="楷体" w:hAnsi="楷体" w:hint="eastAsia"/>
                <w:sz w:val="21"/>
                <w:szCs w:val="22"/>
              </w:rPr>
            </w:pPr>
            <w:r w:rsidRPr="009750F1">
              <w:rPr>
                <w:rFonts w:ascii="楷体" w:eastAsia="楷体" w:hAnsi="楷体" w:hint="eastAsia"/>
                <w:sz w:val="21"/>
                <w:szCs w:val="22"/>
              </w:rPr>
              <w:t>系统优化算力基础设施布局，促进东西部算力高效互补和协同联动，引导通用数据中心超算中心、智能计算中心、边缘数据中心等合理梯次布局</w:t>
            </w:r>
          </w:p>
        </w:tc>
      </w:tr>
      <w:tr w:rsidR="000D0A14" w14:paraId="29814623" w14:textId="77777777" w:rsidTr="004670C2">
        <w:tc>
          <w:tcPr>
            <w:tcW w:w="2268" w:type="dxa"/>
          </w:tcPr>
          <w:p w14:paraId="67896028" w14:textId="77777777" w:rsidR="000D0A14" w:rsidRDefault="000D0A14" w:rsidP="004670C2">
            <w:pPr>
              <w:jc w:val="center"/>
              <w:rPr>
                <w:rFonts w:ascii="楷体" w:eastAsia="楷体" w:hAnsi="楷体" w:hint="eastAsia"/>
                <w:sz w:val="21"/>
                <w:szCs w:val="22"/>
              </w:rPr>
            </w:pPr>
            <w:r w:rsidRPr="0084400D">
              <w:rPr>
                <w:rFonts w:ascii="楷体" w:eastAsia="楷体" w:hAnsi="楷体"/>
                <w:sz w:val="21"/>
                <w:szCs w:val="22"/>
              </w:rPr>
              <w:t>国家发展改革委等部门关于同意京津冀地区启动建设全国一体化算力网络国家枢纽节点的复函</w:t>
            </w:r>
          </w:p>
        </w:tc>
        <w:tc>
          <w:tcPr>
            <w:tcW w:w="2127" w:type="dxa"/>
          </w:tcPr>
          <w:p w14:paraId="1C3AD97E" w14:textId="77777777" w:rsidR="000D0A14" w:rsidRDefault="000D0A14" w:rsidP="004670C2">
            <w:pPr>
              <w:jc w:val="center"/>
              <w:rPr>
                <w:rFonts w:ascii="楷体" w:eastAsia="楷体" w:hAnsi="楷体" w:hint="eastAsia"/>
                <w:sz w:val="21"/>
                <w:szCs w:val="22"/>
              </w:rPr>
            </w:pPr>
            <w:r w:rsidRPr="0084400D">
              <w:rPr>
                <w:rFonts w:ascii="楷体" w:eastAsia="楷体" w:hAnsi="楷体"/>
                <w:sz w:val="21"/>
                <w:szCs w:val="22"/>
              </w:rPr>
              <w:t>国家发改委等四部门</w:t>
            </w:r>
          </w:p>
        </w:tc>
        <w:tc>
          <w:tcPr>
            <w:tcW w:w="5528" w:type="dxa"/>
          </w:tcPr>
          <w:p w14:paraId="18B66D06" w14:textId="77777777" w:rsidR="000D0A14" w:rsidRDefault="000D0A14" w:rsidP="004670C2">
            <w:pPr>
              <w:rPr>
                <w:rFonts w:ascii="楷体" w:eastAsia="楷体" w:hAnsi="楷体" w:hint="eastAsia"/>
                <w:sz w:val="21"/>
                <w:szCs w:val="22"/>
              </w:rPr>
            </w:pPr>
            <w:r w:rsidRPr="009750F1">
              <w:rPr>
                <w:rFonts w:ascii="楷体" w:eastAsia="楷体" w:hAnsi="楷体"/>
                <w:sz w:val="21"/>
                <w:szCs w:val="22"/>
              </w:rPr>
              <w:t>同意在京津冀地区启动建设全国一体化算力网络国家枢纽节点，发展高密度高能效、低碳数据中心集群，通过云网协同、云边协同等优化数据中心供给结构，扩展算力增长空间，实现大规模算力部署</w:t>
            </w:r>
          </w:p>
        </w:tc>
      </w:tr>
      <w:tr w:rsidR="000D0A14" w14:paraId="228AFDCC" w14:textId="77777777" w:rsidTr="004670C2">
        <w:tc>
          <w:tcPr>
            <w:tcW w:w="2268" w:type="dxa"/>
          </w:tcPr>
          <w:p w14:paraId="5F6C8714" w14:textId="77777777" w:rsidR="000D0A14" w:rsidRDefault="000D0A14" w:rsidP="004670C2">
            <w:pPr>
              <w:jc w:val="center"/>
              <w:rPr>
                <w:rFonts w:ascii="楷体" w:eastAsia="楷体" w:hAnsi="楷体" w:hint="eastAsia"/>
                <w:sz w:val="21"/>
                <w:szCs w:val="22"/>
              </w:rPr>
            </w:pPr>
            <w:r w:rsidRPr="0084400D">
              <w:rPr>
                <w:rFonts w:ascii="楷体" w:eastAsia="楷体" w:hAnsi="楷体"/>
                <w:sz w:val="21"/>
                <w:szCs w:val="22"/>
              </w:rPr>
              <w:t>“十四五” 国家信息化规划</w:t>
            </w:r>
          </w:p>
        </w:tc>
        <w:tc>
          <w:tcPr>
            <w:tcW w:w="2127" w:type="dxa"/>
          </w:tcPr>
          <w:p w14:paraId="6186E65A" w14:textId="77777777" w:rsidR="000D0A14" w:rsidRDefault="000D0A14" w:rsidP="004670C2">
            <w:pPr>
              <w:jc w:val="center"/>
              <w:rPr>
                <w:rFonts w:ascii="楷体" w:eastAsia="楷体" w:hAnsi="楷体" w:hint="eastAsia"/>
                <w:sz w:val="21"/>
                <w:szCs w:val="22"/>
              </w:rPr>
            </w:pPr>
            <w:r w:rsidRPr="0084400D">
              <w:rPr>
                <w:rFonts w:ascii="楷体" w:eastAsia="楷体" w:hAnsi="楷体" w:hint="eastAsia"/>
                <w:sz w:val="21"/>
                <w:szCs w:val="22"/>
              </w:rPr>
              <w:t>中央网络安全和信息化委员会</w:t>
            </w:r>
          </w:p>
        </w:tc>
        <w:tc>
          <w:tcPr>
            <w:tcW w:w="5528" w:type="dxa"/>
          </w:tcPr>
          <w:p w14:paraId="0F3FED9B" w14:textId="77777777" w:rsidR="000D0A14" w:rsidRDefault="000D0A14" w:rsidP="004670C2">
            <w:pPr>
              <w:rPr>
                <w:rFonts w:ascii="楷体" w:eastAsia="楷体" w:hAnsi="楷体" w:hint="eastAsia"/>
                <w:sz w:val="21"/>
                <w:szCs w:val="22"/>
              </w:rPr>
            </w:pPr>
            <w:r w:rsidRPr="009750F1">
              <w:rPr>
                <w:rFonts w:ascii="楷体" w:eastAsia="楷体" w:hAnsi="楷体"/>
                <w:sz w:val="21"/>
                <w:szCs w:val="22"/>
              </w:rPr>
              <w:t>统筹建设面向区块链和人工智能等的算力和算法中心，构建具备周边环境感应能力和反馈回应能力的边缘计算节点提供低时延、高可靠强安全边缘计算服务</w:t>
            </w:r>
          </w:p>
        </w:tc>
      </w:tr>
      <w:tr w:rsidR="000D0A14" w14:paraId="3DCAC384" w14:textId="77777777" w:rsidTr="004670C2">
        <w:tc>
          <w:tcPr>
            <w:tcW w:w="2268" w:type="dxa"/>
          </w:tcPr>
          <w:p w14:paraId="49372E36" w14:textId="77777777" w:rsidR="000D0A14" w:rsidRDefault="000D0A14" w:rsidP="004670C2">
            <w:pPr>
              <w:jc w:val="center"/>
              <w:rPr>
                <w:rFonts w:ascii="楷体" w:eastAsia="楷体" w:hAnsi="楷体" w:hint="eastAsia"/>
                <w:sz w:val="21"/>
                <w:szCs w:val="22"/>
              </w:rPr>
            </w:pPr>
            <w:r w:rsidRPr="0084400D">
              <w:rPr>
                <w:rFonts w:ascii="楷体" w:eastAsia="楷体" w:hAnsi="楷体"/>
                <w:sz w:val="21"/>
                <w:szCs w:val="22"/>
              </w:rPr>
              <w:t>“十四五” 大数据产业发展规划</w:t>
            </w:r>
          </w:p>
        </w:tc>
        <w:tc>
          <w:tcPr>
            <w:tcW w:w="2127" w:type="dxa"/>
          </w:tcPr>
          <w:p w14:paraId="64F4A2CF" w14:textId="77777777" w:rsidR="000D0A14" w:rsidRDefault="000D0A14" w:rsidP="004670C2">
            <w:pPr>
              <w:jc w:val="center"/>
              <w:rPr>
                <w:rFonts w:ascii="楷体" w:eastAsia="楷体" w:hAnsi="楷体" w:hint="eastAsia"/>
                <w:sz w:val="21"/>
                <w:szCs w:val="22"/>
              </w:rPr>
            </w:pPr>
            <w:r w:rsidRPr="0084400D">
              <w:rPr>
                <w:rFonts w:ascii="楷体" w:eastAsia="楷体" w:hAnsi="楷体"/>
                <w:sz w:val="21"/>
                <w:szCs w:val="22"/>
              </w:rPr>
              <w:t>工信部</w:t>
            </w:r>
          </w:p>
        </w:tc>
        <w:tc>
          <w:tcPr>
            <w:tcW w:w="5528" w:type="dxa"/>
          </w:tcPr>
          <w:p w14:paraId="1816CD32" w14:textId="77777777" w:rsidR="000D0A14" w:rsidRDefault="000D0A14" w:rsidP="004670C2">
            <w:pPr>
              <w:rPr>
                <w:rFonts w:ascii="楷体" w:eastAsia="楷体" w:hAnsi="楷体" w:hint="eastAsia"/>
                <w:sz w:val="21"/>
                <w:szCs w:val="22"/>
              </w:rPr>
            </w:pPr>
            <w:r w:rsidRPr="009750F1">
              <w:rPr>
                <w:rFonts w:ascii="楷体" w:eastAsia="楷体" w:hAnsi="楷体"/>
                <w:sz w:val="21"/>
                <w:szCs w:val="22"/>
              </w:rPr>
              <w:t>加快构建全国一体化大数据中心体系，推进国家工业互联网大数据中心建设强化算力统筹智能调度，建设若干国家枢纽节点和大数据中心集群。建设高性能计算集群，合理部署超级计算中心</w:t>
            </w:r>
          </w:p>
        </w:tc>
      </w:tr>
    </w:tbl>
    <w:p w14:paraId="26BB7C51" w14:textId="77777777" w:rsidR="000D0A14" w:rsidRDefault="000D0A14" w:rsidP="000D0A14">
      <w:pPr>
        <w:jc w:val="center"/>
        <w:rPr>
          <w:rFonts w:ascii="楷体" w:eastAsia="楷体" w:hAnsi="楷体" w:hint="eastAsia"/>
          <w:sz w:val="21"/>
          <w:szCs w:val="22"/>
        </w:rPr>
      </w:pPr>
    </w:p>
    <w:p w14:paraId="019CEF58" w14:textId="77777777" w:rsidR="000D0A14" w:rsidRDefault="000D0A14" w:rsidP="000D0A14">
      <w:pPr>
        <w:jc w:val="center"/>
        <w:rPr>
          <w:rFonts w:ascii="楷体" w:eastAsia="楷体" w:hAnsi="楷体" w:hint="eastAsia"/>
          <w:sz w:val="21"/>
          <w:szCs w:val="22"/>
        </w:rPr>
      </w:pPr>
      <w:r>
        <w:rPr>
          <w:rFonts w:ascii="楷体" w:eastAsia="楷体" w:hAnsi="楷体" w:hint="eastAsia"/>
          <w:sz w:val="21"/>
          <w:szCs w:val="22"/>
        </w:rPr>
        <w:t>表：地方政策</w:t>
      </w:r>
    </w:p>
    <w:tbl>
      <w:tblPr>
        <w:tblStyle w:val="af2"/>
        <w:tblW w:w="9923" w:type="dxa"/>
        <w:tblInd w:w="-572" w:type="dxa"/>
        <w:tblLook w:val="04A0" w:firstRow="1" w:lastRow="0" w:firstColumn="1" w:lastColumn="0" w:noHBand="0" w:noVBand="1"/>
      </w:tblPr>
      <w:tblGrid>
        <w:gridCol w:w="2268"/>
        <w:gridCol w:w="2127"/>
        <w:gridCol w:w="5528"/>
      </w:tblGrid>
      <w:tr w:rsidR="000D0A14" w14:paraId="571DB17F" w14:textId="77777777" w:rsidTr="004670C2">
        <w:tc>
          <w:tcPr>
            <w:tcW w:w="2268" w:type="dxa"/>
          </w:tcPr>
          <w:p w14:paraId="7C96B41E" w14:textId="77777777" w:rsidR="000D0A14" w:rsidRDefault="000D0A14" w:rsidP="004670C2">
            <w:pPr>
              <w:jc w:val="center"/>
              <w:rPr>
                <w:rFonts w:ascii="楷体" w:eastAsia="楷体" w:hAnsi="楷体" w:hint="eastAsia"/>
                <w:sz w:val="21"/>
                <w:szCs w:val="22"/>
              </w:rPr>
            </w:pPr>
            <w:r>
              <w:rPr>
                <w:rFonts w:ascii="楷体" w:eastAsia="楷体" w:hAnsi="楷体" w:hint="eastAsia"/>
                <w:sz w:val="21"/>
                <w:szCs w:val="22"/>
              </w:rPr>
              <w:t>政策名称</w:t>
            </w:r>
          </w:p>
        </w:tc>
        <w:tc>
          <w:tcPr>
            <w:tcW w:w="2127" w:type="dxa"/>
          </w:tcPr>
          <w:p w14:paraId="3C88E919" w14:textId="77777777" w:rsidR="000D0A14" w:rsidRDefault="000D0A14" w:rsidP="004670C2">
            <w:pPr>
              <w:jc w:val="center"/>
              <w:rPr>
                <w:rFonts w:ascii="楷体" w:eastAsia="楷体" w:hAnsi="楷体" w:hint="eastAsia"/>
                <w:sz w:val="21"/>
                <w:szCs w:val="22"/>
              </w:rPr>
            </w:pPr>
            <w:r>
              <w:rPr>
                <w:rFonts w:ascii="楷体" w:eastAsia="楷体" w:hAnsi="楷体" w:hint="eastAsia"/>
                <w:sz w:val="21"/>
                <w:szCs w:val="22"/>
              </w:rPr>
              <w:t>政策主体</w:t>
            </w:r>
          </w:p>
        </w:tc>
        <w:tc>
          <w:tcPr>
            <w:tcW w:w="5528" w:type="dxa"/>
          </w:tcPr>
          <w:p w14:paraId="6B632F62" w14:textId="77777777" w:rsidR="000D0A14" w:rsidRDefault="000D0A14" w:rsidP="004670C2">
            <w:pPr>
              <w:jc w:val="center"/>
              <w:rPr>
                <w:rFonts w:ascii="楷体" w:eastAsia="楷体" w:hAnsi="楷体" w:hint="eastAsia"/>
                <w:sz w:val="21"/>
                <w:szCs w:val="22"/>
              </w:rPr>
            </w:pPr>
            <w:r>
              <w:rPr>
                <w:rFonts w:ascii="楷体" w:eastAsia="楷体" w:hAnsi="楷体" w:hint="eastAsia"/>
                <w:sz w:val="21"/>
                <w:szCs w:val="22"/>
              </w:rPr>
              <w:t>政策要点</w:t>
            </w:r>
          </w:p>
        </w:tc>
      </w:tr>
      <w:tr w:rsidR="000D0A14" w14:paraId="4E9EE4A4" w14:textId="77777777" w:rsidTr="004670C2">
        <w:tc>
          <w:tcPr>
            <w:tcW w:w="2268" w:type="dxa"/>
          </w:tcPr>
          <w:p w14:paraId="292F2862" w14:textId="77777777" w:rsidR="000D0A14" w:rsidRDefault="000D0A14" w:rsidP="004670C2">
            <w:pPr>
              <w:jc w:val="center"/>
              <w:rPr>
                <w:rFonts w:ascii="楷体" w:eastAsia="楷体" w:hAnsi="楷体" w:hint="eastAsia"/>
                <w:sz w:val="21"/>
                <w:szCs w:val="22"/>
              </w:rPr>
            </w:pPr>
            <w:r w:rsidRPr="004433B8">
              <w:rPr>
                <w:rFonts w:ascii="楷体" w:eastAsia="楷体" w:hAnsi="楷体"/>
                <w:sz w:val="21"/>
                <w:szCs w:val="22"/>
              </w:rPr>
              <w:t>陕西省加快推动人工智能产业发展实施方案 (2024-2026 年)</w:t>
            </w:r>
          </w:p>
        </w:tc>
        <w:tc>
          <w:tcPr>
            <w:tcW w:w="2127" w:type="dxa"/>
          </w:tcPr>
          <w:p w14:paraId="112D09E0" w14:textId="77777777" w:rsidR="000D0A14" w:rsidRDefault="000D0A14" w:rsidP="004670C2">
            <w:pPr>
              <w:jc w:val="center"/>
              <w:rPr>
                <w:rFonts w:ascii="楷体" w:eastAsia="楷体" w:hAnsi="楷体" w:hint="eastAsia"/>
                <w:sz w:val="21"/>
                <w:szCs w:val="22"/>
              </w:rPr>
            </w:pPr>
            <w:r>
              <w:rPr>
                <w:rFonts w:ascii="楷体" w:eastAsia="楷体" w:hAnsi="楷体" w:hint="eastAsia"/>
                <w:sz w:val="21"/>
                <w:szCs w:val="22"/>
              </w:rPr>
              <w:t>陕西省</w:t>
            </w:r>
          </w:p>
        </w:tc>
        <w:tc>
          <w:tcPr>
            <w:tcW w:w="5528" w:type="dxa"/>
          </w:tcPr>
          <w:p w14:paraId="07E09ACA" w14:textId="77777777" w:rsidR="000D0A14" w:rsidRDefault="000D0A14" w:rsidP="004670C2">
            <w:pPr>
              <w:rPr>
                <w:rFonts w:ascii="楷体" w:eastAsia="楷体" w:hAnsi="楷体" w:hint="eastAsia"/>
                <w:sz w:val="21"/>
                <w:szCs w:val="22"/>
              </w:rPr>
            </w:pPr>
            <w:r w:rsidRPr="004433B8">
              <w:rPr>
                <w:rFonts w:ascii="楷体" w:eastAsia="楷体" w:hAnsi="楷体"/>
                <w:sz w:val="21"/>
                <w:szCs w:val="22"/>
              </w:rPr>
              <w:t>整合省内算力资源，建设省级算力统筹调度平台，实现 “算力一网化、统筹一体化、调度一站式”，2026 年建设运营智能算达到 3000P 以上，可统筹的公共智能算力达到西部领先水平</w:t>
            </w:r>
          </w:p>
        </w:tc>
      </w:tr>
      <w:tr w:rsidR="000D0A14" w14:paraId="03EABCAF" w14:textId="77777777" w:rsidTr="004670C2">
        <w:tc>
          <w:tcPr>
            <w:tcW w:w="2268" w:type="dxa"/>
          </w:tcPr>
          <w:p w14:paraId="40B63654" w14:textId="77777777" w:rsidR="000D0A14" w:rsidRDefault="000D0A14" w:rsidP="004670C2">
            <w:pPr>
              <w:jc w:val="center"/>
              <w:rPr>
                <w:rFonts w:ascii="楷体" w:eastAsia="楷体" w:hAnsi="楷体" w:hint="eastAsia"/>
                <w:sz w:val="21"/>
                <w:szCs w:val="22"/>
              </w:rPr>
            </w:pPr>
            <w:r w:rsidRPr="004433B8">
              <w:rPr>
                <w:rFonts w:ascii="楷体" w:eastAsia="楷体" w:hAnsi="楷体"/>
                <w:sz w:val="21"/>
                <w:szCs w:val="22"/>
              </w:rPr>
              <w:t>北京市算力基础设施建设实施方案 (2024-2027 年)</w:t>
            </w:r>
          </w:p>
        </w:tc>
        <w:tc>
          <w:tcPr>
            <w:tcW w:w="2127" w:type="dxa"/>
          </w:tcPr>
          <w:p w14:paraId="294F0AAF" w14:textId="77777777" w:rsidR="000D0A14" w:rsidRDefault="000D0A14" w:rsidP="004670C2">
            <w:pPr>
              <w:jc w:val="center"/>
              <w:rPr>
                <w:rFonts w:ascii="楷体" w:eastAsia="楷体" w:hAnsi="楷体" w:hint="eastAsia"/>
                <w:sz w:val="21"/>
                <w:szCs w:val="22"/>
              </w:rPr>
            </w:pPr>
            <w:r>
              <w:rPr>
                <w:rFonts w:ascii="楷体" w:eastAsia="楷体" w:hAnsi="楷体" w:hint="eastAsia"/>
                <w:sz w:val="21"/>
                <w:szCs w:val="22"/>
              </w:rPr>
              <w:t>北京市</w:t>
            </w:r>
          </w:p>
        </w:tc>
        <w:tc>
          <w:tcPr>
            <w:tcW w:w="5528" w:type="dxa"/>
          </w:tcPr>
          <w:p w14:paraId="5859B111" w14:textId="77777777" w:rsidR="000D0A14" w:rsidRDefault="000D0A14" w:rsidP="004670C2">
            <w:pPr>
              <w:rPr>
                <w:rFonts w:ascii="楷体" w:eastAsia="楷体" w:hAnsi="楷体" w:hint="eastAsia"/>
                <w:sz w:val="21"/>
                <w:szCs w:val="22"/>
              </w:rPr>
            </w:pPr>
            <w:r w:rsidRPr="004433B8">
              <w:rPr>
                <w:rFonts w:ascii="楷体" w:eastAsia="楷体" w:hAnsi="楷体"/>
                <w:sz w:val="21"/>
                <w:szCs w:val="22"/>
              </w:rPr>
              <w:t>改变算建建设 “小散” 局面，集中建设一批智算单一大集群，到 2025 年，本市智算供给规模达到 45EFLOPS。到 2027 年，实现智算基础设施软硬件产品全栈自主可控，整体性能达到国内领先水平，具备 100% 自主可控智算中心建设能力</w:t>
            </w:r>
          </w:p>
        </w:tc>
      </w:tr>
      <w:tr w:rsidR="000D0A14" w14:paraId="5A839790" w14:textId="77777777" w:rsidTr="004670C2">
        <w:tc>
          <w:tcPr>
            <w:tcW w:w="2268" w:type="dxa"/>
          </w:tcPr>
          <w:p w14:paraId="5F554171" w14:textId="77777777" w:rsidR="000D0A14" w:rsidRDefault="000D0A14" w:rsidP="004670C2">
            <w:pPr>
              <w:jc w:val="center"/>
              <w:rPr>
                <w:rFonts w:ascii="楷体" w:eastAsia="楷体" w:hAnsi="楷体" w:hint="eastAsia"/>
                <w:sz w:val="21"/>
                <w:szCs w:val="22"/>
              </w:rPr>
            </w:pPr>
            <w:r w:rsidRPr="004433B8">
              <w:rPr>
                <w:rFonts w:ascii="楷体" w:eastAsia="楷体" w:hAnsi="楷体"/>
                <w:sz w:val="21"/>
                <w:szCs w:val="22"/>
              </w:rPr>
              <w:t>上海市智能算力基础设施高质量发展 “算力浦江” 智算行动实施方案</w:t>
            </w:r>
          </w:p>
        </w:tc>
        <w:tc>
          <w:tcPr>
            <w:tcW w:w="2127" w:type="dxa"/>
          </w:tcPr>
          <w:p w14:paraId="64BC6AE8" w14:textId="77777777" w:rsidR="000D0A14" w:rsidRDefault="000D0A14" w:rsidP="004670C2">
            <w:pPr>
              <w:jc w:val="center"/>
              <w:rPr>
                <w:rFonts w:ascii="楷体" w:eastAsia="楷体" w:hAnsi="楷体" w:hint="eastAsia"/>
                <w:sz w:val="21"/>
                <w:szCs w:val="22"/>
              </w:rPr>
            </w:pPr>
            <w:r>
              <w:rPr>
                <w:rFonts w:ascii="楷体" w:eastAsia="楷体" w:hAnsi="楷体" w:hint="eastAsia"/>
                <w:sz w:val="21"/>
                <w:szCs w:val="22"/>
              </w:rPr>
              <w:t>上海市</w:t>
            </w:r>
          </w:p>
        </w:tc>
        <w:tc>
          <w:tcPr>
            <w:tcW w:w="5528" w:type="dxa"/>
          </w:tcPr>
          <w:p w14:paraId="2B5E44D6" w14:textId="77777777" w:rsidR="000D0A14" w:rsidRDefault="000D0A14" w:rsidP="004670C2">
            <w:pPr>
              <w:rPr>
                <w:rFonts w:ascii="楷体" w:eastAsia="楷体" w:hAnsi="楷体" w:hint="eastAsia"/>
                <w:sz w:val="21"/>
                <w:szCs w:val="22"/>
              </w:rPr>
            </w:pPr>
            <w:r w:rsidRPr="004433B8">
              <w:rPr>
                <w:rFonts w:ascii="楷体" w:eastAsia="楷体" w:hAnsi="楷体"/>
                <w:sz w:val="21"/>
                <w:szCs w:val="22"/>
              </w:rPr>
              <w:t>到 2025 年，新建智算中心国产算力芯片使用占比超过 50%，国产存储使用占比超过 50%，PUE 值将降至 1.25 以下。到 2025 年，上海市智能算力规模将超过 30EFLOPS，占比达到总算力的 50% 以上，智算中心内先进存储容量占比达到 50% 以上</w:t>
            </w:r>
          </w:p>
        </w:tc>
      </w:tr>
      <w:tr w:rsidR="000D0A14" w14:paraId="6AE485EF" w14:textId="77777777" w:rsidTr="004670C2">
        <w:tc>
          <w:tcPr>
            <w:tcW w:w="2268" w:type="dxa"/>
          </w:tcPr>
          <w:p w14:paraId="055A56A4" w14:textId="77777777" w:rsidR="000D0A14" w:rsidRDefault="000D0A14" w:rsidP="004670C2">
            <w:pPr>
              <w:jc w:val="center"/>
              <w:rPr>
                <w:rFonts w:ascii="楷体" w:eastAsia="楷体" w:hAnsi="楷体" w:hint="eastAsia"/>
                <w:sz w:val="21"/>
                <w:szCs w:val="22"/>
              </w:rPr>
            </w:pPr>
            <w:r w:rsidRPr="004433B8">
              <w:rPr>
                <w:rFonts w:ascii="楷体" w:eastAsia="楷体" w:hAnsi="楷体"/>
                <w:sz w:val="21"/>
                <w:szCs w:val="22"/>
              </w:rPr>
              <w:t>广东省算力基础设施高质量发展行动暨 “粤算” 行动计划 (2024-2025 年)</w:t>
            </w:r>
          </w:p>
        </w:tc>
        <w:tc>
          <w:tcPr>
            <w:tcW w:w="2127" w:type="dxa"/>
          </w:tcPr>
          <w:p w14:paraId="75BA978F" w14:textId="77777777" w:rsidR="000D0A14" w:rsidRDefault="000D0A14" w:rsidP="004670C2">
            <w:pPr>
              <w:jc w:val="center"/>
              <w:rPr>
                <w:rFonts w:ascii="楷体" w:eastAsia="楷体" w:hAnsi="楷体" w:hint="eastAsia"/>
                <w:sz w:val="21"/>
                <w:szCs w:val="22"/>
              </w:rPr>
            </w:pPr>
            <w:r>
              <w:rPr>
                <w:rFonts w:ascii="楷体" w:eastAsia="楷体" w:hAnsi="楷体" w:hint="eastAsia"/>
                <w:sz w:val="21"/>
                <w:szCs w:val="22"/>
              </w:rPr>
              <w:t>广东省</w:t>
            </w:r>
          </w:p>
        </w:tc>
        <w:tc>
          <w:tcPr>
            <w:tcW w:w="5528" w:type="dxa"/>
          </w:tcPr>
          <w:p w14:paraId="12553BD1" w14:textId="77777777" w:rsidR="000D0A14" w:rsidRDefault="000D0A14" w:rsidP="004670C2">
            <w:pPr>
              <w:rPr>
                <w:rFonts w:ascii="楷体" w:eastAsia="楷体" w:hAnsi="楷体" w:hint="eastAsia"/>
                <w:sz w:val="21"/>
                <w:szCs w:val="22"/>
              </w:rPr>
            </w:pPr>
            <w:r w:rsidRPr="004433B8">
              <w:rPr>
                <w:rFonts w:ascii="楷体" w:eastAsia="楷体" w:hAnsi="楷体"/>
                <w:sz w:val="21"/>
                <w:szCs w:val="22"/>
              </w:rPr>
              <w:t>到 2025 年，在计算力方面，算力规模达到 38EFLOPS，智能算力占比达到 50%。建成智能计算中心 10 个，基本形成算力规模体量与数字化发展需求相适应、算力供给结构与业务需求相匹配的发展格局</w:t>
            </w:r>
          </w:p>
        </w:tc>
      </w:tr>
      <w:tr w:rsidR="000D0A14" w14:paraId="4711A422" w14:textId="77777777" w:rsidTr="004670C2">
        <w:tc>
          <w:tcPr>
            <w:tcW w:w="2268" w:type="dxa"/>
          </w:tcPr>
          <w:p w14:paraId="5BF306D4" w14:textId="77777777" w:rsidR="000D0A14" w:rsidRDefault="000D0A14" w:rsidP="004670C2">
            <w:pPr>
              <w:jc w:val="center"/>
              <w:rPr>
                <w:rFonts w:ascii="楷体" w:eastAsia="楷体" w:hAnsi="楷体" w:hint="eastAsia"/>
                <w:sz w:val="21"/>
                <w:szCs w:val="22"/>
              </w:rPr>
            </w:pPr>
            <w:r w:rsidRPr="00134AF1">
              <w:rPr>
                <w:rFonts w:ascii="楷体" w:eastAsia="楷体" w:hAnsi="楷体"/>
                <w:sz w:val="21"/>
                <w:szCs w:val="22"/>
              </w:rPr>
              <w:t>深圳市算力基础设施</w:t>
            </w:r>
            <w:r w:rsidRPr="00134AF1">
              <w:rPr>
                <w:rFonts w:ascii="楷体" w:eastAsia="楷体" w:hAnsi="楷体"/>
                <w:sz w:val="21"/>
                <w:szCs w:val="22"/>
              </w:rPr>
              <w:lastRenderedPageBreak/>
              <w:t>高质量发展行动计划 (2024-2025)</w:t>
            </w:r>
          </w:p>
        </w:tc>
        <w:tc>
          <w:tcPr>
            <w:tcW w:w="2127" w:type="dxa"/>
          </w:tcPr>
          <w:p w14:paraId="1559C72A" w14:textId="77777777" w:rsidR="000D0A14" w:rsidRDefault="000D0A14" w:rsidP="004670C2">
            <w:pPr>
              <w:jc w:val="center"/>
              <w:rPr>
                <w:rFonts w:ascii="楷体" w:eastAsia="楷体" w:hAnsi="楷体" w:hint="eastAsia"/>
                <w:sz w:val="21"/>
                <w:szCs w:val="22"/>
              </w:rPr>
            </w:pPr>
            <w:r>
              <w:rPr>
                <w:rFonts w:ascii="楷体" w:eastAsia="楷体" w:hAnsi="楷体" w:hint="eastAsia"/>
                <w:sz w:val="21"/>
                <w:szCs w:val="22"/>
              </w:rPr>
              <w:lastRenderedPageBreak/>
              <w:t>深圳市</w:t>
            </w:r>
          </w:p>
        </w:tc>
        <w:tc>
          <w:tcPr>
            <w:tcW w:w="5528" w:type="dxa"/>
          </w:tcPr>
          <w:p w14:paraId="303A490F" w14:textId="77777777" w:rsidR="000D0A14" w:rsidRDefault="000D0A14" w:rsidP="004670C2">
            <w:pPr>
              <w:rPr>
                <w:rFonts w:ascii="楷体" w:eastAsia="楷体" w:hAnsi="楷体" w:hint="eastAsia"/>
                <w:sz w:val="21"/>
                <w:szCs w:val="22"/>
              </w:rPr>
            </w:pPr>
            <w:r w:rsidRPr="00134AF1">
              <w:rPr>
                <w:rFonts w:ascii="楷体" w:eastAsia="楷体" w:hAnsi="楷体"/>
                <w:sz w:val="21"/>
                <w:szCs w:val="22"/>
              </w:rPr>
              <w:t>到 2025 年，通用算力达到 14 EFLOPS (FP32)，智能算</w:t>
            </w:r>
            <w:r w:rsidRPr="00134AF1">
              <w:rPr>
                <w:rFonts w:ascii="楷体" w:eastAsia="楷体" w:hAnsi="楷体"/>
                <w:sz w:val="21"/>
                <w:szCs w:val="22"/>
              </w:rPr>
              <w:lastRenderedPageBreak/>
              <w:t>力达到 25 EFLOPS (FP16)，超算算力达到 2 EFLOPS (FP64)，存储量达到 90EB。先进存储容量占比达到 80% 以上，重点行业核心数据、重要数据灾备覆盖率达到 100%</w:t>
            </w:r>
          </w:p>
        </w:tc>
      </w:tr>
      <w:tr w:rsidR="000D0A14" w14:paraId="1FA7EDE5" w14:textId="77777777" w:rsidTr="004670C2">
        <w:tc>
          <w:tcPr>
            <w:tcW w:w="2268" w:type="dxa"/>
          </w:tcPr>
          <w:p w14:paraId="0AD28479" w14:textId="77777777" w:rsidR="000D0A14" w:rsidRDefault="000D0A14" w:rsidP="004670C2">
            <w:pPr>
              <w:jc w:val="center"/>
              <w:rPr>
                <w:rFonts w:ascii="楷体" w:eastAsia="楷体" w:hAnsi="楷体" w:hint="eastAsia"/>
                <w:sz w:val="21"/>
                <w:szCs w:val="22"/>
              </w:rPr>
            </w:pPr>
            <w:r w:rsidRPr="00134AF1">
              <w:rPr>
                <w:rFonts w:ascii="楷体" w:eastAsia="楷体" w:hAnsi="楷体"/>
                <w:sz w:val="21"/>
                <w:szCs w:val="22"/>
              </w:rPr>
              <w:lastRenderedPageBreak/>
              <w:t>山东省数字基础设施建设行动方案 (2024-2025 年)</w:t>
            </w:r>
          </w:p>
        </w:tc>
        <w:tc>
          <w:tcPr>
            <w:tcW w:w="2127" w:type="dxa"/>
          </w:tcPr>
          <w:p w14:paraId="4930BA72" w14:textId="77777777" w:rsidR="000D0A14" w:rsidRDefault="000D0A14" w:rsidP="004670C2">
            <w:pPr>
              <w:jc w:val="center"/>
              <w:rPr>
                <w:rFonts w:ascii="楷体" w:eastAsia="楷体" w:hAnsi="楷体" w:hint="eastAsia"/>
                <w:sz w:val="21"/>
                <w:szCs w:val="22"/>
              </w:rPr>
            </w:pPr>
            <w:r>
              <w:rPr>
                <w:rFonts w:ascii="楷体" w:eastAsia="楷体" w:hAnsi="楷体" w:hint="eastAsia"/>
                <w:sz w:val="21"/>
                <w:szCs w:val="22"/>
              </w:rPr>
              <w:t>山东省</w:t>
            </w:r>
          </w:p>
        </w:tc>
        <w:tc>
          <w:tcPr>
            <w:tcW w:w="5528" w:type="dxa"/>
          </w:tcPr>
          <w:p w14:paraId="6D6D92DC" w14:textId="77777777" w:rsidR="000D0A14" w:rsidRDefault="000D0A14" w:rsidP="004670C2">
            <w:pPr>
              <w:rPr>
                <w:rFonts w:ascii="楷体" w:eastAsia="楷体" w:hAnsi="楷体" w:hint="eastAsia"/>
                <w:sz w:val="21"/>
                <w:szCs w:val="22"/>
              </w:rPr>
            </w:pPr>
            <w:r w:rsidRPr="00134AF1">
              <w:rPr>
                <w:rFonts w:ascii="楷体" w:eastAsia="楷体" w:hAnsi="楷体"/>
                <w:sz w:val="21"/>
                <w:szCs w:val="22"/>
              </w:rPr>
              <w:t>到 2025 年，全省数据中心在用标准机架总数达到 45 万个，总算力达到 12.5EFLOPS，智能算力占比达到 35%，算力规模达 65EB，先进存储占比达到 35% 以上</w:t>
            </w:r>
          </w:p>
        </w:tc>
      </w:tr>
      <w:tr w:rsidR="000D0A14" w14:paraId="6B021565" w14:textId="77777777" w:rsidTr="004670C2">
        <w:tc>
          <w:tcPr>
            <w:tcW w:w="2268" w:type="dxa"/>
          </w:tcPr>
          <w:p w14:paraId="085E3A4B" w14:textId="77777777" w:rsidR="000D0A14" w:rsidRDefault="000D0A14" w:rsidP="004670C2">
            <w:pPr>
              <w:jc w:val="center"/>
              <w:rPr>
                <w:rFonts w:ascii="楷体" w:eastAsia="楷体" w:hAnsi="楷体" w:hint="eastAsia"/>
                <w:sz w:val="21"/>
                <w:szCs w:val="22"/>
              </w:rPr>
            </w:pPr>
            <w:r w:rsidRPr="00134AF1">
              <w:rPr>
                <w:rFonts w:ascii="楷体" w:eastAsia="楷体" w:hAnsi="楷体"/>
                <w:sz w:val="21"/>
                <w:szCs w:val="22"/>
              </w:rPr>
              <w:t>河南省重大新型基础设施建设提速行动方案 (2023-2025 年)</w:t>
            </w:r>
          </w:p>
        </w:tc>
        <w:tc>
          <w:tcPr>
            <w:tcW w:w="2127" w:type="dxa"/>
          </w:tcPr>
          <w:p w14:paraId="21EF0965" w14:textId="77777777" w:rsidR="000D0A14" w:rsidRDefault="000D0A14" w:rsidP="004670C2">
            <w:pPr>
              <w:jc w:val="center"/>
              <w:rPr>
                <w:rFonts w:ascii="楷体" w:eastAsia="楷体" w:hAnsi="楷体" w:hint="eastAsia"/>
                <w:sz w:val="21"/>
                <w:szCs w:val="22"/>
              </w:rPr>
            </w:pPr>
            <w:r>
              <w:rPr>
                <w:rFonts w:ascii="楷体" w:eastAsia="楷体" w:hAnsi="楷体" w:hint="eastAsia"/>
                <w:sz w:val="21"/>
                <w:szCs w:val="22"/>
              </w:rPr>
              <w:t>河南省</w:t>
            </w:r>
          </w:p>
        </w:tc>
        <w:tc>
          <w:tcPr>
            <w:tcW w:w="5528" w:type="dxa"/>
          </w:tcPr>
          <w:p w14:paraId="6A48195E" w14:textId="77777777" w:rsidR="000D0A14" w:rsidRDefault="000D0A14" w:rsidP="004670C2">
            <w:pPr>
              <w:rPr>
                <w:rFonts w:ascii="楷体" w:eastAsia="楷体" w:hAnsi="楷体" w:hint="eastAsia"/>
                <w:sz w:val="21"/>
                <w:szCs w:val="22"/>
              </w:rPr>
            </w:pPr>
            <w:r w:rsidRPr="00134AF1">
              <w:rPr>
                <w:rFonts w:ascii="楷体" w:eastAsia="楷体" w:hAnsi="楷体"/>
                <w:sz w:val="21"/>
                <w:szCs w:val="22"/>
              </w:rPr>
              <w:t>到 2025 年智算和超算算力规模超过 2000PFLOPS，高性能算力占比超过 30%。持续提升国家超算郑州中心超算能力，建设智算中心和郑州城市算力网调度中心，资源利用率达到 70%</w:t>
            </w:r>
          </w:p>
        </w:tc>
      </w:tr>
      <w:tr w:rsidR="000D0A14" w14:paraId="3CFAD3F3" w14:textId="77777777" w:rsidTr="004670C2">
        <w:tc>
          <w:tcPr>
            <w:tcW w:w="2268" w:type="dxa"/>
          </w:tcPr>
          <w:p w14:paraId="49FBB342" w14:textId="77777777" w:rsidR="000D0A14" w:rsidRDefault="000D0A14" w:rsidP="004670C2">
            <w:pPr>
              <w:jc w:val="center"/>
              <w:rPr>
                <w:rFonts w:ascii="楷体" w:eastAsia="楷体" w:hAnsi="楷体" w:hint="eastAsia"/>
                <w:sz w:val="21"/>
                <w:szCs w:val="22"/>
              </w:rPr>
            </w:pPr>
            <w:r w:rsidRPr="00134AF1">
              <w:rPr>
                <w:rFonts w:ascii="楷体" w:eastAsia="楷体" w:hAnsi="楷体"/>
                <w:sz w:val="21"/>
                <w:szCs w:val="22"/>
              </w:rPr>
              <w:t>临港新片区加快构建算力产业生态行动方案 (2023-2025 年)</w:t>
            </w:r>
          </w:p>
        </w:tc>
        <w:tc>
          <w:tcPr>
            <w:tcW w:w="2127" w:type="dxa"/>
          </w:tcPr>
          <w:p w14:paraId="5818D6A6" w14:textId="77777777" w:rsidR="000D0A14" w:rsidRDefault="000D0A14" w:rsidP="004670C2">
            <w:pPr>
              <w:jc w:val="center"/>
              <w:rPr>
                <w:rFonts w:ascii="楷体" w:eastAsia="楷体" w:hAnsi="楷体" w:hint="eastAsia"/>
                <w:sz w:val="21"/>
                <w:szCs w:val="22"/>
              </w:rPr>
            </w:pPr>
            <w:r>
              <w:rPr>
                <w:rFonts w:ascii="楷体" w:eastAsia="楷体" w:hAnsi="楷体" w:hint="eastAsia"/>
                <w:sz w:val="21"/>
                <w:szCs w:val="22"/>
              </w:rPr>
              <w:t>上海市</w:t>
            </w:r>
          </w:p>
        </w:tc>
        <w:tc>
          <w:tcPr>
            <w:tcW w:w="5528" w:type="dxa"/>
          </w:tcPr>
          <w:p w14:paraId="4BEF78D1" w14:textId="77777777" w:rsidR="000D0A14" w:rsidRDefault="000D0A14" w:rsidP="004670C2">
            <w:pPr>
              <w:rPr>
                <w:rFonts w:ascii="楷体" w:eastAsia="楷体" w:hAnsi="楷体" w:hint="eastAsia"/>
                <w:sz w:val="21"/>
                <w:szCs w:val="22"/>
              </w:rPr>
            </w:pPr>
            <w:r w:rsidRPr="00134AF1">
              <w:rPr>
                <w:rFonts w:ascii="楷体" w:eastAsia="楷体" w:hAnsi="楷体"/>
                <w:sz w:val="21"/>
                <w:szCs w:val="22"/>
              </w:rPr>
              <w:t>到 2025 年，新片区算力供给形成以智算算力为主、基础算力和超算算力协同的多元算力供给体系，总算力超过 5EFLOPS (FP32)，AI 算力占比达到 80%，新建数据中心 PUE 控制在 1.25 以内</w:t>
            </w:r>
          </w:p>
        </w:tc>
      </w:tr>
      <w:tr w:rsidR="000D0A14" w14:paraId="200A954A" w14:textId="77777777" w:rsidTr="004670C2">
        <w:tc>
          <w:tcPr>
            <w:tcW w:w="2268" w:type="dxa"/>
          </w:tcPr>
          <w:p w14:paraId="7DA1EBF0" w14:textId="77777777" w:rsidR="000D0A14" w:rsidRPr="00134AF1" w:rsidRDefault="000D0A14" w:rsidP="004670C2">
            <w:pPr>
              <w:jc w:val="center"/>
              <w:rPr>
                <w:rFonts w:ascii="楷体" w:eastAsia="楷体" w:hAnsi="楷体" w:hint="eastAsia"/>
                <w:sz w:val="21"/>
                <w:szCs w:val="22"/>
              </w:rPr>
            </w:pPr>
            <w:r w:rsidRPr="00134AF1">
              <w:rPr>
                <w:rFonts w:ascii="楷体" w:eastAsia="楷体" w:hAnsi="楷体"/>
                <w:sz w:val="21"/>
                <w:szCs w:val="22"/>
              </w:rPr>
              <w:t>面向全国的算力保障基地建设规划</w:t>
            </w:r>
          </w:p>
        </w:tc>
        <w:tc>
          <w:tcPr>
            <w:tcW w:w="2127" w:type="dxa"/>
          </w:tcPr>
          <w:p w14:paraId="47E54E26" w14:textId="77777777" w:rsidR="000D0A14" w:rsidRDefault="000D0A14" w:rsidP="004670C2">
            <w:pPr>
              <w:jc w:val="center"/>
              <w:rPr>
                <w:rFonts w:ascii="楷体" w:eastAsia="楷体" w:hAnsi="楷体" w:hint="eastAsia"/>
                <w:sz w:val="21"/>
                <w:szCs w:val="22"/>
              </w:rPr>
            </w:pPr>
            <w:r w:rsidRPr="00134AF1">
              <w:rPr>
                <w:rFonts w:ascii="楷体" w:eastAsia="楷体" w:hAnsi="楷体"/>
                <w:sz w:val="21"/>
                <w:szCs w:val="22"/>
              </w:rPr>
              <w:t>贵州</w:t>
            </w:r>
            <w:r>
              <w:rPr>
                <w:rFonts w:ascii="楷体" w:eastAsia="楷体" w:hAnsi="楷体" w:hint="eastAsia"/>
                <w:sz w:val="21"/>
                <w:szCs w:val="22"/>
              </w:rPr>
              <w:t>省</w:t>
            </w:r>
          </w:p>
        </w:tc>
        <w:tc>
          <w:tcPr>
            <w:tcW w:w="5528" w:type="dxa"/>
          </w:tcPr>
          <w:p w14:paraId="42F3DA4D" w14:textId="77777777" w:rsidR="000D0A14" w:rsidRDefault="000D0A14" w:rsidP="004670C2">
            <w:pPr>
              <w:rPr>
                <w:rFonts w:ascii="楷体" w:eastAsia="楷体" w:hAnsi="楷体" w:hint="eastAsia"/>
                <w:sz w:val="21"/>
                <w:szCs w:val="22"/>
              </w:rPr>
            </w:pPr>
            <w:r w:rsidRPr="00134AF1">
              <w:rPr>
                <w:rFonts w:ascii="楷体" w:eastAsia="楷体" w:hAnsi="楷体"/>
                <w:sz w:val="21"/>
                <w:szCs w:val="22"/>
              </w:rPr>
              <w:t>围绕高可靠、高可用目标，从备份中心提升为计算中心、效益中心，重点布局智算基础设施，形成低时延人工智能算力基地、全国低成本中心、高安全中心，到 2024 年通用算力、智算算力、超算算力的总规模达到 5EFLOPS</w:t>
            </w:r>
          </w:p>
        </w:tc>
      </w:tr>
    </w:tbl>
    <w:p w14:paraId="510DFF24" w14:textId="41F2CF50" w:rsidR="000D0A14" w:rsidRPr="0093680D" w:rsidRDefault="007C571C" w:rsidP="00A74B74">
      <w:pPr>
        <w:rPr>
          <w:rFonts w:ascii="楷体" w:eastAsia="楷体" w:hAnsi="楷体" w:hint="eastAsia"/>
          <w:sz w:val="21"/>
          <w:szCs w:val="22"/>
        </w:rPr>
      </w:pPr>
      <w:r>
        <w:rPr>
          <w:rFonts w:ascii="楷体" w:eastAsia="楷体" w:hAnsi="楷体" w:hint="eastAsia"/>
          <w:sz w:val="21"/>
          <w:szCs w:val="22"/>
        </w:rPr>
        <w:t>信息来源：银河证券</w:t>
      </w:r>
    </w:p>
    <w:p w14:paraId="4AD2E162" w14:textId="77777777" w:rsidR="000D0A14" w:rsidRPr="000D0A14" w:rsidRDefault="000D0A14" w:rsidP="000D0A14">
      <w:pPr>
        <w:rPr>
          <w:rFonts w:hint="eastAsia"/>
        </w:rPr>
      </w:pPr>
    </w:p>
    <w:p w14:paraId="1D542165" w14:textId="3B760489" w:rsidR="007C571C" w:rsidRDefault="009B0F67" w:rsidP="000D0A14">
      <w:pPr>
        <w:pStyle w:val="2"/>
        <w:rPr>
          <w:rFonts w:hint="eastAsia"/>
        </w:rPr>
      </w:pPr>
      <w:r>
        <w:rPr>
          <w:rFonts w:hint="eastAsia"/>
        </w:rPr>
        <w:t>3.</w:t>
      </w:r>
      <w:r w:rsidR="00D17872">
        <w:rPr>
          <w:rFonts w:hint="eastAsia"/>
        </w:rPr>
        <w:t>4.</w:t>
      </w:r>
      <w:r w:rsidR="007C571C">
        <w:rPr>
          <w:rFonts w:hint="eastAsia"/>
        </w:rPr>
        <w:t>传统通信的良性嬗变</w:t>
      </w:r>
    </w:p>
    <w:p w14:paraId="4FCDF73B" w14:textId="2026872D" w:rsidR="00F0048F" w:rsidRPr="00F0048F" w:rsidRDefault="00F0048F" w:rsidP="00F0048F">
      <w:pPr>
        <w:pStyle w:val="3"/>
        <w:rPr>
          <w:rFonts w:hint="eastAsia"/>
        </w:rPr>
      </w:pPr>
      <w:r>
        <w:rPr>
          <w:rFonts w:hint="eastAsia"/>
        </w:rPr>
        <w:t>3.4.1 运营商</w:t>
      </w:r>
    </w:p>
    <w:p w14:paraId="372ED7C1" w14:textId="6E347E4B" w:rsidR="00202C92" w:rsidRDefault="007E683E" w:rsidP="007C571C">
      <w:pPr>
        <w:rPr>
          <w:rFonts w:hint="eastAsia"/>
        </w:rPr>
      </w:pPr>
      <w:r w:rsidRPr="007E683E">
        <w:t>经营业绩层面，据工信部统计，2025 年前三季度国内电信业务累计收入为 13270 亿元，同比增长 0.9%（9M24：2.6%），电信业务总量同比增长 9%（9M24：10.7%），较去年同期收入增速有所放缓。我们认为主要系当前国内移动电话用户数总量已达 18.28 亿户，5G 移动电话用户占比也已提升至 63.9%，移动电话用户量的增长逐步触及天花板。细分来看，移动互联网流量仍然保持较快增长，1-9 月移动互联网累计流量达到 2874 亿 GB，同比增长 16.6%，户均移动互联网接入流量（DOU）达到 21.23GB/户·月，同比增长 15.5%；固网业务方面，固网接入用户总数达到 6.95 亿户，较2024年末净增长 2486 万，千兆宽带用户数占比提升至 33.9%，固网业务市场收入仍然具备良好的成长性。</w:t>
      </w:r>
      <w:r w:rsidR="009B7AFA">
        <w:rPr>
          <w:rFonts w:hint="eastAsia"/>
        </w:rPr>
        <w:t>传统业务基本盘仍然稳固。</w:t>
      </w:r>
    </w:p>
    <w:p w14:paraId="36187DB3" w14:textId="6D7F6A7D" w:rsidR="007E683E" w:rsidRDefault="00B519E6" w:rsidP="007C571C">
      <w:pPr>
        <w:rPr>
          <w:rFonts w:hint="eastAsia"/>
        </w:rPr>
      </w:pPr>
      <w:r>
        <w:rPr>
          <w:noProof/>
        </w:rPr>
        <w:lastRenderedPageBreak/>
        <w:drawing>
          <wp:inline distT="0" distB="0" distL="0" distR="0" wp14:anchorId="4C25232A" wp14:editId="39250BAA">
            <wp:extent cx="5274310" cy="2103755"/>
            <wp:effectExtent l="0" t="0" r="2540" b="0"/>
            <wp:docPr id="523844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44596" name=""/>
                    <pic:cNvPicPr/>
                  </pic:nvPicPr>
                  <pic:blipFill>
                    <a:blip r:embed="rId20"/>
                    <a:stretch>
                      <a:fillRect/>
                    </a:stretch>
                  </pic:blipFill>
                  <pic:spPr>
                    <a:xfrm>
                      <a:off x="0" y="0"/>
                      <a:ext cx="5274310" cy="2103755"/>
                    </a:xfrm>
                    <a:prstGeom prst="rect">
                      <a:avLst/>
                    </a:prstGeom>
                  </pic:spPr>
                </pic:pic>
              </a:graphicData>
            </a:graphic>
          </wp:inline>
        </w:drawing>
      </w:r>
    </w:p>
    <w:p w14:paraId="2CC535C5" w14:textId="72EA317C" w:rsidR="007E683E" w:rsidRDefault="00B519E6" w:rsidP="007C571C">
      <w:pPr>
        <w:rPr>
          <w:rFonts w:hint="eastAsia"/>
        </w:rPr>
      </w:pPr>
      <w:r>
        <w:rPr>
          <w:noProof/>
        </w:rPr>
        <w:drawing>
          <wp:inline distT="0" distB="0" distL="0" distR="0" wp14:anchorId="1D796014" wp14:editId="08B6292E">
            <wp:extent cx="5274310" cy="1952625"/>
            <wp:effectExtent l="0" t="0" r="2540" b="9525"/>
            <wp:docPr id="1266395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95493" name=""/>
                    <pic:cNvPicPr/>
                  </pic:nvPicPr>
                  <pic:blipFill>
                    <a:blip r:embed="rId21"/>
                    <a:stretch>
                      <a:fillRect/>
                    </a:stretch>
                  </pic:blipFill>
                  <pic:spPr>
                    <a:xfrm>
                      <a:off x="0" y="0"/>
                      <a:ext cx="5274310" cy="1952625"/>
                    </a:xfrm>
                    <a:prstGeom prst="rect">
                      <a:avLst/>
                    </a:prstGeom>
                  </pic:spPr>
                </pic:pic>
              </a:graphicData>
            </a:graphic>
          </wp:inline>
        </w:drawing>
      </w:r>
    </w:p>
    <w:p w14:paraId="72DB76A2" w14:textId="77777777" w:rsidR="00823430" w:rsidRDefault="004B37D1" w:rsidP="004B37D1">
      <w:pPr>
        <w:rPr>
          <w:rFonts w:hint="eastAsia"/>
        </w:rPr>
      </w:pPr>
      <w:r>
        <w:rPr>
          <w:rFonts w:hint="eastAsia"/>
        </w:rPr>
        <w:t>数字化领域，国内三大运营商作为科技央企的标杆，也在积极推进“AI+”行动的深度和广度。</w:t>
      </w:r>
    </w:p>
    <w:p w14:paraId="3CBFB0C9" w14:textId="77777777" w:rsidR="00823430" w:rsidRDefault="004B37D1" w:rsidP="004B37D1">
      <w:pPr>
        <w:rPr>
          <w:rFonts w:hint="eastAsia"/>
        </w:rPr>
      </w:pPr>
      <w:r>
        <w:rPr>
          <w:rFonts w:hint="eastAsia"/>
        </w:rPr>
        <w:t>中国移动在 2025 年中报披露，AI+DICT 签约项目 1485 个，AI 化产品客户累计 2 亿户，AI 直接收入实现高速增长；</w:t>
      </w:r>
    </w:p>
    <w:p w14:paraId="5F958DEA" w14:textId="77777777" w:rsidR="00823430" w:rsidRDefault="004B37D1" w:rsidP="004B37D1">
      <w:pPr>
        <w:rPr>
          <w:rFonts w:hint="eastAsia"/>
        </w:rPr>
      </w:pPr>
      <w:r>
        <w:rPr>
          <w:rFonts w:hint="eastAsia"/>
        </w:rPr>
        <w:t>中国电信则以“息壤”为核心，构建完成智能云体系，自用+接入智算规模达到 77EFLOPS，以算力+平台+数据+模型+应用为代表的 AI 一体化智能服务收入达 63 亿元，同比增长 89.4%；</w:t>
      </w:r>
    </w:p>
    <w:p w14:paraId="43CA0B7E" w14:textId="77777777" w:rsidR="00823430" w:rsidRDefault="004B37D1" w:rsidP="004B37D1">
      <w:pPr>
        <w:rPr>
          <w:rFonts w:hint="eastAsia"/>
        </w:rPr>
      </w:pPr>
      <w:r>
        <w:rPr>
          <w:rFonts w:hint="eastAsia"/>
        </w:rPr>
        <w:t>中国联通的数据中心业务在 AI 应用需求的带动下增速有所提升，AIDC 2025 年上半年签约额同比增长 60%，智算总规模达到 30EFLOPS。</w:t>
      </w:r>
    </w:p>
    <w:p w14:paraId="6A368591" w14:textId="0CF49C5A" w:rsidR="004B37D1" w:rsidRDefault="00823430" w:rsidP="004B37D1">
      <w:pPr>
        <w:rPr>
          <w:rFonts w:hint="eastAsia"/>
        </w:rPr>
      </w:pPr>
      <w:r>
        <w:rPr>
          <w:rFonts w:hint="eastAsia"/>
        </w:rPr>
        <w:t>总的来说，</w:t>
      </w:r>
      <w:r w:rsidRPr="00C940BE">
        <w:t>三大运营商正加速战略重心向算力网络迁移，</w:t>
      </w:r>
      <w:r w:rsidRPr="00C940BE">
        <w:rPr>
          <w:b/>
          <w:bCs/>
        </w:rPr>
        <w:t>从“连接管道”向“算力底座”跃迁</w:t>
      </w:r>
      <w:r w:rsidRPr="00C940BE">
        <w:t>，以AI算力基建为第二增长曲线，开启新一轮资本开支结构的重构。</w:t>
      </w:r>
    </w:p>
    <w:p w14:paraId="5877DF74" w14:textId="4D30BF19" w:rsidR="00205912" w:rsidRDefault="000B5113" w:rsidP="001F2D5A">
      <w:pPr>
        <w:jc w:val="center"/>
        <w:rPr>
          <w:rFonts w:hint="eastAsia"/>
        </w:rPr>
      </w:pPr>
      <w:r>
        <w:rPr>
          <w:rFonts w:hint="eastAsia"/>
        </w:rPr>
        <w:t>图</w:t>
      </w:r>
      <w:r w:rsidR="00205912">
        <w:rPr>
          <w:rFonts w:hint="eastAsia"/>
        </w:rPr>
        <w:t>：运营商智算投资部分展示</w:t>
      </w:r>
    </w:p>
    <w:p w14:paraId="4442678E" w14:textId="2BA13517" w:rsidR="000B5113" w:rsidRDefault="000B5113" w:rsidP="00AD701E">
      <w:pPr>
        <w:jc w:val="center"/>
        <w:rPr>
          <w:rFonts w:hint="eastAsia"/>
        </w:rPr>
      </w:pPr>
      <w:r>
        <w:rPr>
          <w:noProof/>
        </w:rPr>
        <w:lastRenderedPageBreak/>
        <w:drawing>
          <wp:inline distT="0" distB="0" distL="0" distR="0" wp14:anchorId="627E6DF3" wp14:editId="7A80A6B4">
            <wp:extent cx="5274310" cy="4598035"/>
            <wp:effectExtent l="0" t="0" r="2540" b="0"/>
            <wp:docPr id="376983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83263" name=""/>
                    <pic:cNvPicPr/>
                  </pic:nvPicPr>
                  <pic:blipFill>
                    <a:blip r:embed="rId22"/>
                    <a:stretch>
                      <a:fillRect/>
                    </a:stretch>
                  </pic:blipFill>
                  <pic:spPr>
                    <a:xfrm>
                      <a:off x="0" y="0"/>
                      <a:ext cx="5274310" cy="4598035"/>
                    </a:xfrm>
                    <a:prstGeom prst="rect">
                      <a:avLst/>
                    </a:prstGeom>
                  </pic:spPr>
                </pic:pic>
              </a:graphicData>
            </a:graphic>
          </wp:inline>
        </w:drawing>
      </w:r>
    </w:p>
    <w:p w14:paraId="534FE83B" w14:textId="77C23999" w:rsidR="005655ED" w:rsidRDefault="004062E1" w:rsidP="004062E1">
      <w:pPr>
        <w:pStyle w:val="3"/>
        <w:rPr>
          <w:rFonts w:hint="eastAsia"/>
        </w:rPr>
      </w:pPr>
      <w:r>
        <w:rPr>
          <w:rFonts w:hint="eastAsia"/>
        </w:rPr>
        <w:t>3.4.2 传统设备厂商</w:t>
      </w:r>
    </w:p>
    <w:p w14:paraId="60B40506" w14:textId="77777777" w:rsidR="007716AF" w:rsidRDefault="004062E1" w:rsidP="004062E1">
      <w:pPr>
        <w:rPr>
          <w:rFonts w:hint="eastAsia"/>
        </w:rPr>
      </w:pPr>
      <w:r w:rsidRPr="004062E1">
        <w:t>传统通信设备商正从"5G基站供应商"向"算力网络综合服务商"转型。以中兴通讯为例，其智算服务器业务在2024年已实现规模化出货，从单纯的CT设备（基站、传输）向IT设备（智算中心、存储）延伸。</w:t>
      </w:r>
    </w:p>
    <w:p w14:paraId="0A3BF6FE" w14:textId="3FA01050" w:rsidR="007716AF" w:rsidRDefault="007716AF" w:rsidP="007716AF">
      <w:pPr>
        <w:rPr>
          <w:rFonts w:hint="eastAsia"/>
        </w:rPr>
      </w:pPr>
      <w:r>
        <w:rPr>
          <w:rFonts w:hint="eastAsia"/>
        </w:rPr>
        <w:t>2024年中兴通讯政企业务（含算力服务器、存储、数据中心交换机）实现营收185.7亿元，同比增长36.7%，其中国内政企业务增速近60%，服务器及存储收入实现翻番。至2025年第一季度，智算服务器订货在整体算力业务中占比已超60%，成为驱动增长的核心引擎。在运营商算力网络建设中，中兴通讯已拿下中国移动分布式存储集采新建项目最大份额，并以第一/第二名中标中国联通和中国电信数据中心交换机集采；在中国电信2024-2025年服务器规模集采（总规模15.6万台，其中国产化占比67.5%）中入围4个标包</w:t>
      </w:r>
    </w:p>
    <w:p w14:paraId="5BBF0AD4" w14:textId="7531955D" w:rsidR="004062E1" w:rsidRDefault="004062E1" w:rsidP="004062E1">
      <w:pPr>
        <w:rPr>
          <w:rFonts w:hint="eastAsia"/>
        </w:rPr>
      </w:pPr>
      <w:r w:rsidRPr="004062E1">
        <w:t>这一转型的战略意义在于：当5G-A/6G进入平缓期，设备商通过切入算力基建市场，维持了与运营商客户的</w:t>
      </w:r>
      <w:r w:rsidR="008554AE">
        <w:rPr>
          <w:rFonts w:hint="eastAsia"/>
        </w:rPr>
        <w:t>同步</w:t>
      </w:r>
      <w:r w:rsidRPr="004062E1">
        <w:t>绑定，同时为光模块需求提供了"设备-光互联"的系统性支撑</w:t>
      </w:r>
    </w:p>
    <w:p w14:paraId="5028E0F7" w14:textId="3EB21484" w:rsidR="00C35575" w:rsidRDefault="00C35575" w:rsidP="00C35575">
      <w:pPr>
        <w:pStyle w:val="3"/>
        <w:rPr>
          <w:rFonts w:hint="eastAsia"/>
        </w:rPr>
      </w:pPr>
      <w:r>
        <w:rPr>
          <w:rFonts w:hint="eastAsia"/>
        </w:rPr>
        <w:lastRenderedPageBreak/>
        <w:t>3.4.3 光纤</w:t>
      </w:r>
    </w:p>
    <w:p w14:paraId="165B68B8" w14:textId="77777777" w:rsidR="001223F0" w:rsidRPr="001223F0" w:rsidRDefault="001223F0" w:rsidP="001223F0">
      <w:pPr>
        <w:rPr>
          <w:rFonts w:hint="eastAsia"/>
        </w:rPr>
      </w:pPr>
    </w:p>
    <w:p w14:paraId="2BF5CF88" w14:textId="77777777" w:rsidR="00B2122C" w:rsidRPr="00B2122C" w:rsidRDefault="00B2122C" w:rsidP="00B2122C">
      <w:pPr>
        <w:rPr>
          <w:rFonts w:hint="eastAsia"/>
        </w:rPr>
      </w:pPr>
    </w:p>
    <w:p w14:paraId="75569A90" w14:textId="62C03834" w:rsidR="00472F09" w:rsidRPr="00826331" w:rsidRDefault="005234D7" w:rsidP="00970978">
      <w:pPr>
        <w:pStyle w:val="1"/>
        <w:rPr>
          <w:rFonts w:hint="eastAsia"/>
        </w:rPr>
      </w:pPr>
      <w:r>
        <w:rPr>
          <w:rFonts w:hint="eastAsia"/>
        </w:rPr>
        <w:t>4.</w:t>
      </w:r>
      <w:r w:rsidR="00472F09" w:rsidRPr="00826331">
        <w:rPr>
          <w:rFonts w:hint="eastAsia"/>
        </w:rPr>
        <w:t>投资标的1：515050</w:t>
      </w:r>
    </w:p>
    <w:p w14:paraId="16746FE4" w14:textId="48C6C1FF" w:rsidR="00472F09" w:rsidRDefault="005234D7" w:rsidP="00826331">
      <w:pPr>
        <w:pStyle w:val="2"/>
        <w:rPr>
          <w:rFonts w:ascii="楷体" w:eastAsia="楷体" w:hAnsi="楷体" w:hint="eastAsia"/>
          <w:color w:val="auto"/>
        </w:rPr>
      </w:pPr>
      <w:r>
        <w:rPr>
          <w:rFonts w:ascii="楷体" w:eastAsia="楷体" w:hAnsi="楷体" w:hint="eastAsia"/>
          <w:color w:val="auto"/>
        </w:rPr>
        <w:t>4.1</w:t>
      </w:r>
      <w:r w:rsidR="00472F09" w:rsidRPr="00826331">
        <w:rPr>
          <w:rFonts w:ascii="楷体" w:eastAsia="楷体" w:hAnsi="楷体" w:hint="eastAsia"/>
          <w:color w:val="auto"/>
        </w:rPr>
        <w:t>基本信息：管理人，费率，十大持仓，估值，主题偏离，价格弹性，流动性，跟踪误差</w:t>
      </w:r>
    </w:p>
    <w:p w14:paraId="09429DB6" w14:textId="630E8C4A" w:rsidR="00D859AB" w:rsidRPr="00D859AB" w:rsidRDefault="00D859AB" w:rsidP="00D859AB">
      <w:pPr>
        <w:pStyle w:val="2"/>
        <w:rPr>
          <w:rFonts w:hint="eastAsia"/>
        </w:rPr>
      </w:pPr>
      <w:r>
        <w:rPr>
          <w:rFonts w:hint="eastAsia"/>
        </w:rPr>
        <w:t>4.2 仓内个股分析</w:t>
      </w:r>
    </w:p>
    <w:p w14:paraId="0BF52EC3" w14:textId="350BEE61" w:rsidR="00472F09" w:rsidRPr="00826331" w:rsidRDefault="005234D7" w:rsidP="00826331">
      <w:pPr>
        <w:pStyle w:val="2"/>
        <w:rPr>
          <w:rFonts w:ascii="楷体" w:eastAsia="楷体" w:hAnsi="楷体" w:hint="eastAsia"/>
          <w:color w:val="auto"/>
        </w:rPr>
      </w:pPr>
      <w:r>
        <w:rPr>
          <w:rFonts w:ascii="楷体" w:eastAsia="楷体" w:hAnsi="楷体" w:hint="eastAsia"/>
          <w:color w:val="auto"/>
        </w:rPr>
        <w:t>4.2</w:t>
      </w:r>
      <w:r w:rsidR="00472F09" w:rsidRPr="00826331">
        <w:rPr>
          <w:rFonts w:ascii="楷体" w:eastAsia="楷体" w:hAnsi="楷体" w:hint="eastAsia"/>
          <w:color w:val="auto"/>
        </w:rPr>
        <w:t>港股可</w:t>
      </w:r>
      <w:r w:rsidR="00D859AB">
        <w:rPr>
          <w:rFonts w:ascii="楷体" w:eastAsia="楷体" w:hAnsi="楷体" w:hint="eastAsia"/>
          <w:color w:val="auto"/>
        </w:rPr>
        <w:t>比</w:t>
      </w:r>
      <w:r w:rsidR="00472F09" w:rsidRPr="00826331">
        <w:rPr>
          <w:rFonts w:ascii="楷体" w:eastAsia="楷体" w:hAnsi="楷体" w:hint="eastAsia"/>
          <w:color w:val="auto"/>
        </w:rPr>
        <w:t>标的</w:t>
      </w:r>
    </w:p>
    <w:p w14:paraId="580F9367" w14:textId="37798612" w:rsidR="00472F09" w:rsidRPr="00826331" w:rsidRDefault="005234D7" w:rsidP="00472F09">
      <w:pPr>
        <w:pStyle w:val="1"/>
        <w:rPr>
          <w:rFonts w:ascii="楷体" w:eastAsia="楷体" w:hAnsi="楷体" w:hint="eastAsia"/>
          <w:color w:val="auto"/>
        </w:rPr>
      </w:pPr>
      <w:r>
        <w:rPr>
          <w:rFonts w:ascii="楷体" w:eastAsia="楷体" w:hAnsi="楷体" w:hint="eastAsia"/>
          <w:color w:val="auto"/>
        </w:rPr>
        <w:t>5.</w:t>
      </w:r>
      <w:r w:rsidR="00472F09" w:rsidRPr="00826331">
        <w:rPr>
          <w:rFonts w:ascii="楷体" w:eastAsia="楷体" w:hAnsi="楷体" w:hint="eastAsia"/>
          <w:color w:val="auto"/>
        </w:rPr>
        <w:t>投资标的2：515800</w:t>
      </w:r>
    </w:p>
    <w:p w14:paraId="6896C8D5" w14:textId="77777777" w:rsidR="00472F09" w:rsidRPr="00826331" w:rsidRDefault="00472F09" w:rsidP="00472F09">
      <w:pPr>
        <w:pStyle w:val="a9"/>
        <w:numPr>
          <w:ilvl w:val="1"/>
          <w:numId w:val="1"/>
        </w:numPr>
        <w:rPr>
          <w:rFonts w:ascii="楷体" w:eastAsia="楷体" w:hAnsi="楷体" w:hint="eastAsia"/>
        </w:rPr>
      </w:pPr>
      <w:r w:rsidRPr="00826331">
        <w:rPr>
          <w:rFonts w:ascii="楷体" w:eastAsia="楷体" w:hAnsi="楷体" w:hint="eastAsia"/>
        </w:rPr>
        <w:t>同上</w:t>
      </w:r>
    </w:p>
    <w:p w14:paraId="7BA37B3A" w14:textId="7DD8F8CE" w:rsidR="00472F09" w:rsidRPr="00826331" w:rsidRDefault="005234D7" w:rsidP="00472F09">
      <w:pPr>
        <w:pStyle w:val="1"/>
        <w:rPr>
          <w:rFonts w:ascii="楷体" w:eastAsia="楷体" w:hAnsi="楷体" w:hint="eastAsia"/>
          <w:color w:val="auto"/>
        </w:rPr>
      </w:pPr>
      <w:r>
        <w:rPr>
          <w:rFonts w:ascii="楷体" w:eastAsia="楷体" w:hAnsi="楷体" w:hint="eastAsia"/>
          <w:color w:val="auto"/>
        </w:rPr>
        <w:t>6.</w:t>
      </w:r>
      <w:r w:rsidR="00472F09" w:rsidRPr="00826331">
        <w:rPr>
          <w:rFonts w:ascii="楷体" w:eastAsia="楷体" w:hAnsi="楷体" w:hint="eastAsia"/>
          <w:color w:val="auto"/>
        </w:rPr>
        <w:t>投资风险</w:t>
      </w:r>
    </w:p>
    <w:p w14:paraId="5B3DA2D0" w14:textId="6B2AA272" w:rsidR="00CD480A" w:rsidRDefault="009A1C45" w:rsidP="009A1C45">
      <w:pPr>
        <w:pStyle w:val="1"/>
        <w:rPr>
          <w:rFonts w:hint="eastAsia"/>
        </w:rPr>
      </w:pPr>
      <w:r>
        <w:rPr>
          <w:rFonts w:hint="eastAsia"/>
        </w:rPr>
        <w:t>7. 素材</w:t>
      </w:r>
    </w:p>
    <w:p w14:paraId="17650FC0" w14:textId="4FF2176D" w:rsidR="00332E22" w:rsidRPr="00332E22" w:rsidRDefault="00332E22" w:rsidP="00332E22">
      <w:pPr>
        <w:pStyle w:val="2"/>
        <w:rPr>
          <w:rFonts w:hint="eastAsia"/>
        </w:rPr>
      </w:pPr>
      <w:r>
        <w:rPr>
          <w:rFonts w:hint="eastAsia"/>
        </w:rPr>
        <w:t>20251231申万</w:t>
      </w:r>
    </w:p>
    <w:p w14:paraId="6239E6EC" w14:textId="03DDA27E" w:rsidR="009A1C45" w:rsidRDefault="009A1C45" w:rsidP="009A1C45">
      <w:pPr>
        <w:rPr>
          <w:rFonts w:hint="eastAsia"/>
        </w:rPr>
      </w:pPr>
      <w:r>
        <w:rPr>
          <w:rFonts w:hint="eastAsia"/>
        </w:rPr>
        <w:t xml:space="preserve">Scale up </w:t>
      </w:r>
    </w:p>
    <w:p w14:paraId="2F11E77D" w14:textId="0F3DDA0B" w:rsidR="009A1C45" w:rsidRDefault="009A1C45" w:rsidP="009A1C45">
      <w:pPr>
        <w:rPr>
          <w:rFonts w:hint="eastAsia"/>
        </w:rPr>
      </w:pPr>
      <w:r>
        <w:rPr>
          <w:noProof/>
        </w:rPr>
        <w:lastRenderedPageBreak/>
        <w:drawing>
          <wp:inline distT="0" distB="0" distL="0" distR="0" wp14:anchorId="52E29B0E" wp14:editId="76826C70">
            <wp:extent cx="5274310" cy="3119755"/>
            <wp:effectExtent l="0" t="0" r="2540" b="4445"/>
            <wp:docPr id="100430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0151" name=""/>
                    <pic:cNvPicPr/>
                  </pic:nvPicPr>
                  <pic:blipFill>
                    <a:blip r:embed="rId23"/>
                    <a:stretch>
                      <a:fillRect/>
                    </a:stretch>
                  </pic:blipFill>
                  <pic:spPr>
                    <a:xfrm>
                      <a:off x="0" y="0"/>
                      <a:ext cx="5274310" cy="3119755"/>
                    </a:xfrm>
                    <a:prstGeom prst="rect">
                      <a:avLst/>
                    </a:prstGeom>
                  </pic:spPr>
                </pic:pic>
              </a:graphicData>
            </a:graphic>
          </wp:inline>
        </w:drawing>
      </w:r>
    </w:p>
    <w:p w14:paraId="061EA6C9" w14:textId="27E56A58" w:rsidR="00332E22" w:rsidRDefault="00332E22" w:rsidP="009A1C45">
      <w:pPr>
        <w:rPr>
          <w:rFonts w:hint="eastAsia"/>
        </w:rPr>
      </w:pPr>
      <w:r>
        <w:rPr>
          <w:rFonts w:hint="eastAsia"/>
        </w:rPr>
        <w:t>硅光大趋势</w:t>
      </w:r>
    </w:p>
    <w:p w14:paraId="7F88A178" w14:textId="793117AD" w:rsidR="00677340" w:rsidRDefault="00677340" w:rsidP="009A1C45">
      <w:pPr>
        <w:rPr>
          <w:rFonts w:hint="eastAsia"/>
        </w:rPr>
      </w:pPr>
      <w:r>
        <w:rPr>
          <w:noProof/>
        </w:rPr>
        <w:drawing>
          <wp:inline distT="0" distB="0" distL="0" distR="0" wp14:anchorId="6B665323" wp14:editId="464FB7CB">
            <wp:extent cx="5274310" cy="2913380"/>
            <wp:effectExtent l="0" t="0" r="2540" b="1270"/>
            <wp:docPr id="1024586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86124" name=""/>
                    <pic:cNvPicPr/>
                  </pic:nvPicPr>
                  <pic:blipFill>
                    <a:blip r:embed="rId24"/>
                    <a:stretch>
                      <a:fillRect/>
                    </a:stretch>
                  </pic:blipFill>
                  <pic:spPr>
                    <a:xfrm>
                      <a:off x="0" y="0"/>
                      <a:ext cx="5274310" cy="2913380"/>
                    </a:xfrm>
                    <a:prstGeom prst="rect">
                      <a:avLst/>
                    </a:prstGeom>
                  </pic:spPr>
                </pic:pic>
              </a:graphicData>
            </a:graphic>
          </wp:inline>
        </w:drawing>
      </w:r>
    </w:p>
    <w:p w14:paraId="387189A3" w14:textId="075571BC" w:rsidR="00677340" w:rsidRDefault="00677340" w:rsidP="009A1C45">
      <w:pPr>
        <w:rPr>
          <w:rFonts w:hint="eastAsia"/>
        </w:rPr>
      </w:pPr>
      <w:r>
        <w:rPr>
          <w:rFonts w:hint="eastAsia"/>
        </w:rPr>
        <w:t>算力集群</w:t>
      </w:r>
    </w:p>
    <w:p w14:paraId="2F1F9871" w14:textId="55D6A07F" w:rsidR="00677340" w:rsidRPr="009A1C45" w:rsidRDefault="00677340" w:rsidP="009A1C45">
      <w:pPr>
        <w:rPr>
          <w:rFonts w:hint="eastAsia"/>
        </w:rPr>
      </w:pPr>
      <w:r>
        <w:rPr>
          <w:noProof/>
        </w:rPr>
        <w:lastRenderedPageBreak/>
        <w:drawing>
          <wp:inline distT="0" distB="0" distL="0" distR="0" wp14:anchorId="25D81708" wp14:editId="79695805">
            <wp:extent cx="5274310" cy="2337435"/>
            <wp:effectExtent l="0" t="0" r="2540" b="5715"/>
            <wp:docPr id="1654042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42833" name=""/>
                    <pic:cNvPicPr/>
                  </pic:nvPicPr>
                  <pic:blipFill>
                    <a:blip r:embed="rId25"/>
                    <a:stretch>
                      <a:fillRect/>
                    </a:stretch>
                  </pic:blipFill>
                  <pic:spPr>
                    <a:xfrm>
                      <a:off x="0" y="0"/>
                      <a:ext cx="5274310" cy="2337435"/>
                    </a:xfrm>
                    <a:prstGeom prst="rect">
                      <a:avLst/>
                    </a:prstGeom>
                  </pic:spPr>
                </pic:pic>
              </a:graphicData>
            </a:graphic>
          </wp:inline>
        </w:drawing>
      </w:r>
    </w:p>
    <w:sectPr w:rsidR="00677340" w:rsidRPr="009A1C45">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张曦瑾" w:date="2026-04-17T10:12:00Z" w:initials="ZX">
    <w:p w14:paraId="22318B19" w14:textId="77777777" w:rsidR="003916AC" w:rsidRDefault="003916AC" w:rsidP="003916AC">
      <w:pPr>
        <w:pStyle w:val="af4"/>
        <w:rPr>
          <w:rFonts w:hint="eastAsia"/>
        </w:rPr>
      </w:pPr>
      <w:r>
        <w:rPr>
          <w:rStyle w:val="af3"/>
          <w:rFonts w:hint="eastAsia"/>
        </w:rPr>
        <w:annotationRef/>
      </w:r>
      <w:r>
        <w:rPr>
          <w:rFonts w:hint="eastAsia"/>
          <w:highlight w:val="black"/>
        </w:rPr>
        <w:t>改为</w:t>
      </w:r>
      <w:r>
        <w:rPr>
          <w:rFonts w:hint="eastAsia"/>
          <w:b/>
          <w:bCs/>
          <w:highlight w:val="black"/>
        </w:rPr>
        <w:t>"技术路线未收敛阶段的头部集中效应"</w:t>
      </w:r>
      <w:r>
        <w:rPr>
          <w:rFonts w:hint="eastAsia"/>
          <w:highlight w:val="black"/>
        </w:rPr>
        <w:t>——说明"由于技术路线未定（CPO vs LPO vs可插拔），只有具备多路径研发能力的头部厂商能捕获代际红利，这在指数层面体现为光模块龙头的权重提升"</w:t>
      </w:r>
      <w:r>
        <w:rPr>
          <w:rFonts w:hint="eastAsia"/>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318B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46594C" w16cex:dateUtc="2026-04-17T02: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318B19" w16cid:durableId="4C4659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3C625" w14:textId="77777777" w:rsidR="00232D00" w:rsidRDefault="00232D00" w:rsidP="00472F09">
      <w:pPr>
        <w:spacing w:after="0" w:line="240" w:lineRule="auto"/>
        <w:rPr>
          <w:rFonts w:hint="eastAsia"/>
        </w:rPr>
      </w:pPr>
      <w:r>
        <w:separator/>
      </w:r>
    </w:p>
  </w:endnote>
  <w:endnote w:type="continuationSeparator" w:id="0">
    <w:p w14:paraId="1CB05922" w14:textId="77777777" w:rsidR="00232D00" w:rsidRDefault="00232D00" w:rsidP="00472F0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A9E0D" w14:textId="77777777" w:rsidR="00232D00" w:rsidRDefault="00232D00" w:rsidP="00472F09">
      <w:pPr>
        <w:spacing w:after="0" w:line="240" w:lineRule="auto"/>
        <w:rPr>
          <w:rFonts w:hint="eastAsia"/>
        </w:rPr>
      </w:pPr>
      <w:r>
        <w:separator/>
      </w:r>
    </w:p>
  </w:footnote>
  <w:footnote w:type="continuationSeparator" w:id="0">
    <w:p w14:paraId="0D80C5D8" w14:textId="77777777" w:rsidR="00232D00" w:rsidRDefault="00232D00" w:rsidP="00472F0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2436"/>
    <w:multiLevelType w:val="multilevel"/>
    <w:tmpl w:val="D732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D1E35"/>
    <w:multiLevelType w:val="multilevel"/>
    <w:tmpl w:val="1E54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5643B"/>
    <w:multiLevelType w:val="multilevel"/>
    <w:tmpl w:val="CE6C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23612"/>
    <w:multiLevelType w:val="multilevel"/>
    <w:tmpl w:val="18EA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F1EF7"/>
    <w:multiLevelType w:val="multilevel"/>
    <w:tmpl w:val="2F32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45E75"/>
    <w:multiLevelType w:val="multilevel"/>
    <w:tmpl w:val="0A96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D7A5D"/>
    <w:multiLevelType w:val="multilevel"/>
    <w:tmpl w:val="4B94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B1E56"/>
    <w:multiLevelType w:val="hybridMultilevel"/>
    <w:tmpl w:val="5A34CE14"/>
    <w:lvl w:ilvl="0" w:tplc="50FC60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7DB0B5C"/>
    <w:multiLevelType w:val="multilevel"/>
    <w:tmpl w:val="E40C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8091E"/>
    <w:multiLevelType w:val="multilevel"/>
    <w:tmpl w:val="E188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D3D0F"/>
    <w:multiLevelType w:val="multilevel"/>
    <w:tmpl w:val="53F8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B14E9C"/>
    <w:multiLevelType w:val="multilevel"/>
    <w:tmpl w:val="199C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130CDA"/>
    <w:multiLevelType w:val="hybridMultilevel"/>
    <w:tmpl w:val="D6D2C300"/>
    <w:lvl w:ilvl="0" w:tplc="56102A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16B14A2"/>
    <w:multiLevelType w:val="multilevel"/>
    <w:tmpl w:val="A16E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32863"/>
    <w:multiLevelType w:val="hybridMultilevel"/>
    <w:tmpl w:val="D44285E6"/>
    <w:lvl w:ilvl="0" w:tplc="868AD5FE">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5B184024">
      <w:start w:val="1"/>
      <w:numFmt w:val="decimal"/>
      <w:lvlText w:val="%5."/>
      <w:lvlJc w:val="left"/>
      <w:pPr>
        <w:ind w:left="2200" w:hanging="440"/>
      </w:pPr>
      <w:rPr>
        <w:rFonts w:asciiTheme="minorHAnsi" w:eastAsiaTheme="minorEastAsia" w:hAnsiTheme="minorHAnsi" w:cstheme="minorBidi"/>
      </w:r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B950C9D"/>
    <w:multiLevelType w:val="multilevel"/>
    <w:tmpl w:val="48E8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200F9D"/>
    <w:multiLevelType w:val="hybridMultilevel"/>
    <w:tmpl w:val="ADB0D21A"/>
    <w:lvl w:ilvl="0" w:tplc="1C7060D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F0E03EF"/>
    <w:multiLevelType w:val="multilevel"/>
    <w:tmpl w:val="1E4A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018950">
    <w:abstractNumId w:val="14"/>
  </w:num>
  <w:num w:numId="2" w16cid:durableId="2118864515">
    <w:abstractNumId w:val="12"/>
  </w:num>
  <w:num w:numId="3" w16cid:durableId="2145081666">
    <w:abstractNumId w:val="16"/>
  </w:num>
  <w:num w:numId="4" w16cid:durableId="1789084530">
    <w:abstractNumId w:val="7"/>
  </w:num>
  <w:num w:numId="5" w16cid:durableId="1665817677">
    <w:abstractNumId w:val="15"/>
  </w:num>
  <w:num w:numId="6" w16cid:durableId="1105033161">
    <w:abstractNumId w:val="9"/>
  </w:num>
  <w:num w:numId="7" w16cid:durableId="207036108">
    <w:abstractNumId w:val="5"/>
  </w:num>
  <w:num w:numId="8" w16cid:durableId="915820418">
    <w:abstractNumId w:val="8"/>
  </w:num>
  <w:num w:numId="9" w16cid:durableId="1596085060">
    <w:abstractNumId w:val="17"/>
  </w:num>
  <w:num w:numId="10" w16cid:durableId="1757902569">
    <w:abstractNumId w:val="3"/>
  </w:num>
  <w:num w:numId="11" w16cid:durableId="1004239508">
    <w:abstractNumId w:val="1"/>
  </w:num>
  <w:num w:numId="12" w16cid:durableId="1531606110">
    <w:abstractNumId w:val="0"/>
  </w:num>
  <w:num w:numId="13" w16cid:durableId="70198436">
    <w:abstractNumId w:val="2"/>
  </w:num>
  <w:num w:numId="14" w16cid:durableId="1760517994">
    <w:abstractNumId w:val="13"/>
  </w:num>
  <w:num w:numId="15" w16cid:durableId="316735986">
    <w:abstractNumId w:val="6"/>
  </w:num>
  <w:num w:numId="16" w16cid:durableId="449130353">
    <w:abstractNumId w:val="11"/>
  </w:num>
  <w:num w:numId="17" w16cid:durableId="1949507576">
    <w:abstractNumId w:val="10"/>
  </w:num>
  <w:num w:numId="18" w16cid:durableId="71095800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张曦瑾">
    <w15:presenceInfo w15:providerId="None" w15:userId="张曦瑾"/>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80A"/>
    <w:rsid w:val="00010F1D"/>
    <w:rsid w:val="000110DB"/>
    <w:rsid w:val="00026B3D"/>
    <w:rsid w:val="000334ED"/>
    <w:rsid w:val="00055650"/>
    <w:rsid w:val="00073BDE"/>
    <w:rsid w:val="000A4F6E"/>
    <w:rsid w:val="000B5113"/>
    <w:rsid w:val="000B52A9"/>
    <w:rsid w:val="000C607A"/>
    <w:rsid w:val="000D0A14"/>
    <w:rsid w:val="000D7223"/>
    <w:rsid w:val="000E4FFC"/>
    <w:rsid w:val="000E705D"/>
    <w:rsid w:val="001223F0"/>
    <w:rsid w:val="0013016E"/>
    <w:rsid w:val="00134AF1"/>
    <w:rsid w:val="0014079A"/>
    <w:rsid w:val="00144B21"/>
    <w:rsid w:val="00147452"/>
    <w:rsid w:val="001A4AEB"/>
    <w:rsid w:val="001A6C9B"/>
    <w:rsid w:val="001B5F26"/>
    <w:rsid w:val="001C5C90"/>
    <w:rsid w:val="001D375D"/>
    <w:rsid w:val="001D5B2B"/>
    <w:rsid w:val="001E22D6"/>
    <w:rsid w:val="001F2D5A"/>
    <w:rsid w:val="00202C92"/>
    <w:rsid w:val="00205912"/>
    <w:rsid w:val="00223072"/>
    <w:rsid w:val="00232D00"/>
    <w:rsid w:val="00243121"/>
    <w:rsid w:val="00253985"/>
    <w:rsid w:val="00254AC3"/>
    <w:rsid w:val="0028046D"/>
    <w:rsid w:val="00287950"/>
    <w:rsid w:val="002B7B2F"/>
    <w:rsid w:val="002B7E11"/>
    <w:rsid w:val="002E7612"/>
    <w:rsid w:val="003032DF"/>
    <w:rsid w:val="00323760"/>
    <w:rsid w:val="0033116C"/>
    <w:rsid w:val="00331AFA"/>
    <w:rsid w:val="00332E22"/>
    <w:rsid w:val="003521E9"/>
    <w:rsid w:val="00365681"/>
    <w:rsid w:val="00377F56"/>
    <w:rsid w:val="0038544B"/>
    <w:rsid w:val="00385EC0"/>
    <w:rsid w:val="003916AC"/>
    <w:rsid w:val="00391854"/>
    <w:rsid w:val="003D0889"/>
    <w:rsid w:val="003D6390"/>
    <w:rsid w:val="003F642F"/>
    <w:rsid w:val="004062E1"/>
    <w:rsid w:val="004433B8"/>
    <w:rsid w:val="004551D3"/>
    <w:rsid w:val="00472F09"/>
    <w:rsid w:val="004917B1"/>
    <w:rsid w:val="00496A60"/>
    <w:rsid w:val="004A6F72"/>
    <w:rsid w:val="004B37D1"/>
    <w:rsid w:val="004E6458"/>
    <w:rsid w:val="004F6700"/>
    <w:rsid w:val="005012BC"/>
    <w:rsid w:val="005066EE"/>
    <w:rsid w:val="005173CE"/>
    <w:rsid w:val="005234B2"/>
    <w:rsid w:val="005234D7"/>
    <w:rsid w:val="005267D3"/>
    <w:rsid w:val="00530A05"/>
    <w:rsid w:val="00535D53"/>
    <w:rsid w:val="00541AC5"/>
    <w:rsid w:val="005655ED"/>
    <w:rsid w:val="00593063"/>
    <w:rsid w:val="006014FB"/>
    <w:rsid w:val="00611A5D"/>
    <w:rsid w:val="0062479A"/>
    <w:rsid w:val="006319A9"/>
    <w:rsid w:val="00646D7A"/>
    <w:rsid w:val="0065363F"/>
    <w:rsid w:val="00677340"/>
    <w:rsid w:val="00682BBF"/>
    <w:rsid w:val="006B04BA"/>
    <w:rsid w:val="006F2EE6"/>
    <w:rsid w:val="00703B24"/>
    <w:rsid w:val="00741AE2"/>
    <w:rsid w:val="007710CE"/>
    <w:rsid w:val="007716AF"/>
    <w:rsid w:val="00771A72"/>
    <w:rsid w:val="00776B4D"/>
    <w:rsid w:val="007A4294"/>
    <w:rsid w:val="007B1849"/>
    <w:rsid w:val="007B2E48"/>
    <w:rsid w:val="007C2467"/>
    <w:rsid w:val="007C571C"/>
    <w:rsid w:val="007D7047"/>
    <w:rsid w:val="007D743E"/>
    <w:rsid w:val="007E683E"/>
    <w:rsid w:val="007F398B"/>
    <w:rsid w:val="008041E9"/>
    <w:rsid w:val="00823430"/>
    <w:rsid w:val="00826331"/>
    <w:rsid w:val="00826AB3"/>
    <w:rsid w:val="0084400D"/>
    <w:rsid w:val="008554AE"/>
    <w:rsid w:val="00855890"/>
    <w:rsid w:val="00872047"/>
    <w:rsid w:val="00886A8B"/>
    <w:rsid w:val="008A12F1"/>
    <w:rsid w:val="008A28F0"/>
    <w:rsid w:val="008F02CF"/>
    <w:rsid w:val="008F0E2F"/>
    <w:rsid w:val="009175DA"/>
    <w:rsid w:val="009310DB"/>
    <w:rsid w:val="0093680D"/>
    <w:rsid w:val="009527E9"/>
    <w:rsid w:val="00970978"/>
    <w:rsid w:val="009750F1"/>
    <w:rsid w:val="009807DE"/>
    <w:rsid w:val="009A1C45"/>
    <w:rsid w:val="009A66ED"/>
    <w:rsid w:val="009B0F67"/>
    <w:rsid w:val="009B7AFA"/>
    <w:rsid w:val="009C5835"/>
    <w:rsid w:val="00A026E6"/>
    <w:rsid w:val="00A06F50"/>
    <w:rsid w:val="00A1645D"/>
    <w:rsid w:val="00A1702A"/>
    <w:rsid w:val="00A25FBE"/>
    <w:rsid w:val="00A73821"/>
    <w:rsid w:val="00A74B74"/>
    <w:rsid w:val="00A91545"/>
    <w:rsid w:val="00A97D62"/>
    <w:rsid w:val="00AB140F"/>
    <w:rsid w:val="00AD039D"/>
    <w:rsid w:val="00AD701E"/>
    <w:rsid w:val="00AF38C0"/>
    <w:rsid w:val="00AF50D7"/>
    <w:rsid w:val="00B06109"/>
    <w:rsid w:val="00B2122C"/>
    <w:rsid w:val="00B23D13"/>
    <w:rsid w:val="00B263C4"/>
    <w:rsid w:val="00B34BFC"/>
    <w:rsid w:val="00B519E6"/>
    <w:rsid w:val="00B65C46"/>
    <w:rsid w:val="00B76CAA"/>
    <w:rsid w:val="00B95EA5"/>
    <w:rsid w:val="00BB10DE"/>
    <w:rsid w:val="00BD2663"/>
    <w:rsid w:val="00BD7180"/>
    <w:rsid w:val="00BD7437"/>
    <w:rsid w:val="00BD7482"/>
    <w:rsid w:val="00BE4CE7"/>
    <w:rsid w:val="00BE7237"/>
    <w:rsid w:val="00BF5647"/>
    <w:rsid w:val="00C30E07"/>
    <w:rsid w:val="00C35575"/>
    <w:rsid w:val="00C64626"/>
    <w:rsid w:val="00C74003"/>
    <w:rsid w:val="00C76C19"/>
    <w:rsid w:val="00C8746C"/>
    <w:rsid w:val="00C93410"/>
    <w:rsid w:val="00C940BE"/>
    <w:rsid w:val="00CA04B0"/>
    <w:rsid w:val="00CA71CA"/>
    <w:rsid w:val="00CB02E5"/>
    <w:rsid w:val="00CC1E37"/>
    <w:rsid w:val="00CC7144"/>
    <w:rsid w:val="00CD480A"/>
    <w:rsid w:val="00CF3FB6"/>
    <w:rsid w:val="00D164E3"/>
    <w:rsid w:val="00D17872"/>
    <w:rsid w:val="00D32A8D"/>
    <w:rsid w:val="00D43B84"/>
    <w:rsid w:val="00D507A6"/>
    <w:rsid w:val="00D54027"/>
    <w:rsid w:val="00D57B1D"/>
    <w:rsid w:val="00D7714A"/>
    <w:rsid w:val="00D8553F"/>
    <w:rsid w:val="00D8565A"/>
    <w:rsid w:val="00D859AB"/>
    <w:rsid w:val="00DA2302"/>
    <w:rsid w:val="00DF583E"/>
    <w:rsid w:val="00E11271"/>
    <w:rsid w:val="00E2476D"/>
    <w:rsid w:val="00E46329"/>
    <w:rsid w:val="00E46BE0"/>
    <w:rsid w:val="00E52BFD"/>
    <w:rsid w:val="00E5506E"/>
    <w:rsid w:val="00E55E04"/>
    <w:rsid w:val="00E90314"/>
    <w:rsid w:val="00EB1046"/>
    <w:rsid w:val="00EC3BED"/>
    <w:rsid w:val="00EE5F02"/>
    <w:rsid w:val="00EE6A0B"/>
    <w:rsid w:val="00EE7FE2"/>
    <w:rsid w:val="00EF20E3"/>
    <w:rsid w:val="00F0048F"/>
    <w:rsid w:val="00F13561"/>
    <w:rsid w:val="00F13FB6"/>
    <w:rsid w:val="00F215BD"/>
    <w:rsid w:val="00F27B00"/>
    <w:rsid w:val="00F41017"/>
    <w:rsid w:val="00F50B1A"/>
    <w:rsid w:val="00F5130F"/>
    <w:rsid w:val="00F528BF"/>
    <w:rsid w:val="00F52C3F"/>
    <w:rsid w:val="00F54B3E"/>
    <w:rsid w:val="00F60BEF"/>
    <w:rsid w:val="00F803F3"/>
    <w:rsid w:val="00FA0F5D"/>
    <w:rsid w:val="00FC3E5C"/>
    <w:rsid w:val="00FF001E"/>
    <w:rsid w:val="00FF12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CD125"/>
  <w15:chartTrackingRefBased/>
  <w15:docId w15:val="{0F2D8C73-2807-4097-9833-CD5A59285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2F09"/>
    <w:pPr>
      <w:widowControl w:val="0"/>
    </w:pPr>
  </w:style>
  <w:style w:type="paragraph" w:styleId="1">
    <w:name w:val="heading 1"/>
    <w:basedOn w:val="a"/>
    <w:next w:val="a"/>
    <w:link w:val="10"/>
    <w:uiPriority w:val="9"/>
    <w:qFormat/>
    <w:rsid w:val="00CD480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CD480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CD480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CD480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D480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D480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D480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D480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D480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D480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CD480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CD480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CD480A"/>
    <w:rPr>
      <w:rFonts w:cstheme="majorBidi"/>
      <w:color w:val="2F5496" w:themeColor="accent1" w:themeShade="BF"/>
      <w:sz w:val="28"/>
      <w:szCs w:val="28"/>
    </w:rPr>
  </w:style>
  <w:style w:type="character" w:customStyle="1" w:styleId="50">
    <w:name w:val="标题 5 字符"/>
    <w:basedOn w:val="a0"/>
    <w:link w:val="5"/>
    <w:uiPriority w:val="9"/>
    <w:semiHidden/>
    <w:rsid w:val="00CD480A"/>
    <w:rPr>
      <w:rFonts w:cstheme="majorBidi"/>
      <w:color w:val="2F5496" w:themeColor="accent1" w:themeShade="BF"/>
      <w:sz w:val="24"/>
    </w:rPr>
  </w:style>
  <w:style w:type="character" w:customStyle="1" w:styleId="60">
    <w:name w:val="标题 6 字符"/>
    <w:basedOn w:val="a0"/>
    <w:link w:val="6"/>
    <w:uiPriority w:val="9"/>
    <w:semiHidden/>
    <w:rsid w:val="00CD480A"/>
    <w:rPr>
      <w:rFonts w:cstheme="majorBidi"/>
      <w:b/>
      <w:bCs/>
      <w:color w:val="2F5496" w:themeColor="accent1" w:themeShade="BF"/>
    </w:rPr>
  </w:style>
  <w:style w:type="character" w:customStyle="1" w:styleId="70">
    <w:name w:val="标题 7 字符"/>
    <w:basedOn w:val="a0"/>
    <w:link w:val="7"/>
    <w:uiPriority w:val="9"/>
    <w:semiHidden/>
    <w:rsid w:val="00CD480A"/>
    <w:rPr>
      <w:rFonts w:cstheme="majorBidi"/>
      <w:b/>
      <w:bCs/>
      <w:color w:val="595959" w:themeColor="text1" w:themeTint="A6"/>
    </w:rPr>
  </w:style>
  <w:style w:type="character" w:customStyle="1" w:styleId="80">
    <w:name w:val="标题 8 字符"/>
    <w:basedOn w:val="a0"/>
    <w:link w:val="8"/>
    <w:uiPriority w:val="9"/>
    <w:semiHidden/>
    <w:rsid w:val="00CD480A"/>
    <w:rPr>
      <w:rFonts w:cstheme="majorBidi"/>
      <w:color w:val="595959" w:themeColor="text1" w:themeTint="A6"/>
    </w:rPr>
  </w:style>
  <w:style w:type="character" w:customStyle="1" w:styleId="90">
    <w:name w:val="标题 9 字符"/>
    <w:basedOn w:val="a0"/>
    <w:link w:val="9"/>
    <w:uiPriority w:val="9"/>
    <w:semiHidden/>
    <w:rsid w:val="00CD480A"/>
    <w:rPr>
      <w:rFonts w:eastAsiaTheme="majorEastAsia" w:cstheme="majorBidi"/>
      <w:color w:val="595959" w:themeColor="text1" w:themeTint="A6"/>
    </w:rPr>
  </w:style>
  <w:style w:type="paragraph" w:styleId="a3">
    <w:name w:val="Title"/>
    <w:basedOn w:val="a"/>
    <w:next w:val="a"/>
    <w:link w:val="a4"/>
    <w:uiPriority w:val="10"/>
    <w:qFormat/>
    <w:rsid w:val="00CD480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D48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480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D480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D480A"/>
    <w:pPr>
      <w:spacing w:before="160"/>
      <w:jc w:val="center"/>
    </w:pPr>
    <w:rPr>
      <w:i/>
      <w:iCs/>
      <w:color w:val="404040" w:themeColor="text1" w:themeTint="BF"/>
    </w:rPr>
  </w:style>
  <w:style w:type="character" w:customStyle="1" w:styleId="a8">
    <w:name w:val="引用 字符"/>
    <w:basedOn w:val="a0"/>
    <w:link w:val="a7"/>
    <w:uiPriority w:val="29"/>
    <w:rsid w:val="00CD480A"/>
    <w:rPr>
      <w:i/>
      <w:iCs/>
      <w:color w:val="404040" w:themeColor="text1" w:themeTint="BF"/>
    </w:rPr>
  </w:style>
  <w:style w:type="paragraph" w:styleId="a9">
    <w:name w:val="List Paragraph"/>
    <w:basedOn w:val="a"/>
    <w:uiPriority w:val="34"/>
    <w:qFormat/>
    <w:rsid w:val="00CD480A"/>
    <w:pPr>
      <w:ind w:left="720"/>
      <w:contextualSpacing/>
    </w:pPr>
  </w:style>
  <w:style w:type="character" w:styleId="aa">
    <w:name w:val="Intense Emphasis"/>
    <w:basedOn w:val="a0"/>
    <w:uiPriority w:val="21"/>
    <w:qFormat/>
    <w:rsid w:val="00CD480A"/>
    <w:rPr>
      <w:i/>
      <w:iCs/>
      <w:color w:val="2F5496" w:themeColor="accent1" w:themeShade="BF"/>
    </w:rPr>
  </w:style>
  <w:style w:type="paragraph" w:styleId="ab">
    <w:name w:val="Intense Quote"/>
    <w:basedOn w:val="a"/>
    <w:next w:val="a"/>
    <w:link w:val="ac"/>
    <w:uiPriority w:val="30"/>
    <w:qFormat/>
    <w:rsid w:val="00CD48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D480A"/>
    <w:rPr>
      <w:i/>
      <w:iCs/>
      <w:color w:val="2F5496" w:themeColor="accent1" w:themeShade="BF"/>
    </w:rPr>
  </w:style>
  <w:style w:type="character" w:styleId="ad">
    <w:name w:val="Intense Reference"/>
    <w:basedOn w:val="a0"/>
    <w:uiPriority w:val="32"/>
    <w:qFormat/>
    <w:rsid w:val="00CD480A"/>
    <w:rPr>
      <w:b/>
      <w:bCs/>
      <w:smallCaps/>
      <w:color w:val="2F5496" w:themeColor="accent1" w:themeShade="BF"/>
      <w:spacing w:val="5"/>
    </w:rPr>
  </w:style>
  <w:style w:type="paragraph" w:styleId="ae">
    <w:name w:val="header"/>
    <w:basedOn w:val="a"/>
    <w:link w:val="af"/>
    <w:uiPriority w:val="99"/>
    <w:unhideWhenUsed/>
    <w:rsid w:val="00472F0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72F09"/>
    <w:rPr>
      <w:sz w:val="18"/>
      <w:szCs w:val="18"/>
    </w:rPr>
  </w:style>
  <w:style w:type="paragraph" w:styleId="af0">
    <w:name w:val="footer"/>
    <w:basedOn w:val="a"/>
    <w:link w:val="af1"/>
    <w:uiPriority w:val="99"/>
    <w:unhideWhenUsed/>
    <w:rsid w:val="00472F0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72F09"/>
    <w:rPr>
      <w:sz w:val="18"/>
      <w:szCs w:val="18"/>
    </w:rPr>
  </w:style>
  <w:style w:type="table" w:styleId="af2">
    <w:name w:val="Table Grid"/>
    <w:basedOn w:val="a1"/>
    <w:uiPriority w:val="39"/>
    <w:rsid w:val="003521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basedOn w:val="a0"/>
    <w:uiPriority w:val="99"/>
    <w:semiHidden/>
    <w:unhideWhenUsed/>
    <w:rsid w:val="003916AC"/>
    <w:rPr>
      <w:sz w:val="21"/>
      <w:szCs w:val="21"/>
    </w:rPr>
  </w:style>
  <w:style w:type="paragraph" w:styleId="af4">
    <w:name w:val="annotation text"/>
    <w:basedOn w:val="a"/>
    <w:link w:val="af5"/>
    <w:uiPriority w:val="99"/>
    <w:unhideWhenUsed/>
    <w:rsid w:val="003916AC"/>
  </w:style>
  <w:style w:type="character" w:customStyle="1" w:styleId="af5">
    <w:name w:val="批注文字 字符"/>
    <w:basedOn w:val="a0"/>
    <w:link w:val="af4"/>
    <w:uiPriority w:val="99"/>
    <w:rsid w:val="003916AC"/>
  </w:style>
  <w:style w:type="paragraph" w:styleId="af6">
    <w:name w:val="annotation subject"/>
    <w:basedOn w:val="af4"/>
    <w:next w:val="af4"/>
    <w:link w:val="af7"/>
    <w:uiPriority w:val="99"/>
    <w:semiHidden/>
    <w:unhideWhenUsed/>
    <w:rsid w:val="003916AC"/>
    <w:rPr>
      <w:b/>
      <w:bCs/>
    </w:rPr>
  </w:style>
  <w:style w:type="character" w:customStyle="1" w:styleId="af7">
    <w:name w:val="批注主题 字符"/>
    <w:basedOn w:val="af5"/>
    <w:link w:val="af6"/>
    <w:uiPriority w:val="99"/>
    <w:semiHidden/>
    <w:rsid w:val="003916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6.png"/><Relationship Id="rId17" Type="http://schemas.microsoft.com/office/2018/08/relationships/commentsExtensible" Target="commentsExtensible.xml"/><Relationship Id="rId25" Type="http://schemas.openxmlformats.org/officeDocument/2006/relationships/image" Target="media/image15.png"/><Relationship Id="rId2" Type="http://schemas.openxmlformats.org/officeDocument/2006/relationships/styles" Target="styles.xml"/><Relationship Id="rId16" Type="http://schemas.microsoft.com/office/2016/09/relationships/commentsIds" Target="commentsIds.xm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4.png"/><Relationship Id="rId5"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omments" Target="comments.xml"/><Relationship Id="rId22" Type="http://schemas.openxmlformats.org/officeDocument/2006/relationships/image" Target="media/image12.png"/><Relationship Id="rId27"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741</TotalTime>
  <Pages>20</Pages>
  <Words>1407</Words>
  <Characters>8024</Characters>
  <Application>Microsoft Office Word</Application>
  <DocSecurity>0</DocSecurity>
  <Lines>66</Lines>
  <Paragraphs>18</Paragraphs>
  <ScaleCrop>false</ScaleCrop>
  <Company/>
  <LinksUpToDate>false</LinksUpToDate>
  <CharactersWithSpaces>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张曦瑾</dc:creator>
  <cp:keywords/>
  <dc:description/>
  <cp:lastModifiedBy>张曦瑾</cp:lastModifiedBy>
  <cp:revision>15</cp:revision>
  <dcterms:created xsi:type="dcterms:W3CDTF">2026-04-16T07:05:00Z</dcterms:created>
  <dcterms:modified xsi:type="dcterms:W3CDTF">2026-04-22T09:32:00Z</dcterms:modified>
</cp:coreProperties>
</file>