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27.png" ContentType="image/png"/>
  <Override PartName="/word/media/rId35.png" ContentType="image/png"/>
  <Override PartName="/word/media/rId71.png" ContentType="image/png"/>
  <Override PartName="/word/media/rId59.png" ContentType="image/png"/>
  <Override PartName="/word/media/rId68.png" ContentType="image/png"/>
  <Override PartName="/word/media/rId93.png" ContentType="image/png"/>
  <Override PartName="/word/media/rId89.png" ContentType="image/png"/>
  <Override PartName="/word/media/rId105.png" ContentType="image/png"/>
  <Override PartName="/word/media/rId99.png" ContentType="image/png"/>
  <Override PartName="/word/media/rId127.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3" w:name="光通信-光互连行业深度研究报告ai算力驱动下的高景气赛道"/>
    <w:p>
      <w:pPr>
        <w:pStyle w:val="Heading1"/>
      </w:pPr>
      <w:r>
        <w:t xml:space="preserve">光通信-光互连行业深度研究报告：AI算力驱动下的高景气赛道</w:t>
      </w:r>
    </w:p>
    <w:p>
      <w:pPr>
        <w:pStyle w:val="BlockText"/>
      </w:pPr>
      <w:r>
        <w:rPr>
          <w:bCs/>
          <w:b/>
        </w:rPr>
        <w:t xml:space="preserve">报告类型</w:t>
      </w:r>
      <w:r>
        <w:t xml:space="preserve">：二级买方行业深度研究</w:t>
      </w:r>
      <w:r>
        <w:t xml:space="preserve"> </w:t>
      </w:r>
      <w:r>
        <w:rPr>
          <w:bCs/>
          <w:b/>
        </w:rPr>
        <w:t xml:space="preserve">研究日期</w:t>
      </w:r>
      <w:r>
        <w:t xml:space="preserve">：2026年5月14日</w:t>
      </w:r>
      <w:r>
        <w:t xml:space="preserve"> </w:t>
      </w:r>
      <w:r>
        <w:rPr>
          <w:bCs/>
          <w:b/>
        </w:rPr>
        <w:t xml:space="preserve">核心结论</w:t>
      </w:r>
      <w:r>
        <w:t xml:space="preserve">：行业处于”高景气+高壁垒+技术迭代加速”的成长阶段，800G/1.6T光模块供不应求，挣量价齐升的钱</w:t>
      </w:r>
      <w:r>
        <w:t xml:space="preserve"> </w:t>
      </w:r>
      <w:r>
        <w:rPr>
          <w:bCs/>
          <w:b/>
        </w:rPr>
        <w:t xml:space="preserve">推荐标的</w:t>
      </w:r>
      <w:r>
        <w:t xml:space="preserve">：通信ETF华夏（515050.SH）为核心仓位，创业板人工智能ETF（159381.SZ）为卫星仓位</w:t>
      </w:r>
    </w:p>
    <w:p>
      <w:r>
        <w:pict>
          <v:rect style="width:0;height:1.5pt" o:hralign="center" o:hrstd="t" o:hr="t"/>
        </w:pict>
      </w:r>
    </w:p>
    <w:bookmarkStart w:id="24" w:name="投资逻辑"/>
    <w:p>
      <w:pPr>
        <w:pStyle w:val="Heading2"/>
      </w:pPr>
      <w:r>
        <w:t xml:space="preserve">1. 投资逻辑</w:t>
      </w:r>
    </w:p>
    <w:bookmarkStart w:id="20" w:name="行业定位ai算力基础设施的核心底座"/>
    <w:p>
      <w:pPr>
        <w:pStyle w:val="Heading3"/>
      </w:pPr>
      <w:r>
        <w:t xml:space="preserve">1.1 行业定位：AI算力基础设施的核心底座</w:t>
      </w:r>
    </w:p>
    <w:p>
      <w:pPr>
        <w:pStyle w:val="FirstParagraph"/>
      </w:pPr>
      <w:r>
        <w:t xml:space="preserve">光互连（Optical Interconnect）与算力芯片、高性能存储并列为AI算力集群的三大硬件支柱。这一判断并非修辞性表述，而是由AI训练与推理的物理特性决定的：当单个GPU集群规模从万卡扩展至十万卡级别时，机架间Leaf-Spine互联距离达到50-500米，铜缆的衰减与延迟已无法满足需求，光信号成为唯一可行的数据传输载体</w:t>
      </w:r>
      <w:r>
        <w:t xml:space="preserve"> </w:t>
      </w:r>
      <w:r>
        <w:rPr>
          <w:vertAlign w:val="superscript"/>
        </w:rPr>
        <w:footnoteReference w:id="1"/>
      </w:r>
      <w:r>
        <w:t xml:space="preserve">。在十万卡级AI集群中，光模块成本占比从传统数据中心的3%-5%跃升至15%-20%，网络互连总成本占比达25%-35%</w:t>
      </w:r>
      <w:r>
        <w:t xml:space="preserve"> </w:t>
      </w:r>
      <w:r>
        <w:rPr>
          <w:vertAlign w:val="superscript"/>
        </w:rPr>
        <w:footnoteReference w:id="2"/>
      </w:r>
      <w:r>
        <w:t xml:space="preserve"> </w:t>
      </w:r>
      <w:r>
        <w:rPr>
          <w:vertAlign w:val="superscript"/>
        </w:rPr>
        <w:footnoteReference w:id="3"/>
      </w:r>
      <w:r>
        <w:t xml:space="preserve">。光互连已从数据中心的”配角”升级为AI算力基础设施的核心底座。</w:t>
      </w:r>
    </w:p>
    <w:p>
      <w:pPr>
        <w:pStyle w:val="BodyText"/>
      </w:pPr>
      <w:r>
        <w:t xml:space="preserve">从市场空间看，光互连正处于高速扩容通道。根据LightCounting数据，2025年全球光模块市场规模约165亿美元，2026年预计增至260亿美元（同比增长约60%）</w:t>
      </w:r>
      <w:r>
        <w:rPr>
          <w:vertAlign w:val="superscript"/>
        </w:rPr>
        <w:footnoteReference w:id="4"/>
      </w:r>
      <w:r>
        <w:t xml:space="preserve">。若纳入AOC/DAC等关联产品，广义口径可达238亿美元</w:t>
      </w:r>
      <w:r>
        <w:t xml:space="preserve"> </w:t>
      </w:r>
      <w:r>
        <w:rPr>
          <w:vertAlign w:val="superscript"/>
        </w:rPr>
        <w:footnoteReference w:id="5"/>
      </w:r>
      <w:r>
        <w:t xml:space="preserve">。AI驱动的光互连需求预计以超过22%的年复合增长率（CAGR）增长至2030年</w:t>
      </w:r>
      <w:r>
        <w:t xml:space="preserve"> </w:t>
      </w:r>
      <w:r>
        <w:rPr>
          <w:vertAlign w:val="superscript"/>
        </w:rPr>
        <w:footnoteReference w:id="6"/>
      </w:r>
      <w:r>
        <w:t xml:space="preserve">，远超全球光模块整体市场13%-15%的CAGR</w:t>
      </w:r>
      <w:r>
        <w:t xml:space="preserve"> </w:t>
      </w:r>
      <w:r>
        <w:rPr>
          <w:vertAlign w:val="superscript"/>
        </w:rPr>
        <w:footnoteReference w:id="7"/>
      </w:r>
      <w:r>
        <w:t xml:space="preserve"> </w:t>
      </w:r>
      <w:r>
        <w:rPr>
          <w:vertAlign w:val="superscript"/>
        </w:rPr>
        <w:footnoteReference w:id="8"/>
      </w:r>
      <w:r>
        <w:t xml:space="preserve">。这一结构性差异的含义在于：AI光互连是光通信行业中增速最高的细分赛道，且增速 gap 在2025-2026年随着800G/1.6T放量而进一步扩大。</w:t>
      </w:r>
    </w:p>
    <w:p>
      <w:pPr>
        <w:pStyle w:val="BodyText"/>
      </w:pPr>
      <w:r>
        <w:t xml:space="preserve">从行业阶段看，我们认为光互连当前处于成长中期偏早的位置。技术路线层面，800G在2025年成为主流，1.6T于2025年下半年进入商用元年，CPO（共封装光学，Co-Packaged Optics）处于商业化起点——博通Tomahawk 6已于2025年6月推出，英伟达Quantum-X Photonics预计2026年初可用</w:t>
      </w:r>
      <w:r>
        <w:t xml:space="preserve"> </w:t>
      </w:r>
      <w:r>
        <w:rPr>
          <w:vertAlign w:val="superscript"/>
        </w:rPr>
        <w:footnoteReference w:id="9"/>
      </w:r>
      <w:r>
        <w:t xml:space="preserve"> </w:t>
      </w:r>
      <w:r>
        <w:rPr>
          <w:vertAlign w:val="superscript"/>
        </w:rPr>
        <w:footnoteReference w:id="10"/>
      </w:r>
      <w:r>
        <w:t xml:space="preserve">。摩根士丹利预测CPO在2026年仅占光互连需求的3%，2027年约11%</w:t>
      </w:r>
      <w:r>
        <w:t xml:space="preserve"> </w:t>
      </w:r>
      <w:r>
        <w:rPr>
          <w:vertAlign w:val="superscript"/>
        </w:rPr>
        <w:footnoteReference w:id="11"/>
      </w:r>
      <w:r>
        <w:t xml:space="preserve">。这意味着可插拔光模块在未来2-3年内仍占据绝对主导地位，技术路线尚未完全收敛，为行业龙头提供了充分的产品生命周期窗口。更关键的是，英伟达在GTC 2026大会上确认未强制推CPO，可插拔模块与CPO将长期共存</w:t>
      </w:r>
      <w:r>
        <w:t xml:space="preserve"> </w:t>
      </w:r>
      <w:r>
        <w:rPr>
          <w:vertAlign w:val="superscript"/>
        </w:rPr>
        <w:footnoteReference w:id="12"/>
      </w:r>
      <w:r>
        <w:t xml:space="preserve">，这实质上延长了800G/1.6T可插拔产品的生命周期，为现有龙头厂商的业绩兑现提供了安全垫。</w:t>
      </w:r>
    </w:p>
    <w:p>
      <w:pPr>
        <w:pStyle w:val="BodyText"/>
      </w:pPr>
      <w:r>
        <w:t xml:space="preserve">中国厂商在全球光模块市场已占据60%-65%的份额（2025年数据为63.2%）</w:t>
      </w:r>
      <w:r>
        <w:rPr>
          <w:vertAlign w:val="superscript"/>
        </w:rPr>
        <w:footnoteReference w:id="13"/>
      </w:r>
      <w:r>
        <w:t xml:space="preserve"> </w:t>
      </w:r>
      <w:r>
        <w:rPr>
          <w:vertAlign w:val="superscript"/>
        </w:rPr>
        <w:footnoteReference w:id="14"/>
      </w:r>
      <w:r>
        <w:t xml:space="preserve">，全球TOP10中中国厂商占7席，中际旭创与新易盛合计占据约43%的市场份额</w:t>
      </w:r>
      <w:r>
        <w:t xml:space="preserve"> </w:t>
      </w:r>
      <w:r>
        <w:rPr>
          <w:vertAlign w:val="superscript"/>
        </w:rPr>
        <w:footnoteReference w:id="15"/>
      </w:r>
      <w:r>
        <w:t xml:space="preserve"> </w:t>
      </w:r>
      <w:r>
        <w:rPr>
          <w:vertAlign w:val="superscript"/>
        </w:rPr>
        <w:footnoteReference w:id="16"/>
      </w:r>
      <w:r>
        <w:t xml:space="preserve">。这种”双寡头+分散长尾”的竞争格局意味着：行业景气上行时龙头将享受最大的业绩弹性；而18-24个月的客户认证周期</w:t>
      </w:r>
      <w:r>
        <w:t xml:space="preserve"> </w:t>
      </w:r>
      <w:fldSimple w:instr="NOTEREF _Ref_Footnote_6 \h \f">
        <w:r>
          <w:rPr>
            <w:vertAlign w:val="superscript"/>
          </w:rPr>
          <w:t>6</w:t>
        </w:r>
      </w:fldSimple>
      <w:r>
        <w:t xml:space="preserve">构成了强大的进入壁垒，新竞争者难以在短期内撼动现有格局。</w:t>
      </w:r>
    </w:p>
    <w:bookmarkEnd w:id="20"/>
    <w:bookmarkStart w:id="21" w:name="核心投资逻辑挣ai算力高景气技术迭代加速的钱"/>
    <w:p>
      <w:pPr>
        <w:pStyle w:val="Heading3"/>
      </w:pPr>
      <w:r>
        <w:t xml:space="preserve">1.2 核心投资逻辑：挣”AI算力高景气+技术迭代加速”的钱</w:t>
      </w:r>
    </w:p>
    <w:p>
      <w:pPr>
        <w:pStyle w:val="FirstParagraph"/>
      </w:pPr>
      <w:r>
        <w:rPr>
          <w:bCs/>
          <w:b/>
        </w:rPr>
        <w:t xml:space="preserve">需求端：训练与推理双轮驱动，云厂商CAPEX进入历史级扩张周期。</w:t>
      </w:r>
    </w:p>
    <w:p>
      <w:pPr>
        <w:pStyle w:val="BodyText"/>
      </w:pPr>
      <w:r>
        <w:t xml:space="preserve">北美四大云厂商（微软、谷歌、亚马逊、Meta）的资本开支是光模块需求的直接领先指标。2025年四大云厂商合计CAPEX约3,400-3,900亿美元，同比增长46%-59%；2026年指引合计6,500-7,250亿美元，同比增长67%-77%</w:t>
      </w:r>
      <w:r>
        <w:t xml:space="preserve"> </w:t>
      </w:r>
      <w:r>
        <w:rPr>
          <w:vertAlign w:val="superscript"/>
        </w:rPr>
        <w:footnoteReference w:id="17"/>
      </w:r>
      <w:r>
        <w:t xml:space="preserve"> </w:t>
      </w:r>
      <w:r>
        <w:rPr>
          <w:vertAlign w:val="superscript"/>
        </w:rPr>
        <w:footnoteReference w:id="18"/>
      </w:r>
      <w:r>
        <w:t xml:space="preserve">。更激进的美银证券预测将2026年全球超大规模云计算企业CAPEX上调至超过8,000亿美元</w:t>
      </w:r>
      <w:r>
        <w:t xml:space="preserve"> </w:t>
      </w:r>
      <w:r>
        <w:rPr>
          <w:vertAlign w:val="superscript"/>
        </w:rPr>
        <w:footnoteReference w:id="19"/>
      </w:r>
      <w:r>
        <w:t xml:space="preserve">。国内云厂商紧随其后——阿里巴巴宣布未来三年投入3,800亿元，字节跳动2025年资本开支超1,500亿元，国内三大云厂商（阿里、腾讯、字节）2025年合计CAPEX约3,800亿元，同比+52%</w:t>
      </w:r>
      <w:r>
        <w:t xml:space="preserve"> </w:t>
      </w:r>
      <w:r>
        <w:rPr>
          <w:vertAlign w:val="superscript"/>
        </w:rPr>
        <w:footnoteReference w:id="20"/>
      </w:r>
      <w:r>
        <w:t xml:space="preserve"> </w:t>
      </w:r>
      <w:r>
        <w:rPr>
          <w:vertAlign w:val="superscript"/>
        </w:rPr>
        <w:footnoteReference w:id="21"/>
      </w:r>
      <w:r>
        <w:t xml:space="preserve">。</w:t>
      </w:r>
    </w:p>
    <w:p>
      <w:pPr>
        <w:pStyle w:val="BodyText"/>
      </w:pPr>
      <w:r>
        <w:t xml:space="preserve">CAPEX的持续高增有底层商业逻辑支撑：微软表示云计算产能”至少到今年底前仍将受到限制”</w:t>
      </w:r>
      <w:r>
        <w:t xml:space="preserve"> </w:t>
      </w:r>
      <w:r>
        <w:rPr>
          <w:vertAlign w:val="superscript"/>
        </w:rPr>
        <w:footnoteReference w:id="22"/>
      </w:r>
      <w:r>
        <w:t xml:space="preserve">，谷歌当季订单积压超4,620亿美元、几乎环比翻倍</w:t>
      </w:r>
      <w:r>
        <w:t xml:space="preserve"> </w:t>
      </w:r>
      <w:fldSimple w:instr="NOTEREF _Ref_Footnote_22 \h \f">
        <w:r>
          <w:rPr>
            <w:vertAlign w:val="superscript"/>
          </w:rPr>
          <w:t>22</w:t>
        </w:r>
      </w:fldSimple>
      <w:r>
        <w:t xml:space="preserve">。我们认为当前的核心矛盾是</w:t>
      </w:r>
      <w:r>
        <w:rPr>
          <w:bCs/>
          <w:b/>
        </w:rPr>
        <w:t xml:space="preserve">产能瓶颈而非需求不足</w:t>
      </w:r>
      <w:r>
        <w:t xml:space="preserve">——即便云厂商自由现金流被严重挤压（亚马逊2026年自由现金流预计为负170亿美元）</w:t>
      </w:r>
      <w:r>
        <w:rPr>
          <w:vertAlign w:val="superscript"/>
        </w:rPr>
        <w:footnoteReference w:id="23"/>
      </w:r>
      <w:r>
        <w:t xml:space="preserve">，它们仍不敢削减AI资本开支，因为”投资不足的风险远远大于过度投资的风险”</w:t>
      </w:r>
      <w:r>
        <w:t xml:space="preserve"> </w:t>
      </w:r>
      <w:r>
        <w:rPr>
          <w:vertAlign w:val="superscript"/>
        </w:rPr>
        <w:footnoteReference w:id="24"/>
      </w:r>
      <w:r>
        <w:t xml:space="preserve">。</w:t>
      </w:r>
    </w:p>
    <w:p>
      <w:pPr>
        <w:pStyle w:val="BodyText"/>
      </w:pPr>
      <w:r>
        <w:t xml:space="preserve">AI推理需求的爆发正在打开第二增长曲线。推理需求密度是训练的3-5倍：AI推理被预测以79%的CAGR增长至2030年，而训练仅为25%；到2030年推理预计将占AI关键IT负载容量的80%</w:t>
      </w:r>
      <w:r>
        <w:t xml:space="preserve"> </w:t>
      </w:r>
      <w:r>
        <w:rPr>
          <w:vertAlign w:val="superscript"/>
        </w:rPr>
        <w:footnoteReference w:id="25"/>
      </w:r>
      <w:r>
        <w:t xml:space="preserve">。推理集群的三大特征——低功耗敏感（12-60 kW/机架）、短距互联为主、以太网架构——与LPO（线性可插拔光学，Linear Pluggable Optics）的技术优势形成精准匹配。LPO移除DSP芯片可将功耗降低约50%（从15W降至8-10W）</w:t>
      </w:r>
      <w:r>
        <w:rPr>
          <w:vertAlign w:val="superscript"/>
        </w:rPr>
        <w:footnoteReference w:id="26"/>
      </w:r>
      <w:r>
        <w:t xml:space="preserve">，恰好满足推理数据中心对功耗的苛刻要求。新易盛在LPO领域市占率75%，已获Meta和Amazon订单</w:t>
      </w:r>
      <w:r>
        <w:t xml:space="preserve"> </w:t>
      </w:r>
      <w:r>
        <w:rPr>
          <w:vertAlign w:val="superscript"/>
        </w:rPr>
        <w:footnoteReference w:id="27"/>
      </w:r>
      <w:r>
        <w:t xml:space="preserve">，这使其在推理时代拥有比中际旭创更精准的技术卡位。以太网正在AI网络中超越InfiniBand（IB）成为主导技术——2025年以太网交换机出货量已超过IB的两倍，预计2027年以太网成为AI后端网络主导技术</w:t>
      </w:r>
      <w:r>
        <w:t xml:space="preserve"> </w:t>
      </w:r>
      <w:r>
        <w:rPr>
          <w:vertAlign w:val="superscript"/>
        </w:rPr>
        <w:footnoteReference w:id="28"/>
      </w:r>
      <w:r>
        <w:t xml:space="preserve"> </w:t>
      </w:r>
      <w:r>
        <w:rPr>
          <w:vertAlign w:val="superscript"/>
        </w:rPr>
        <w:footnoteReference w:id="29"/>
      </w:r>
      <w:r>
        <w:t xml:space="preserve">。这一转变的战略意义在于：IB是英伟达的垄断生态，光模块主要通过英伟达系统捆绑销售；而以太网是开放标准，云厂商可直接招标采购，中国光模块厂商得以”去英伟达化”，降低客户集中度风险。</w:t>
      </w:r>
    </w:p>
    <w:p>
      <w:pPr>
        <w:pStyle w:val="BodyText"/>
      </w:pPr>
      <w:r>
        <w:rPr>
          <w:bCs/>
          <w:b/>
        </w:rPr>
        <w:t xml:space="preserve">供给端：高端光模块供不应求，核心瓶颈在上游芯片。</w:t>
      </w:r>
    </w:p>
    <w:p>
      <w:pPr>
        <w:pStyle w:val="BodyText"/>
      </w:pPr>
      <w:r>
        <w:t xml:space="preserve">需求的高速增长与供应链的刚性约束之间形成了显著的供需缺口。EML（电吸收调制激光器）芯片是当前最核心的瓶颈：高端EML芯片供需缺口已超30%，CW激光器产能也开始趋紧</w:t>
      </w:r>
      <w:r>
        <w:t xml:space="preserve"> </w:t>
      </w:r>
      <w:r>
        <w:rPr>
          <w:vertAlign w:val="superscript"/>
        </w:rPr>
        <w:footnoteReference w:id="30"/>
      </w:r>
      <w:r>
        <w:t xml:space="preserve">。Lumentum CEO表示仅需两个季度就能将整个2028年的产能全部售罄</w:t>
      </w:r>
      <w:r>
        <w:t xml:space="preserve"> </w:t>
      </w:r>
      <w:fldSimple w:instr="NOTEREF _Ref_Footnote_30 \h \f">
        <w:r>
          <w:rPr>
            <w:vertAlign w:val="superscript"/>
          </w:rPr>
          <w:t>30</w:t>
        </w:r>
      </w:fldSimple>
      <w:r>
        <w:t xml:space="preserve">。英伟达已向Lumentum和Coherent各投资20亿美元锁定高端EML和硅光产能</w:t>
      </w:r>
      <w:r>
        <w:t xml:space="preserve"> </w:t>
      </w:r>
      <w:r>
        <w:rPr>
          <w:vertAlign w:val="superscript"/>
        </w:rPr>
        <w:footnoteReference w:id="31"/>
      </w:r>
      <w:r>
        <w:t xml:space="preserve">，几乎包下Lumentum所有超高功率激光产能，导致其他厂商获取高端光芯片更加困难</w:t>
      </w:r>
      <w:r>
        <w:t xml:space="preserve"> </w:t>
      </w:r>
      <w:r>
        <w:rPr>
          <w:vertAlign w:val="superscript"/>
        </w:rPr>
        <w:footnoteReference w:id="32"/>
      </w:r>
      <w:r>
        <w:t xml:space="preserve">。100G EML芯片80%依赖进口，国产良率与国际差距约10个百分点（海外&gt;90%）</w:t>
      </w:r>
      <w:r>
        <w:rPr>
          <w:vertAlign w:val="superscript"/>
        </w:rPr>
        <w:footnoteReference w:id="33"/>
      </w:r>
      <w:r>
        <w:t xml:space="preserve">。</w:t>
      </w:r>
    </w:p>
    <w:p>
      <w:pPr>
        <w:pStyle w:val="BodyText"/>
      </w:pPr>
      <w:r>
        <w:t xml:space="preserve">这种”强模块、弱芯片”的结构性失衡对中国光模块产业既是风险也是机遇。风险在于：中际旭创存货规模已攀升至126.81亿元，核心芯片依赖进口</w:t>
      </w:r>
      <w:r>
        <w:t xml:space="preserve"> </w:t>
      </w:r>
      <w:r>
        <w:rPr>
          <w:vertAlign w:val="superscript"/>
        </w:rPr>
        <w:footnoteReference w:id="34"/>
      </w:r>
      <w:r>
        <w:t xml:space="preserve">；一旦美国将光芯片纳入更严格的出口管制，产能释放将直接受限。机遇在于：当前的供需失衡为国产替代打开了2-3年的关键战略窗口期</w:t>
      </w:r>
      <w:r>
        <w:t xml:space="preserve"> </w:t>
      </w:r>
      <w:r>
        <w:rPr>
          <w:vertAlign w:val="superscript"/>
        </w:rPr>
        <w:footnoteReference w:id="35"/>
      </w:r>
      <w:r>
        <w:t xml:space="preserve">。长光华芯100G EML芯片已于2025年Q2实现量产，源杰科技CW光源批量出货，国内厂商正在加速追赶</w:t>
      </w:r>
      <w:r>
        <w:t xml:space="preserve"> </w:t>
      </w:r>
      <w:r>
        <w:rPr>
          <w:vertAlign w:val="superscript"/>
        </w:rPr>
        <w:footnoteReference w:id="36"/>
      </w:r>
      <w:r>
        <w:t xml:space="preserve">。</w:t>
      </w:r>
    </w:p>
    <w:p>
      <w:pPr>
        <w:pStyle w:val="BodyText"/>
      </w:pPr>
      <w:r>
        <w:rPr>
          <w:bCs/>
          <w:b/>
        </w:rPr>
        <w:t xml:space="preserve">技术迭代加速：升级周期压缩带来ASP与毛利率双扩张。</w:t>
      </w:r>
    </w:p>
    <w:p>
      <w:pPr>
        <w:pStyle w:val="BodyText"/>
      </w:pPr>
      <w:r>
        <w:t xml:space="preserve">从100G到400G到800G再到1.6T，光模块的代际升级周期正从传统的4年压缩至2年</w:t>
      </w:r>
      <w:r>
        <w:t xml:space="preserve"> </w:t>
      </w:r>
      <w:fldSimple w:instr="NOTEREF _Ref_Footnote_9 \h \f">
        <w:r>
          <w:rPr>
            <w:vertAlign w:val="superscript"/>
          </w:rPr>
          <w:t>9</w:t>
        </w:r>
      </w:fldSimple>
      <w:r>
        <w:t xml:space="preserve"> </w:t>
      </w:r>
      <w:r>
        <w:rPr>
          <w:vertAlign w:val="superscript"/>
        </w:rPr>
        <w:footnoteReference w:id="37"/>
      </w:r>
      <w:r>
        <w:t xml:space="preserve">。博通Tomahawk系列严格遵循每两年带宽翻倍的节奏——Tomahawk 5（51.2Tbps，2023年）→Tomahawk 6（102.4Tbps，2025年）→Tomahawk 7（204.8Tbps，2027年预计）</w:t>
      </w:r>
      <w:fldSimple w:instr="NOTEREF _Ref_Footnote_9 \h \f">
        <w:r>
          <w:rPr>
            <w:vertAlign w:val="superscript"/>
          </w:rPr>
          <w:t>9</w:t>
        </w:r>
      </w:fldSimple>
      <w:r>
        <w:t xml:space="preserve">。每次代际迭代带来ASP提升50%以上：1.6T产品较800G单价高50%</w:t>
      </w:r>
      <w:r>
        <w:t xml:space="preserve"> </w:t>
      </w:r>
      <w:r>
        <w:rPr>
          <w:vertAlign w:val="superscript"/>
        </w:rPr>
        <w:footnoteReference w:id="38"/>
      </w:r>
      <w:r>
        <w:t xml:space="preserve">，而龙头厂商凭借先发优势维持高毛利率——中际旭创2025年Q4单季度毛利率冲至44.48%，全年约42.61%；新易盛2025年毛利率达47.81%</w:t>
      </w:r>
      <w:r>
        <w:t xml:space="preserve"> </w:t>
      </w:r>
      <w:r>
        <w:rPr>
          <w:vertAlign w:val="superscript"/>
        </w:rPr>
        <w:footnoteReference w:id="39"/>
      </w:r>
      <w:r>
        <w:t xml:space="preserve"> </w:t>
      </w:r>
      <w:r>
        <w:rPr>
          <w:vertAlign w:val="superscript"/>
        </w:rPr>
        <w:footnoteReference w:id="40"/>
      </w:r>
      <w:r>
        <w:t xml:space="preserve">。二线厂商（如华工科技光模块毛利率仅13.3%）与龙头的毛利率差距超过30个百分点</w:t>
      </w:r>
      <w:r>
        <w:t xml:space="preserve"> </w:t>
      </w:r>
      <w:fldSimple w:instr="NOTEREF _Ref_Footnote_39 \h \f">
        <w:r>
          <w:rPr>
            <w:vertAlign w:val="superscript"/>
          </w:rPr>
          <w:t>39</w:t>
        </w:r>
      </w:fldSimple>
      <w:r>
        <w:t xml:space="preserve">，这意味着技术迭代实际上在加剧行业分化，而非削弱龙头地位。</w:t>
      </w:r>
    </w:p>
    <w:p>
      <w:pPr>
        <w:pStyle w:val="BodyText"/>
      </w:pPr>
      <w:r>
        <w:t xml:space="preserve">2025-2026年的产品组合正在从800G向1.6T切换：800G光模块2025年需求约2,000-3,000万只，2026年预计增至3,350-4,500万只</w:t>
      </w:r>
      <w:r>
        <w:t xml:space="preserve"> </w:t>
      </w:r>
      <w:r>
        <w:rPr>
          <w:vertAlign w:val="superscript"/>
        </w:rPr>
        <w:footnoteReference w:id="41"/>
      </w:r>
      <w:r>
        <w:t xml:space="preserve"> </w:t>
      </w:r>
      <w:r>
        <w:rPr>
          <w:vertAlign w:val="superscript"/>
        </w:rPr>
        <w:footnoteReference w:id="42"/>
      </w:r>
      <w:r>
        <w:t xml:space="preserve">；1.6T光模块2025年约300-500万只（商用元年），2026年预计700-2,000万只</w:t>
      </w:r>
      <w:r>
        <w:t xml:space="preserve"> </w:t>
      </w:r>
      <w:r>
        <w:rPr>
          <w:vertAlign w:val="superscript"/>
        </w:rPr>
        <w:footnoteReference w:id="43"/>
      </w:r>
      <w:r>
        <w:t xml:space="preserve"> </w:t>
      </w:r>
      <w:fldSimple w:instr="NOTEREF _Ref_Footnote_18 \h \f">
        <w:r>
          <w:rPr>
            <w:vertAlign w:val="superscript"/>
          </w:rPr>
          <w:t>18</w:t>
        </w:r>
      </w:fldSimple>
      <w:r>
        <w:t xml:space="preserve">。这一产品结构升级将直接推动行业平均ASP上行，量价齐升的逻辑在未来18个月内仍然成立。</w:t>
      </w:r>
    </w:p>
    <w:bookmarkEnd w:id="21"/>
    <w:bookmarkStart w:id="22" w:name="政策加持与国产替代"/>
    <w:p>
      <w:pPr>
        <w:pStyle w:val="Heading3"/>
      </w:pPr>
      <w:r>
        <w:t xml:space="preserve">1.3 政策加持与国产替代</w:t>
      </w:r>
    </w:p>
    <w:p>
      <w:pPr>
        <w:pStyle w:val="FirstParagraph"/>
      </w:pPr>
      <w:r>
        <w:t xml:space="preserve">从国家战略维度看，光通信产业正受益于多重政策红利的叠加，政策支撑强度在未来3-5年处于高位。</w:t>
      </w:r>
    </w:p>
    <w:p>
      <w:pPr>
        <w:pStyle w:val="BodyText"/>
      </w:pPr>
      <w:r>
        <w:t xml:space="preserve">“</w:t>
      </w:r>
      <w:r>
        <w:t xml:space="preserve">东数西算</w:t>
      </w:r>
      <w:r>
        <w:t xml:space="preserve">”</w:t>
      </w:r>
      <w:r>
        <w:t xml:space="preserve">工程是最直接的需求拉动因素。截至2024年6月底，八大国家枢纽节点直接投资超过435亿元，拉动投资超过2,000亿元</w:t>
      </w:r>
      <w:r>
        <w:t xml:space="preserve"> </w:t>
      </w:r>
      <w:r>
        <w:rPr>
          <w:vertAlign w:val="superscript"/>
        </w:rPr>
        <w:footnoteReference w:id="44"/>
      </w:r>
      <w:r>
        <w:t xml:space="preserve">；预计工程总成本将达到4,000-5,000亿元</w:t>
      </w:r>
      <w:r>
        <w:t xml:space="preserve"> </w:t>
      </w:r>
      <w:fldSimple w:instr="NOTEREF _Ref_Footnote_4 \h \f">
        <w:r>
          <w:rPr>
            <w:vertAlign w:val="superscript"/>
          </w:rPr>
          <w:t>4</w:t>
        </w:r>
      </w:fldSimple>
      <w:r>
        <w:t xml:space="preserve">。其中光模块采购预计2025-2026年新增需求180亿元</w:t>
      </w:r>
      <w:r>
        <w:t xml:space="preserve"> </w:t>
      </w:r>
      <w:fldSimple w:instr="NOTEREF _Ref_Footnote_20 \h \f">
        <w:r>
          <w:rPr>
            <w:vertAlign w:val="superscript"/>
          </w:rPr>
          <w:t>20</w:t>
        </w:r>
      </w:fldSimple>
      <w:r>
        <w:t xml:space="preserve">，直接拉动国内高端光模块需求超50亿元。八大枢纽节点数据中心集群光缆铺设量将超过500万公里，光缆需求增长达25%</w:t>
      </w:r>
      <w:r>
        <w:t xml:space="preserve"> </w:t>
      </w:r>
      <w:r>
        <w:rPr>
          <w:vertAlign w:val="superscript"/>
        </w:rPr>
        <w:footnoteReference w:id="45"/>
      </w:r>
      <w:r>
        <w:t xml:space="preserve">。随着西部大规模智算中心建设（500P+算力中心），对800G及以上高速光模块的需求将进入集中释放期。</w:t>
      </w:r>
    </w:p>
    <w:p>
      <w:pPr>
        <w:pStyle w:val="BodyText"/>
      </w:pPr>
      <w:r>
        <w:t xml:space="preserve">大基金三期提供了超长期的资本支持。大基金三期于2024年5月注册成立，注册资本3,440亿元，超前两期总和（3,028.7亿元）</w:t>
      </w:r>
      <w:r>
        <w:rPr>
          <w:vertAlign w:val="superscript"/>
        </w:rPr>
        <w:footnoteReference w:id="46"/>
      </w:r>
      <w:r>
        <w:t xml:space="preserve">。其核心特征在于存续期限达15年（至2039年），较前两期的10年明显延长</w:t>
      </w:r>
      <w:r>
        <w:t xml:space="preserve"> </w:t>
      </w:r>
      <w:fldSimple w:instr="NOTEREF _Ref_Footnote_46 \h \f">
        <w:r>
          <w:rPr>
            <w:vertAlign w:val="superscript"/>
          </w:rPr>
          <w:t>46</w:t>
        </w:r>
      </w:fldSimple>
      <w:r>
        <w:t xml:space="preserve">。投资方向聚焦于”卡脖子”环节——国产化率低的半导体设备、材料、零部件，以及AI算力和先进封装</w:t>
      </w:r>
      <w:r>
        <w:t xml:space="preserve"> </w:t>
      </w:r>
      <w:fldSimple w:instr="NOTEREF _Ref_Footnote_46 \h \f">
        <w:r>
          <w:rPr>
            <w:vertAlign w:val="superscript"/>
          </w:rPr>
          <w:t>46</w:t>
        </w:r>
      </w:fldSimple>
      <w:r>
        <w:t xml:space="preserve">。2024年12月首批1,600亿元已通过两支子基金（华芯鼎新930.93亿元、国投集新710.71亿元）落地，首投项目包括拓荆键科4.5亿元</w:t>
      </w:r>
      <w:r>
        <w:t xml:space="preserve"> </w:t>
      </w:r>
      <w:fldSimple w:instr="NOTEREF _Ref_Footnote_46 \h \f">
        <w:r>
          <w:rPr>
            <w:vertAlign w:val="superscript"/>
          </w:rPr>
          <w:t>46</w:t>
        </w:r>
      </w:fldSimple>
      <w:r>
        <w:t xml:space="preserve">。对于光通信产业而言，大基金三期的核心意义在于为光芯片国产替代提供长达15年的资本护航——这是整个板块的超长期核心主题，而非短期交易性机会。</w:t>
      </w:r>
    </w:p>
    <w:p>
      <w:pPr>
        <w:pStyle w:val="BodyText"/>
      </w:pPr>
      <w:r>
        <w:t xml:space="preserve">光芯片国产替代的紧迫性由一组数据说明：2.5G及以下速率光芯片国产化率超过90%，10G约60%，25G仅约20%，25G及以上仅约4%</w:t>
      </w:r>
      <w:r>
        <w:t xml:space="preserve"> </w:t>
      </w:r>
      <w:r>
        <w:rPr>
          <w:vertAlign w:val="superscript"/>
        </w:rPr>
        <w:footnoteReference w:id="47"/>
      </w:r>
      <w:r>
        <w:t xml:space="preserve"> </w:t>
      </w:r>
      <w:r>
        <w:rPr>
          <w:vertAlign w:val="superscript"/>
        </w:rPr>
        <w:footnoteReference w:id="48"/>
      </w:r>
      <w:r>
        <w:t xml:space="preserve">。在25G EML领域，Lumentum与Coherent合计垄断全球超80%市场份额</w:t>
      </w:r>
      <w:r>
        <w:t xml:space="preserve"> </w:t>
      </w:r>
      <w:r>
        <w:rPr>
          <w:vertAlign w:val="superscript"/>
        </w:rPr>
        <w:footnoteReference w:id="49"/>
      </w:r>
      <w:r>
        <w:t xml:space="preserve">。DSP芯片则呈博通与Marvell双寡头垄断格局，国内企业参与度仅约4%</w:t>
      </w:r>
      <w:r>
        <w:t xml:space="preserve"> </w:t>
      </w:r>
      <w:r>
        <w:rPr>
          <w:vertAlign w:val="superscript"/>
        </w:rPr>
        <w:footnoteReference w:id="50"/>
      </w:r>
      <w:r>
        <w:t xml:space="preserve">。源杰科技2025年营收6.01亿元（同比+138.5%），数据中心业务暴增719%；仕佳光子营收21.29亿元（同比+98.2%），净利3.72亿元（同比+473%）——光芯片板块正处于业绩爆发的拐点期。</w:t>
      </w:r>
    </w:p>
    <w:p>
      <w:pPr>
        <w:pStyle w:val="BodyText"/>
      </w:pPr>
      <w:r>
        <w:t xml:space="preserve">需要清醒认识的是，光芯片国产替代是一个”十年维度”的主题。MOCVD外延设备由Veeco（美国）、AIXTRON（德国）垄断，光刻设备ASML占80%+，刻蚀设备三美企占90%+</w:t>
      </w:r>
      <w:r>
        <w:t xml:space="preserve"> </w:t>
      </w:r>
      <w:fldSimple w:instr="NOTEREF _Ref_Footnote_44 \h \f">
        <w:r>
          <w:rPr>
            <w:vertAlign w:val="superscript"/>
          </w:rPr>
          <w:t>44</w:t>
        </w:r>
      </w:fldSimple>
      <w:r>
        <w:t xml:space="preserve"> </w:t>
      </w:r>
      <w:r>
        <w:rPr>
          <w:vertAlign w:val="superscript"/>
        </w:rPr>
        <w:footnoteReference w:id="51"/>
      </w:r>
      <w:r>
        <w:t xml:space="preserve">。即使国内设计出世界一流的光芯片，制造设备被”卡脖子”意味着量产能力受限。北方华创在MOCVD领域”有所突破，差距较大”</w:t>
      </w:r>
      <w:r>
        <w:t xml:space="preserve"> </w:t>
      </w:r>
      <w:r>
        <w:rPr>
          <w:vertAlign w:val="superscript"/>
        </w:rPr>
        <w:footnoteReference w:id="52"/>
      </w:r>
      <w:r>
        <w:t xml:space="preserve">，短期难以替代。我们认为，光芯片国产替代的投资逻辑更偏重于”超长期主题配置”而非”短期业绩兑现”。</w:t>
      </w:r>
    </w:p>
    <w:bookmarkEnd w:id="22"/>
    <w:bookmarkStart w:id="23" w:name="投资结论"/>
    <w:p>
      <w:pPr>
        <w:pStyle w:val="Heading3"/>
      </w:pPr>
      <w:r>
        <w:t xml:space="preserve">1.4 投资结论</w:t>
      </w:r>
    </w:p>
    <w:p>
      <w:pPr>
        <w:pStyle w:val="FirstParagraph"/>
      </w:pPr>
      <w:r>
        <w:rPr>
          <w:bCs/>
          <w:b/>
        </w:rPr>
        <w:t xml:space="preserve">挣什么钱。</w:t>
      </w:r>
      <w:r>
        <w:t xml:space="preserve"> </w:t>
      </w:r>
      <w:r>
        <w:t xml:space="preserve">我们认为光互连行业当前具备配置价值，核心在于其同时满足三个条件：高景气（需求端CAPEX同比+77%）、高壁垒（18-24个月认证周期+上游芯片紧缺）、技术迭代加速（2年一代际，ASP提升50%+）。挣的是量价齐升的钱——量的增长来自800G/1.6T出货量的指数级扩张，价的提升来自产品代际切换带来的ASP上行。预计行业核心公司的业绩高增长在未来18-24个月内具有可见性。</w:t>
      </w:r>
    </w:p>
    <w:p>
      <w:pPr>
        <w:pStyle w:val="BodyText"/>
      </w:pPr>
      <w:r>
        <w:t xml:space="preserve">从细分环节看，我们认为确定性最高的投资主线有三条：其一，光模块龙头（中际旭创、新易盛），直接受益于800G/1.6T放量，订单能见度至2026年，毛利率维持高位；其二，光芯片国产替代（源杰科技、仕佳光子、长光华芯），25G+国产化率仅4%意味着替代空间巨大，当前供需缺口提供2-3年窗口期</w:t>
      </w:r>
      <w:r>
        <w:t xml:space="preserve"> </w:t>
      </w:r>
      <w:fldSimple w:instr="NOTEREF _Ref_Footnote_35 \h \f">
        <w:r>
          <w:rPr>
            <w:vertAlign w:val="superscript"/>
          </w:rPr>
          <w:t>35</w:t>
        </w:r>
      </w:fldSimple>
      <w:r>
        <w:t xml:space="preserve">；其三，CPO/NPO测试设备（罗博特科/ficonTEC），全球CPO/NPO硅光设备市占率超80%，在手订单近100台</w:t>
      </w:r>
      <w:r>
        <w:t xml:space="preserve"> </w:t>
      </w:r>
      <w:r>
        <w:rPr>
          <w:vertAlign w:val="superscript"/>
        </w:rPr>
        <w:footnoteReference w:id="53"/>
      </w:r>
      <w:r>
        <w:t xml:space="preserve">，属于”卖铲人”逻辑——无论CPO最终渗透率多高，测试设备都是最先受益的环节。</w:t>
      </w:r>
    </w:p>
    <w:p>
      <w:pPr>
        <w:pStyle w:val="BodyText"/>
      </w:pPr>
      <w:r>
        <w:t xml:space="preserve">需要警惕的是，行业并非没有风险。短期风险来自800G价格年降约20%的趋势</w:t>
      </w:r>
      <w:r>
        <w:t xml:space="preserve"> </w:t>
      </w:r>
      <w:r>
        <w:rPr>
          <w:vertAlign w:val="superscript"/>
        </w:rPr>
        <w:footnoteReference w:id="54"/>
      </w:r>
      <w:r>
        <w:t xml:space="preserve">、以及新易盛2026年Q1净利润环比下滑超10%（时隔九个季度首次）</w:t>
      </w:r>
      <w:fldSimple w:instr="NOTEREF _Ref_Footnote_14 \h \f">
        <w:r>
          <w:rPr>
            <w:vertAlign w:val="superscript"/>
          </w:rPr>
          <w:t>14</w:t>
        </w:r>
      </w:fldSimple>
      <w:r>
        <w:t xml:space="preserve">所可能释放的增长见顶信号。中期风险（2028-2030年）在于：若美国收紧光芯片出口管制，而国内替代进度跟不上，中国光模块企业将面临”海外产能未建完、国内芯片供不上”的双重挤压。长期风险则来自CPO对传统可插拔模块的替代——尽管当前替代节奏慢于预期，但一旦CPO良率突破80%（当前仅50-55%）</w:t>
      </w:r>
      <w:r>
        <w:rPr>
          <w:vertAlign w:val="superscript"/>
        </w:rPr>
        <w:footnoteReference w:id="55"/>
      </w:r>
      <w:r>
        <w:t xml:space="preserve"> </w:t>
      </w:r>
      <w:r>
        <w:rPr>
          <w:vertAlign w:val="superscript"/>
        </w:rPr>
        <w:footnoteReference w:id="56"/>
      </w:r>
      <w:r>
        <w:t xml:space="preserve">，产业链格局可能重塑。</w:t>
      </w:r>
    </w:p>
    <w:p>
      <w:pPr>
        <w:pStyle w:val="BodyText"/>
      </w:pPr>
      <w:r>
        <w:rPr>
          <w:bCs/>
          <w:b/>
        </w:rPr>
        <w:t xml:space="preserve">核心跟踪指标。</w:t>
      </w:r>
      <w:r>
        <w:t xml:space="preserve"> </w:t>
      </w:r>
      <w:r>
        <w:t xml:space="preserve">我们认为应密切跟踪以下四个指标以判断行业景气拐点：第一，云厂商CAPEX环比增速——当前2026年Q1四大云厂商已支出1,300亿美元</w:t>
      </w:r>
      <w:r>
        <w:t xml:space="preserve"> </w:t>
      </w:r>
      <w:fldSimple w:instr="NOTEREF _Ref_Footnote_18 \h \f">
        <w:r>
          <w:rPr>
            <w:vertAlign w:val="superscript"/>
          </w:rPr>
          <w:t>18</w:t>
        </w:r>
      </w:fldSimple>
      <w:r>
        <w:t xml:space="preserve">，若连续两个季度环比下滑需高度警惕；第二，1.6T出货量——2026年全年预计700-2,000万只</w:t>
      </w:r>
      <w:r>
        <w:t xml:space="preserve"> </w:t>
      </w:r>
      <w:fldSimple w:instr="NOTEREF _Ref_Footnote_18 \h \f">
        <w:r>
          <w:rPr>
            <w:vertAlign w:val="superscript"/>
          </w:rPr>
          <w:t>18</w:t>
        </w:r>
      </w:fldSimple>
      <w:r>
        <w:t xml:space="preserve">，实际出货是否达标反映产品切换进度；第三，EML芯片价格——当前供需缺口超30%</w:t>
      </w:r>
      <w:r>
        <w:t xml:space="preserve"> </w:t>
      </w:r>
      <w:fldSimple w:instr="NOTEREF _Ref_Footnote_30 \h \f">
        <w:r>
          <w:rPr>
            <w:vertAlign w:val="superscript"/>
          </w:rPr>
          <w:t>30</w:t>
        </w:r>
      </w:fldSimple>
      <w:r>
        <w:t xml:space="preserve">，若价格回落信号出现意味着供给瓶颈缓解、价格压力传导至模块端；第四，硅光渗透率——2025年约50%（区间35%-60%）</w:t>
      </w:r>
      <w:fldSimple w:instr="NOTEREF _Ref_Footnote_19 \h \f">
        <w:r>
          <w:rPr>
            <w:vertAlign w:val="superscript"/>
          </w:rPr>
          <w:t>19</w:t>
        </w:r>
      </w:fldSimple>
      <w:r>
        <w:t xml:space="preserve"> </w:t>
      </w:r>
      <w:r>
        <w:rPr>
          <w:vertAlign w:val="superscript"/>
        </w:rPr>
        <w:footnoteReference w:id="57"/>
      </w:r>
      <w:r>
        <w:t xml:space="preserve">，硅光渗透率上升意味着对进口EML芯片依赖降低，间接缓解供应链风险。这四个指标共同构成了光互连行业景气度的”预警仪表盘”，任何一个出现显著恶化都应是重新评估持仓的触发因素。</w:t>
      </w:r>
    </w:p>
    <w:p>
      <w:r>
        <w:pict>
          <v:rect style="width:0;height:1.5pt" o:hralign="center" o:hrstd="t" o:hr="t"/>
        </w:pict>
      </w:r>
    </w:p>
    <w:p>
      <w:pPr>
        <w:pStyle w:val="FirstParagraph"/>
      </w:pPr>
      <w:r>
        <w:t xml:space="preserve">在明确了光互连行业的核心投资逻辑后，我们需要深入产业内部，从技术路线、供需结构、政策环境等维度系统把握行业的全貌。以下章节将从行业基本情况出发，为投资判断提供坚实的基本面基础。</w:t>
      </w:r>
    </w:p>
    <w:bookmarkEnd w:id="23"/>
    <w:bookmarkEnd w:id="24"/>
    <w:bookmarkStart w:id="58" w:name="行业情况"/>
    <w:p>
      <w:pPr>
        <w:pStyle w:val="Heading2"/>
      </w:pPr>
      <w:r>
        <w:t xml:space="preserve">2. 行业情况</w:t>
      </w:r>
    </w:p>
    <w:bookmarkStart w:id="31" w:name="行业概况"/>
    <w:p>
      <w:pPr>
        <w:pStyle w:val="Heading3"/>
      </w:pPr>
      <w:r>
        <w:t xml:space="preserve">2.1 行业概况</w:t>
      </w:r>
    </w:p>
    <w:bookmarkStart w:id="25" w:name="光互连的定义与范畴"/>
    <w:p>
      <w:pPr>
        <w:pStyle w:val="Heading4"/>
      </w:pPr>
      <w:r>
        <w:t xml:space="preserve">2.1.1 光互连的定义与范畴</w:t>
      </w:r>
    </w:p>
    <w:p>
      <w:pPr>
        <w:pStyle w:val="FirstParagraph"/>
      </w:pPr>
      <w:r>
        <w:t xml:space="preserve">光互连（Optical Interconnect）是以光波为信息传输载体，实现芯片间、设备间及网络节点间高速数据通信的技术体系。在AI数据中心场景中，光互连的核心产品形态包括可插拔光模块（Pluggable Optics）、共封装光学（CPO, Co-Packaged Optics）、近封装光学（NPO, Near-Packaged Optics）以及线性可插拔光学（LPO, Linear Pluggable Optics）。与铜缆互联相比，光互连在传输速率、距离和功耗方面具有数量级优势——铜缆受限于信号衰减，有效传输距离通常不超过2米</w:t>
      </w:r>
      <w:r>
        <w:t xml:space="preserve"> </w:t>
      </w:r>
      <w:r>
        <w:rPr>
          <w:vertAlign w:val="superscript"/>
        </w:rPr>
        <w:footnoteReference w:id="58"/>
      </w:r>
      <w:r>
        <w:t xml:space="preserve">，而光模块可支持从数十米到数十公里的传输范围，且单比特能耗仅为铜互连的1/10至1/5</w:t>
      </w:r>
      <w:r>
        <w:t xml:space="preserve"> </w:t>
      </w:r>
      <w:r>
        <w:rPr>
          <w:vertAlign w:val="superscript"/>
        </w:rPr>
        <w:footnoteReference w:id="59"/>
      </w:r>
      <w:r>
        <w:t xml:space="preserve">。</w:t>
      </w:r>
    </w:p>
    <w:p>
      <w:pPr>
        <w:pStyle w:val="BodyText"/>
      </w:pPr>
      <w:r>
        <w:t xml:space="preserve">从产业链位置看，光互连处于算力基础设施的”血管”层级：上游连接光芯片（激光器、调制器、探测器）和电芯片（DSP、TIA、Driver），下游直接服务于云厂商、AI企业和电信运营商的建网需求。光模块作为光互连的主要交付形态，其价值量占AI数据中心网络设备支出的15-20%，是资本开支流向中弹性最大的细分环节之一</w:t>
      </w:r>
      <w:r>
        <w:t xml:space="preserve"> </w:t>
      </w:r>
      <w:fldSimple w:instr="NOTEREF _Ref_Footnote_14 \h \f">
        <w:r>
          <w:rPr>
            <w:vertAlign w:val="superscript"/>
          </w:rPr>
          <w:t>14</w:t>
        </w:r>
      </w:fldSimple>
      <w:r>
        <w:t xml:space="preserve">。</w:t>
      </w:r>
    </w:p>
    <w:bookmarkEnd w:id="25"/>
    <w:bookmarkStart w:id="26" w:name="行业所处阶段"/>
    <w:p>
      <w:pPr>
        <w:pStyle w:val="Heading4"/>
      </w:pPr>
      <w:r>
        <w:t xml:space="preserve">2.1.2 行业所处阶段</w:t>
      </w:r>
    </w:p>
    <w:p>
      <w:pPr>
        <w:pStyle w:val="FirstParagraph"/>
      </w:pPr>
      <w:r>
        <w:t xml:space="preserve">光互连行业正处于</w:t>
      </w:r>
      <w:r>
        <w:rPr>
          <w:bCs/>
          <w:b/>
        </w:rPr>
        <w:t xml:space="preserve">成长中期</w:t>
      </w:r>
      <w:r>
        <w:t xml:space="preserve">。判断依据在于：技术路线部分收敛但尚未完全定型——可插拔光模块仍是绝对主流（2025年占出货量80%以上），CPO/NPO快速跟进（2025年CPO进入商业化元年</w:t>
      </w:r>
      <w:r>
        <w:t xml:space="preserve"> </w:t>
      </w:r>
      <w:fldSimple w:instr="NOTEREF _Ref_Footnote_10 \h \f">
        <w:r>
          <w:rPr>
            <w:vertAlign w:val="superscript"/>
          </w:rPr>
          <w:t>10</w:t>
        </w:r>
      </w:fldSimple>
      <w:r>
        <w:t xml:space="preserve">），硅光技术渗透率提升中（2025年约50%</w:t>
      </w:r>
      <w:r>
        <w:t xml:space="preserve"> </w:t>
      </w:r>
      <w:fldSimple w:instr="NOTEREF _Ref_Footnote_19 \h \f">
        <w:r>
          <w:rPr>
            <w:vertAlign w:val="superscript"/>
          </w:rPr>
          <w:t>19</w:t>
        </w:r>
      </w:fldSimple>
      <w:r>
        <w:t xml:space="preserve">）。市场增速维持高位（2025年全球光模块市场同比增长约60%</w:t>
      </w:r>
      <w:r>
        <w:t xml:space="preserve"> </w:t>
      </w:r>
      <w:fldSimple w:instr="NOTEREF _Ref_Footnote_26 \h \f">
        <w:r>
          <w:rPr>
            <w:vertAlign w:val="superscript"/>
          </w:rPr>
          <w:t>26</w:t>
        </w:r>
      </w:fldSimple>
      <w:r>
        <w:t xml:space="preserve">），但尚未进入全民参与的泡沫期：行业CR5超过70%，头部集中度高</w:t>
      </w:r>
      <w:r>
        <w:t xml:space="preserve"> </w:t>
      </w:r>
      <w:fldSimple w:instr="NOTEREF _Ref_Footnote_15 \h \f">
        <w:r>
          <w:rPr>
            <w:vertAlign w:val="superscript"/>
          </w:rPr>
          <w:t>15</w:t>
        </w:r>
      </w:fldSimple>
      <w:r>
        <w:t xml:space="preserve">。成长中期的核心特征是”需求确定、路线竞争、供给卡壳”——AI算力扩张提供了需求确定性，多条技术路线并行竞争，高端光芯片和电芯片供给瓶颈突出。</w:t>
      </w:r>
    </w:p>
    <w:bookmarkEnd w:id="26"/>
    <w:bookmarkStart w:id="30" w:name="市场规模与增速"/>
    <w:p>
      <w:pPr>
        <w:pStyle w:val="Heading4"/>
      </w:pPr>
      <w:r>
        <w:t xml:space="preserve">2.1.3 市场规模与增速</w:t>
      </w:r>
    </w:p>
    <w:p>
      <w:pPr>
        <w:pStyle w:val="FirstParagraph"/>
      </w:pPr>
      <w:r>
        <w:t xml:space="preserve">根据LightCounting和Stratview Research的多维度数据，2024年全球光模块市场规模约为141亿美元，2025年预计达165亿美元，同比增长约60%</w:t>
      </w:r>
      <w:r>
        <w:t xml:space="preserve"> </w:t>
      </w:r>
      <w:fldSimple w:instr="NOTEREF _Ref_Footnote_4 \h \f">
        <w:r>
          <w:rPr>
            <w:vertAlign w:val="superscript"/>
          </w:rPr>
          <w:t>4</w:t>
        </w:r>
      </w:fldSimple>
      <w:r>
        <w:t xml:space="preserve"> </w:t>
      </w:r>
      <w:fldSimple w:instr="NOTEREF _Ref_Footnote_8 \h \f">
        <w:r>
          <w:rPr>
            <w:vertAlign w:val="superscript"/>
          </w:rPr>
          <w:t>8</w:t>
        </w:r>
      </w:fldSimple>
      <w:r>
        <w:t xml:space="preserve">。其中，AI数据中心光模块是核心增长引擎，2025年市场规模约100亿美元，2026年有望增至165-260亿美元（不同机构口径存在差异）</w:t>
      </w:r>
      <w:fldSimple w:instr="NOTEREF _Ref_Footnote_4 \h \f">
        <w:r>
          <w:rPr>
            <w:vertAlign w:val="superscript"/>
          </w:rPr>
          <w:t>4</w:t>
        </w:r>
      </w:fldSimple>
      <w:r>
        <w:t xml:space="preserve"> </w:t>
      </w:r>
      <w:r>
        <w:rPr>
          <w:vertAlign w:val="superscript"/>
        </w:rPr>
        <w:footnoteReference w:id="60"/>
      </w:r>
      <w:r>
        <w:t xml:space="preserve">。TrendForce预估2026年全球AI光收发模块市场规模将达260亿美元，同比增幅超57%</w:t>
      </w:r>
      <w:r>
        <w:t xml:space="preserve"> </w:t>
      </w:r>
      <w:r>
        <w:rPr>
          <w:vertAlign w:val="superscript"/>
        </w:rPr>
        <w:footnoteReference w:id="61"/>
      </w:r>
      <w:r>
        <w:t xml:space="preserve">。</w:t>
      </w:r>
    </w:p>
    <w:p>
      <w:pPr>
        <w:pStyle w:val="CaptionedFigure"/>
      </w:pPr>
      <w:r>
        <w:drawing>
          <wp:inline>
            <wp:extent cx="5334000" cy="2872846"/>
            <wp:effectExtent b="0" l="0" r="0" t="0"/>
            <wp:docPr descr="全球光模块市场规模及预测" title="" id="28" name="Picture"/>
            <a:graphic>
              <a:graphicData uri="http://schemas.openxmlformats.org/drawingml/2006/picture">
                <pic:pic>
                  <pic:nvPicPr>
                    <pic:cNvPr descr="fig_sec02_market_size.png" id="29" name="Picture"/>
                    <pic:cNvPicPr>
                      <a:picLocks noChangeArrowheads="1" noChangeAspect="1"/>
                    </pic:cNvPicPr>
                  </pic:nvPicPr>
                  <pic:blipFill>
                    <a:blip r:embed="rId27"/>
                    <a:stretch>
                      <a:fillRect/>
                    </a:stretch>
                  </pic:blipFill>
                  <pic:spPr bwMode="auto">
                    <a:xfrm>
                      <a:off x="0" y="0"/>
                      <a:ext cx="5334000" cy="2872846"/>
                    </a:xfrm>
                    <a:prstGeom prst="rect">
                      <a:avLst/>
                    </a:prstGeom>
                    <a:noFill/>
                    <a:ln w="9525">
                      <a:noFill/>
                      <a:headEnd/>
                      <a:tailEnd/>
                    </a:ln>
                  </pic:spPr>
                </pic:pic>
              </a:graphicData>
            </a:graphic>
          </wp:inline>
        </w:drawing>
      </w:r>
    </w:p>
    <w:p>
      <w:pPr>
        <w:pStyle w:val="ImageCaption"/>
      </w:pPr>
      <w:r>
        <w:t xml:space="preserve">全球光模块市场规模及预测</w:t>
      </w:r>
    </w:p>
    <w:p>
      <w:pPr>
        <w:pStyle w:val="BodyText"/>
      </w:pPr>
      <w:r>
        <w:t xml:space="preserve">从结构来看，数据通信（Datacom）光模块市场2025年约120亿美元，预计2030年达340亿美元（2024-2030年CAGR约20%）</w:t>
      </w:r>
      <w:fldSimple w:instr="NOTEREF _Ref_Footnote_7 \h \f">
        <w:r>
          <w:rPr>
            <w:vertAlign w:val="superscript"/>
          </w:rPr>
          <w:t>7</w:t>
        </w:r>
      </w:fldSimple>
      <w:r>
        <w:t xml:space="preserve">。电信市场增速相对平稳（CAGR约5-8%），AI驱动的数通市场是未来五年增长的核心来源。上图展示了整体市场、AI专用市场和数据通信市场的三轨并行增长态势，其中AI专用市场以约25%的复合增速引领，反映出算力基础设施投资的结构性倾斜。</w:t>
      </w:r>
    </w:p>
    <w:bookmarkEnd w:id="30"/>
    <w:bookmarkEnd w:id="31"/>
    <w:bookmarkStart w:id="41" w:name="技术路线全景图"/>
    <w:p>
      <w:pPr>
        <w:pStyle w:val="Heading3"/>
      </w:pPr>
      <w:r>
        <w:t xml:space="preserve">2.2 技术路线全景图</w:t>
      </w:r>
    </w:p>
    <w:p>
      <w:pPr>
        <w:pStyle w:val="FirstParagraph"/>
      </w:pPr>
      <w:r>
        <w:t xml:space="preserve">光互连技术正处于代际切换的关键窗口，可插拔模块、CPO/NPO、LPO、硅光等多条路线并行演进，每条路线在带宽、功耗、延迟、可维护性和成熟度等维度呈现差异化竞争格局。理解各技术路线的优劣势与商用节奏，是判断产业链投资价值的前置条件。</w:t>
      </w:r>
    </w:p>
    <w:bookmarkStart w:id="32" w:name="可插拔光模块当前主流方案"/>
    <w:p>
      <w:pPr>
        <w:pStyle w:val="Heading4"/>
      </w:pPr>
      <w:r>
        <w:t xml:space="preserve">2.2.1 可插拔光模块：当前主流方案</w:t>
      </w:r>
    </w:p>
    <w:p>
      <w:pPr>
        <w:pStyle w:val="FirstParagraph"/>
      </w:pPr>
      <w:r>
        <w:t xml:space="preserve">可插拔光模块（Pluggable Optics）是当前AI数据中心光互连的绝对主流。其核心价值在于标准化接口（QSFP-DD、OSFP-XD等形态）、热插拔可维护性和成熟的供应链体系。2025年，800G光模块占全球出货量的65%以上</w:t>
      </w:r>
      <w:r>
        <w:t xml:space="preserve"> </w:t>
      </w:r>
      <w:r>
        <w:rPr>
          <w:vertAlign w:val="superscript"/>
        </w:rPr>
        <w:footnoteReference w:id="62"/>
      </w:r>
      <w:r>
        <w:t xml:space="preserve">，年需求量约2{,}000万只（同比翻倍增长）</w:t>
      </w:r>
      <w:fldSimple w:instr="NOTEREF _Ref_Footnote_62 \h \f">
        <w:r>
          <w:rPr>
            <w:vertAlign w:val="superscript"/>
          </w:rPr>
          <w:t>62</w:t>
        </w:r>
      </w:fldSimple>
      <w:r>
        <w:t xml:space="preserve">。1.6T光模块于2025年Q3正式开启规模出货，英伟达占据约80%的份额（250-350万只），中际旭创在1.6T领域市占率达50-70%</w:t>
      </w:r>
      <w:r>
        <w:t xml:space="preserve"> </w:t>
      </w:r>
      <w:r>
        <w:rPr>
          <w:vertAlign w:val="superscript"/>
        </w:rPr>
        <w:footnoteReference w:id="63"/>
      </w:r>
      <w:r>
        <w:t xml:space="preserve"> </w:t>
      </w:r>
      <w:r>
        <w:rPr>
          <w:vertAlign w:val="superscript"/>
        </w:rPr>
        <w:footnoteReference w:id="64"/>
      </w:r>
      <w:r>
        <w:t xml:space="preserve">。</w:t>
      </w:r>
    </w:p>
    <w:p>
      <w:pPr>
        <w:pStyle w:val="BodyText"/>
      </w:pPr>
      <w:r>
        <w:t xml:space="preserve">可插拔方案的核心优势在于</w:t>
      </w:r>
      <w:r>
        <w:rPr>
          <w:bCs/>
          <w:b/>
        </w:rPr>
        <w:t xml:space="preserve">可维护性</w:t>
      </w:r>
      <w:r>
        <w:t xml:space="preserve">：单个模块故障可在12小时内更换完成，不影响系统整体运行。这一特性对于云厂商的大规模运维至关重要——Meta的模拟测算显示，若全量采用CPO，因故障修复时间延长导致的额外冗余成本将增加18%</w:t>
      </w:r>
      <w:r>
        <w:t xml:space="preserve"> </w:t>
      </w:r>
      <w:r>
        <w:rPr>
          <w:vertAlign w:val="superscript"/>
        </w:rPr>
        <w:footnoteReference w:id="65"/>
      </w:r>
      <w:r>
        <w:t xml:space="preserve">。因此，尽管CPO在功耗和延迟上更具优势，可插拔模块在2028年前仍将占据主要份额。</w:t>
      </w:r>
    </w:p>
    <w:bookmarkEnd w:id="32"/>
    <w:bookmarkStart w:id="33" w:name="cponpo下一代方案的双轨演进"/>
    <w:p>
      <w:pPr>
        <w:pStyle w:val="Heading4"/>
      </w:pPr>
      <w:r>
        <w:t xml:space="preserve">2.2.2 CPO/NPO：下一代方案的双轨演进</w:t>
      </w:r>
    </w:p>
    <w:p>
      <w:pPr>
        <w:pStyle w:val="FirstParagraph"/>
      </w:pPr>
      <w:r>
        <w:t xml:space="preserve">CPO（共封装光学）将光引擎与交换机ASIC直接封装在同一基板上，电气走线缩短至毫米级，省去DSP重定时器，每比特功耗从可插拔方案的15-20 pJ/bit降至3-4 pJ/bit</w:t>
      </w:r>
      <w:r>
        <w:t xml:space="preserve"> </w:t>
      </w:r>
      <w:fldSimple w:instr="NOTEREF _Ref_Footnote_59 \h \f">
        <w:r>
          <w:rPr>
            <w:vertAlign w:val="superscript"/>
          </w:rPr>
          <w:t>59</w:t>
        </w:r>
      </w:fldSimple>
      <w:r>
        <w:t xml:space="preserve">，功耗降低70%以上。2025年是CPO商业化元年：英伟达Quantum-X Photonics（InfiniBand，115.2 Tbps）于2025年底启动出货</w:t>
      </w:r>
      <w:r>
        <w:t xml:space="preserve"> </w:t>
      </w:r>
      <w:fldSimple w:instr="NOTEREF _Ref_Footnote_10 \h \f">
        <w:r>
          <w:rPr>
            <w:vertAlign w:val="superscript"/>
          </w:rPr>
          <w:t>10</w:t>
        </w:r>
      </w:fldSimple>
      <w:r>
        <w:t xml:space="preserve">，博通Bailly CPO交换机（51.2 Tbps）累计出货约3{,}000台</w:t>
      </w:r>
      <w:r>
        <w:t xml:space="preserve"> </w:t>
      </w:r>
      <w:r>
        <w:rPr>
          <w:vertAlign w:val="superscript"/>
        </w:rPr>
        <w:footnoteReference w:id="66"/>
      </w:r>
      <w:r>
        <w:t xml:space="preserve">。然而，CPO面临三大商业化瓶颈：光纤耦合良率仅约50%，PIC+EIC 3D封装良率约55%</w:t>
      </w:r>
      <w:r>
        <w:t xml:space="preserve"> </w:t>
      </w:r>
      <w:fldSimple w:instr="NOTEREF _Ref_Footnote_55 \h \f">
        <w:r>
          <w:rPr>
            <w:vertAlign w:val="superscript"/>
          </w:rPr>
          <w:t>55</w:t>
        </w:r>
      </w:fldSimple>
      <w:r>
        <w:t xml:space="preserve"> </w:t>
      </w:r>
      <w:fldSimple w:instr="NOTEREF _Ref_Footnote_56 \h \f">
        <w:r>
          <w:rPr>
            <w:vertAlign w:val="superscript"/>
          </w:rPr>
          <w:t>56</w:t>
        </w:r>
      </w:fldSimple>
      <w:r>
        <w:t xml:space="preserve">；光引擎故障需更换整块主板，修复时间72小时（传统模块的6倍）</w:t>
      </w:r>
      <w:r>
        <w:rPr>
          <w:vertAlign w:val="superscript"/>
        </w:rPr>
        <w:footnoteReference w:id="67"/>
      </w:r>
      <w:r>
        <w:t xml:space="preserve">；单套光引擎成本3.5-4万美元，是传统方案的7-20倍</w:t>
      </w:r>
      <w:r>
        <w:t xml:space="preserve"> </w:t>
      </w:r>
      <w:fldSimple w:instr="NOTEREF _Ref_Footnote_55 \h \f">
        <w:r>
          <w:rPr>
            <w:vertAlign w:val="superscript"/>
          </w:rPr>
          <w:t>55</w:t>
        </w:r>
      </w:fldSimple>
      <w:r>
        <w:t xml:space="preserve">。</w:t>
      </w:r>
    </w:p>
    <w:p>
      <w:pPr>
        <w:pStyle w:val="BodyText"/>
      </w:pPr>
      <w:r>
        <w:t xml:space="preserve">NPO（近封装光学）则处于CPO与可插拔方案之间的过渡地带：光引擎贴装于PCB主板靠近交换芯片的位置（约2-7 cm），虽未实现共封装，但显著改善了高频信号损耗</w:t>
      </w:r>
      <w:r>
        <w:t xml:space="preserve"> </w:t>
      </w:r>
      <w:r>
        <w:rPr>
          <w:vertAlign w:val="superscript"/>
        </w:rPr>
        <w:footnoteReference w:id="68"/>
      </w:r>
      <w:r>
        <w:t xml:space="preserve">。NPO的功耗约5-6 pJ/bit，较可插拔方案降低30-50%</w:t>
      </w:r>
      <w:r>
        <w:t xml:space="preserve"> </w:t>
      </w:r>
      <w:r>
        <w:rPr>
          <w:vertAlign w:val="superscript"/>
        </w:rPr>
        <w:footnoteReference w:id="69"/>
      </w:r>
      <w:r>
        <w:t xml:space="preserve">，同时保留了可独立更换光引擎的可维护性优势。2026年谷歌下达的1{,}200万只NPO超级订单（总价120-150亿美元，中际旭创获60%、新易盛获40%）</w:t>
      </w:r>
      <w:r>
        <w:rPr>
          <w:vertAlign w:val="superscript"/>
        </w:rPr>
        <w:footnoteReference w:id="70"/>
      </w:r>
      <w:r>
        <w:t xml:space="preserve">，使NPO成为当年最大单笔光互连采购。市场预计2027年NPO在光互连中的占比将达70-80%</w:t>
      </w:r>
      <w:r>
        <w:t xml:space="preserve"> </w:t>
      </w:r>
      <w:r>
        <w:rPr>
          <w:vertAlign w:val="superscript"/>
        </w:rPr>
        <w:footnoteReference w:id="71"/>
      </w:r>
      <w:r>
        <w:t xml:space="preserve">——NPO并非CPO的过渡附庸，而是CPO良率突破80%之前的主流替代方案，其生命周期可能长达3-5年。</w:t>
      </w:r>
    </w:p>
    <w:bookmarkEnd w:id="33"/>
    <w:bookmarkStart w:id="34" w:name="lpo推理时代最佳适配方案"/>
    <w:p>
      <w:pPr>
        <w:pStyle w:val="Heading4"/>
      </w:pPr>
      <w:r>
        <w:t xml:space="preserve">2.2.3 LPO：推理时代最佳适配方案</w:t>
      </w:r>
    </w:p>
    <w:p>
      <w:pPr>
        <w:pStyle w:val="FirstParagraph"/>
      </w:pPr>
      <w:r>
        <w:t xml:space="preserve">LPO（线性可插拔光学）通过去除模块内的DSP芯片，将信号处理功能转移至交换芯片，实现功耗降低50%（从约15W降至8-10W）</w:t>
      </w:r>
      <w:fldSimple w:instr="NOTEREF _Ref_Footnote_26 \h \f">
        <w:r>
          <w:rPr>
            <w:vertAlign w:val="superscript"/>
          </w:rPr>
          <w:t>26</w:t>
        </w:r>
      </w:fldSimple>
      <w:r>
        <w:t xml:space="preserve">，成本下降15-20%</w:t>
      </w:r>
      <w:r>
        <w:t xml:space="preserve"> </w:t>
      </w:r>
      <w:r>
        <w:rPr>
          <w:vertAlign w:val="superscript"/>
        </w:rPr>
        <w:footnoteReference w:id="72"/>
      </w:r>
      <w:r>
        <w:t xml:space="preserve">。LPO的三大技术优势——低功耗、低成本、低延迟——与AI推理场景的需求特征形成精准匹配：推理数据中心单机架功耗通常在12-60 kW，对功耗极为敏感；推理集群以短距互联（500 m以下）为主，恰好覆盖LPO的有效传输距离；推理工作负载占AI总工作负载的比例将从2023年的约20%上升至2030年的80%</w:t>
      </w:r>
      <w:r>
        <w:t xml:space="preserve"> </w:t>
      </w:r>
      <w:fldSimple w:instr="NOTEREF _Ref_Footnote_25 \h \f">
        <w:r>
          <w:rPr>
            <w:vertAlign w:val="superscript"/>
          </w:rPr>
          <w:t>25</w:t>
        </w:r>
      </w:fldSimple>
      <w:r>
        <w:t xml:space="preserve">，推理需求密度是训练的3-5倍</w:t>
      </w:r>
      <w:r>
        <w:t xml:space="preserve"> </w:t>
      </w:r>
      <w:fldSimple w:instr="NOTEREF _Ref_Footnote_25 \h \f">
        <w:r>
          <w:rPr>
            <w:vertAlign w:val="superscript"/>
          </w:rPr>
          <w:t>25</w:t>
        </w:r>
      </w:fldSimple>
      <w:r>
        <w:t xml:space="preserve">。</w:t>
      </w:r>
    </w:p>
    <w:p>
      <w:pPr>
        <w:pStyle w:val="BodyText"/>
      </w:pPr>
      <w:r>
        <w:t xml:space="preserve">新易盛在LPO领域占据约75%的市场份额</w:t>
      </w:r>
      <w:r>
        <w:t xml:space="preserve"> </w:t>
      </w:r>
      <w:fldSimple w:instr="NOTEREF _Ref_Footnote_27 \h \f">
        <w:r>
          <w:rPr>
            <w:vertAlign w:val="superscript"/>
          </w:rPr>
          <w:t>27</w:t>
        </w:r>
      </w:fldSimple>
      <w:r>
        <w:t xml:space="preserve">，已获Meta和Amazon的批量订单。LPO的标准化也在加速推进：LPOMSA于2025年发布100G-DR-LPO规范，覆盖100G-800G以太网并行单模链路</w:t>
      </w:r>
      <w:r>
        <w:t xml:space="preserve"> </w:t>
      </w:r>
      <w:r>
        <w:rPr>
          <w:vertAlign w:val="superscript"/>
        </w:rPr>
        <w:footnoteReference w:id="73"/>
      </w:r>
      <w:r>
        <w:t xml:space="preserve">。不过，LPO的局限在于跨厂商互联互通仍有待充分验证，且更高速率（200G/lane）的标准化与生态尚未成熟</w:t>
      </w:r>
      <w:r>
        <w:t xml:space="preserve"> </w:t>
      </w:r>
      <w:fldSimple w:instr="NOTEREF _Ref_Footnote_72 \h \f">
        <w:r>
          <w:rPr>
            <w:vertAlign w:val="superscript"/>
          </w:rPr>
          <w:t>72</w:t>
        </w:r>
      </w:fldSimple>
      <w:r>
        <w:t xml:space="preserve">。</w:t>
      </w:r>
    </w:p>
    <w:bookmarkEnd w:id="34"/>
    <w:bookmarkStart w:id="38" w:name="硅光技术cpo的基石与渗透趋势"/>
    <w:p>
      <w:pPr>
        <w:pStyle w:val="Heading4"/>
      </w:pPr>
      <w:r>
        <w:t xml:space="preserve">2.2.4 硅光技术：CPO的基石与渗透趋势</w:t>
      </w:r>
    </w:p>
    <w:p>
      <w:pPr>
        <w:pStyle w:val="FirstParagraph"/>
      </w:pPr>
      <w:r>
        <w:t xml:space="preserve">硅光技术（Silicon Photonics）基于CMOS兼容工艺，将激光器、调制器、探测器等集成在硅基芯片上，是实现CPO方案的必备技术路径。2025年硅光技术在800G模块中的渗透率已近50%</w:t>
      </w:r>
      <w:r>
        <w:t xml:space="preserve"> </w:t>
      </w:r>
      <w:fldSimple w:instr="NOTEREF _Ref_Footnote_62 \h \f">
        <w:r>
          <w:rPr>
            <w:vertAlign w:val="superscript"/>
          </w:rPr>
          <w:t>62</w:t>
        </w:r>
      </w:fldSimple>
      <w:r>
        <w:t xml:space="preserve">，在800G/1.6T高端市场渗透率达50-70%</w:t>
      </w:r>
      <w:r>
        <w:t xml:space="preserve"> </w:t>
      </w:r>
      <w:fldSimple w:instr="NOTEREF _Ref_Footnote_19 \h \f">
        <w:r>
          <w:rPr>
            <w:vertAlign w:val="superscript"/>
          </w:rPr>
          <w:t>19</w:t>
        </w:r>
      </w:fldSimple>
      <w:r>
        <w:t xml:space="preserve">，预计2027年有望突破50%（全口径）</w:t>
      </w:r>
      <w:fldSimple w:instr="NOTEREF _Ref_Footnote_57 \h \f">
        <w:r>
          <w:rPr>
            <w:vertAlign w:val="superscript"/>
          </w:rPr>
          <w:t>57</w:t>
        </w:r>
      </w:fldSimple>
      <w:r>
        <w:t xml:space="preserve">。</w:t>
      </w:r>
    </w:p>
    <w:p>
      <w:pPr>
        <w:pStyle w:val="BodyText"/>
      </w:pPr>
      <w:r>
        <w:t xml:space="preserve">硅光的核心优势在于集成度与规模化成本：12英寸硅光晶圆生产线逐步普及，规模化后单片成本可较传统磷化铟（InP）方案降低30%以上</w:t>
      </w:r>
      <w:r>
        <w:t xml:space="preserve"> </w:t>
      </w:r>
      <w:r>
        <w:rPr>
          <w:vertAlign w:val="superscript"/>
        </w:rPr>
        <w:footnoteReference w:id="74"/>
      </w:r>
      <w:r>
        <w:t xml:space="preserve">。台积电推出的COUPE硅光平台采用SoIC-X芯片堆叠技术，2025年已量产</w:t>
      </w:r>
      <w:r>
        <w:t xml:space="preserve"> </w:t>
      </w:r>
      <w:r>
        <w:rPr>
          <w:vertAlign w:val="superscript"/>
        </w:rPr>
        <w:footnoteReference w:id="75"/>
      </w:r>
      <w:r>
        <w:t xml:space="preserve">；Intel在数据通信硅光领域占据约60%份额</w:t>
      </w:r>
      <w:r>
        <w:t xml:space="preserve"> </w:t>
      </w:r>
      <w:r>
        <w:rPr>
          <w:vertAlign w:val="superscript"/>
        </w:rPr>
        <w:footnoteReference w:id="76"/>
      </w:r>
      <w:r>
        <w:t xml:space="preserve">。国内企业方面，中际旭创自研硅光芯片2025年自给率达45%，目标2027年实现70%</w:t>
      </w:r>
      <w:r>
        <w:t xml:space="preserve"> </w:t>
      </w:r>
      <w:fldSimple w:instr="NOTEREF _Ref_Footnote_69 \h \f">
        <w:r>
          <w:rPr>
            <w:vertAlign w:val="superscript"/>
          </w:rPr>
          <w:t>69</w:t>
        </w:r>
      </w:fldSimple>
      <w:r>
        <w:t xml:space="preserve">；华工科技自研单波200G硅光芯片已应用于1.6T光模块</w:t>
      </w:r>
      <w:r>
        <w:t xml:space="preserve"> </w:t>
      </w:r>
      <w:fldSimple w:instr="NOTEREF _Ref_Footnote_55 \h \f">
        <w:r>
          <w:rPr>
            <w:vertAlign w:val="superscript"/>
          </w:rPr>
          <w:t>55</w:t>
        </w:r>
      </w:fldSimple>
      <w:r>
        <w:t xml:space="preserve">。但硅光芯片国产化率仅约30%，良率落后Intel 1-2年</w:t>
      </w:r>
      <w:r>
        <w:t xml:space="preserve"> </w:t>
      </w:r>
      <w:r>
        <w:rPr>
          <w:vertAlign w:val="superscript"/>
        </w:rPr>
        <w:footnoteReference w:id="77"/>
      </w:r>
      <w:r>
        <w:t xml:space="preserve">，是制约国内CPO竞争力的关键环节。</w:t>
      </w:r>
    </w:p>
    <w:p>
      <w:pPr>
        <w:pStyle w:val="CaptionedFigure"/>
      </w:pPr>
      <w:r>
        <w:drawing>
          <wp:inline>
            <wp:extent cx="5334000" cy="2875095"/>
            <wp:effectExtent b="0" l="0" r="0" t="0"/>
            <wp:docPr descr="光互连关键技术路线渗透率预测" title="" id="36" name="Picture"/>
            <a:graphic>
              <a:graphicData uri="http://schemas.openxmlformats.org/drawingml/2006/picture">
                <pic:pic>
                  <pic:nvPicPr>
                    <pic:cNvPr descr="fig_sec02_tech_penetration.png" id="37" name="Picture"/>
                    <pic:cNvPicPr>
                      <a:picLocks noChangeArrowheads="1" noChangeAspect="1"/>
                    </pic:cNvPicPr>
                  </pic:nvPicPr>
                  <pic:blipFill>
                    <a:blip r:embed="rId35"/>
                    <a:stretch>
                      <a:fillRect/>
                    </a:stretch>
                  </pic:blipFill>
                  <pic:spPr bwMode="auto">
                    <a:xfrm>
                      <a:off x="0" y="0"/>
                      <a:ext cx="5334000" cy="2875095"/>
                    </a:xfrm>
                    <a:prstGeom prst="rect">
                      <a:avLst/>
                    </a:prstGeom>
                    <a:noFill/>
                    <a:ln w="9525">
                      <a:noFill/>
                      <a:headEnd/>
                      <a:tailEnd/>
                    </a:ln>
                  </pic:spPr>
                </pic:pic>
              </a:graphicData>
            </a:graphic>
          </wp:inline>
        </w:drawing>
      </w:r>
    </w:p>
    <w:p>
      <w:pPr>
        <w:pStyle w:val="ImageCaption"/>
      </w:pPr>
      <w:r>
        <w:t xml:space="preserve">光互连关键技术路线渗透率预测</w:t>
      </w:r>
    </w:p>
    <w:p>
      <w:pPr>
        <w:pStyle w:val="BodyText"/>
      </w:pPr>
      <w:r>
        <w:t xml:space="preserve">上图展示了2023-2030年四条关键技术路线的渗透率变化。硅光技术呈现稳步上升趋势，预计2030年达到76%；LPO在2026-2028年达到渗透率峰值（约40-42%）后逐步回落，反映其作为过渡技术的定位；CPO则从2025年的2%起步，2030年预计达35%，增长斜率在后半段显著陡峭化，与CPO良率改善和成本下降的节奏一致。</w:t>
      </w:r>
    </w:p>
    <w:bookmarkEnd w:id="38"/>
    <w:bookmarkStart w:id="39" w:name="技术路线综合对比"/>
    <w:p>
      <w:pPr>
        <w:pStyle w:val="Heading4"/>
      </w:pPr>
      <w:r>
        <w:t xml:space="preserve">2.2.5 技术路线综合对比</w:t>
      </w:r>
    </w:p>
    <w:p>
      <w:pPr>
        <w:pStyle w:val="FirstParagraph"/>
      </w:pPr>
      <w:r>
        <w:rPr>
          <w:bCs/>
          <w:b/>
        </w:rPr>
        <w:t xml:space="preserve">表1：主要光互连技术路线综合对比</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技术维度</w:t>
            </w:r>
          </w:p>
        </w:tc>
        <w:tc>
          <w:tcPr/>
          <w:p>
            <w:pPr>
              <w:pStyle w:val="Compact"/>
              <w:jc w:val="left"/>
            </w:pPr>
            <w:r>
              <w:t xml:space="preserve">可插拔光模块</w:t>
            </w:r>
          </w:p>
        </w:tc>
        <w:tc>
          <w:tcPr/>
          <w:p>
            <w:pPr>
              <w:pStyle w:val="Compact"/>
              <w:jc w:val="left"/>
            </w:pPr>
            <w:r>
              <w:t xml:space="preserve">NPO（近封装光学）</w:t>
            </w:r>
          </w:p>
        </w:tc>
        <w:tc>
          <w:tcPr/>
          <w:p>
            <w:pPr>
              <w:pStyle w:val="Compact"/>
              <w:jc w:val="left"/>
            </w:pPr>
            <w:r>
              <w:t xml:space="preserve">CPO（共封装光学）</w:t>
            </w:r>
          </w:p>
        </w:tc>
        <w:tc>
          <w:tcPr/>
          <w:p>
            <w:pPr>
              <w:pStyle w:val="Compact"/>
              <w:jc w:val="left"/>
            </w:pPr>
            <w:r>
              <w:t xml:space="preserve">LPO（线性可插拔）</w:t>
            </w:r>
          </w:p>
        </w:tc>
      </w:tr>
      <w:tr>
        <w:tc>
          <w:tcPr/>
          <w:p>
            <w:pPr>
              <w:pStyle w:val="Compact"/>
              <w:jc w:val="left"/>
            </w:pPr>
            <w:r>
              <w:rPr>
                <w:bCs/>
                <w:b/>
              </w:rPr>
              <w:t xml:space="preserve">单端口带宽</w:t>
            </w:r>
          </w:p>
        </w:tc>
        <w:tc>
          <w:tcPr/>
          <w:p>
            <w:pPr>
              <w:pStyle w:val="Compact"/>
              <w:jc w:val="left"/>
            </w:pPr>
            <w:r>
              <w:t xml:space="preserve">800G/1.6T/3.2T</w:t>
            </w:r>
          </w:p>
        </w:tc>
        <w:tc>
          <w:tcPr/>
          <w:p>
            <w:pPr>
              <w:pStyle w:val="Compact"/>
              <w:jc w:val="left"/>
            </w:pPr>
            <w:r>
              <w:t xml:space="preserve">1.6T/3.2T</w:t>
            </w:r>
          </w:p>
        </w:tc>
        <w:tc>
          <w:tcPr/>
          <w:p>
            <w:pPr>
              <w:pStyle w:val="Compact"/>
              <w:jc w:val="left"/>
            </w:pPr>
            <w:r>
              <w:t xml:space="preserve">51.2T-102.4T（整机）</w:t>
            </w:r>
          </w:p>
        </w:tc>
        <w:tc>
          <w:tcPr/>
          <w:p>
            <w:pPr>
              <w:pStyle w:val="Compact"/>
              <w:jc w:val="left"/>
            </w:pPr>
            <w:r>
              <w:t xml:space="preserve">400G/800G/1.6T</w:t>
            </w:r>
          </w:p>
        </w:tc>
      </w:tr>
      <w:tr>
        <w:tc>
          <w:tcPr/>
          <w:p>
            <w:pPr>
              <w:pStyle w:val="Compact"/>
              <w:jc w:val="left"/>
            </w:pPr>
            <w:r>
              <w:rPr>
                <w:bCs/>
                <w:b/>
              </w:rPr>
              <w:t xml:space="preserve">每比特功耗</w:t>
            </w:r>
          </w:p>
        </w:tc>
        <w:tc>
          <w:tcPr/>
          <w:p>
            <w:pPr>
              <w:pStyle w:val="Compact"/>
              <w:jc w:val="left"/>
            </w:pPr>
            <w:r>
              <w:t xml:space="preserve">15-20 pJ/bit</w:t>
            </w:r>
            <w:r>
              <w:t xml:space="preserve"> </w:t>
            </w:r>
            <w:fldSimple w:instr="NOTEREF _Ref_Footnote_59 \h \f">
              <w:r>
                <w:rPr>
                  <w:vertAlign w:val="superscript"/>
                </w:rPr>
                <w:t>59</w:t>
              </w:r>
            </w:fldSimple>
          </w:p>
        </w:tc>
        <w:tc>
          <w:tcPr/>
          <w:p>
            <w:pPr>
              <w:pStyle w:val="Compact"/>
              <w:jc w:val="left"/>
            </w:pPr>
            <w:r>
              <w:t xml:space="preserve">5-6 pJ/bit</w:t>
            </w:r>
            <w:r>
              <w:t xml:space="preserve"> </w:t>
            </w:r>
            <w:fldSimple w:instr="NOTEREF _Ref_Footnote_69 \h \f">
              <w:r>
                <w:rPr>
                  <w:vertAlign w:val="superscript"/>
                </w:rPr>
                <w:t>69</w:t>
              </w:r>
            </w:fldSimple>
          </w:p>
        </w:tc>
        <w:tc>
          <w:tcPr/>
          <w:p>
            <w:pPr>
              <w:pStyle w:val="Compact"/>
              <w:jc w:val="left"/>
            </w:pPr>
            <w:r>
              <w:t xml:space="preserve">3-4 pJ/bit</w:t>
            </w:r>
            <w:r>
              <w:t xml:space="preserve"> </w:t>
            </w:r>
            <w:fldSimple w:instr="NOTEREF _Ref_Footnote_59 \h \f">
              <w:r>
                <w:rPr>
                  <w:vertAlign w:val="superscript"/>
                </w:rPr>
                <w:t>59</w:t>
              </w:r>
            </w:fldSimple>
          </w:p>
        </w:tc>
        <w:tc>
          <w:tcPr/>
          <w:p>
            <w:pPr>
              <w:pStyle w:val="Compact"/>
              <w:jc w:val="left"/>
            </w:pPr>
            <w:r>
              <w:t xml:space="preserve">7-10 pJ/bit</w:t>
            </w:r>
            <w:r>
              <w:t xml:space="preserve"> </w:t>
            </w:r>
            <w:fldSimple w:instr="NOTEREF _Ref_Footnote_72 \h \f">
              <w:r>
                <w:rPr>
                  <w:vertAlign w:val="superscript"/>
                </w:rPr>
                <w:t>72</w:t>
              </w:r>
            </w:fldSimple>
          </w:p>
        </w:tc>
      </w:tr>
      <w:tr>
        <w:tc>
          <w:tcPr/>
          <w:p>
            <w:pPr>
              <w:pStyle w:val="Compact"/>
              <w:jc w:val="left"/>
            </w:pPr>
            <w:r>
              <w:rPr>
                <w:bCs/>
                <w:b/>
              </w:rPr>
              <w:t xml:space="preserve">延迟</w:t>
            </w:r>
          </w:p>
        </w:tc>
        <w:tc>
          <w:tcPr/>
          <w:p>
            <w:pPr>
              <w:pStyle w:val="Compact"/>
              <w:jc w:val="left"/>
            </w:pPr>
            <w:r>
              <w:t xml:space="preserve">较高（含DSP处理）</w:t>
            </w:r>
          </w:p>
        </w:tc>
        <w:tc>
          <w:tcPr/>
          <w:p>
            <w:pPr>
              <w:pStyle w:val="Compact"/>
              <w:jc w:val="left"/>
            </w:pPr>
            <w:r>
              <w:t xml:space="preserve">中等</w:t>
            </w:r>
          </w:p>
        </w:tc>
        <w:tc>
          <w:tcPr/>
          <w:p>
            <w:pPr>
              <w:pStyle w:val="Compact"/>
              <w:jc w:val="left"/>
            </w:pPr>
            <w:r>
              <w:t xml:space="preserve">极低（毫米级走线）</w:t>
            </w:r>
          </w:p>
        </w:tc>
        <w:tc>
          <w:tcPr/>
          <w:p>
            <w:pPr>
              <w:pStyle w:val="Compact"/>
              <w:jc w:val="left"/>
            </w:pPr>
            <w:r>
              <w:t xml:space="preserve">低（无DSP重定时）</w:t>
            </w:r>
          </w:p>
        </w:tc>
      </w:tr>
      <w:tr>
        <w:tc>
          <w:tcPr/>
          <w:p>
            <w:pPr>
              <w:pStyle w:val="Compact"/>
              <w:jc w:val="left"/>
            </w:pPr>
            <w:r>
              <w:rPr>
                <w:bCs/>
                <w:b/>
              </w:rPr>
              <w:t xml:space="preserve">可维护性</w:t>
            </w:r>
          </w:p>
        </w:tc>
        <w:tc>
          <w:tcPr/>
          <w:p>
            <w:pPr>
              <w:pStyle w:val="Compact"/>
              <w:jc w:val="left"/>
            </w:pPr>
            <w:r>
              <w:t xml:space="preserve">优秀（热插拔，12h修复）</w:t>
            </w:r>
          </w:p>
        </w:tc>
        <w:tc>
          <w:tcPr/>
          <w:p>
            <w:pPr>
              <w:pStyle w:val="Compact"/>
              <w:jc w:val="left"/>
            </w:pPr>
            <w:r>
              <w:t xml:space="preserve">中等（可独立换引擎）</w:t>
            </w:r>
          </w:p>
        </w:tc>
        <w:tc>
          <w:tcPr/>
          <w:p>
            <w:pPr>
              <w:pStyle w:val="Compact"/>
              <w:jc w:val="left"/>
            </w:pPr>
            <w:r>
              <w:t xml:space="preserve">较差（需换整块板卡，72h）</w:t>
            </w:r>
            <w:fldSimple w:instr="NOTEREF _Ref_Footnote_67 \h \f">
              <w:r>
                <w:rPr>
                  <w:vertAlign w:val="superscript"/>
                </w:rPr>
                <w:t>67</w:t>
              </w:r>
            </w:fldSimple>
          </w:p>
        </w:tc>
        <w:tc>
          <w:tcPr/>
          <w:p>
            <w:pPr>
              <w:pStyle w:val="Compact"/>
              <w:jc w:val="left"/>
            </w:pPr>
            <w:r>
              <w:t xml:space="preserve">优秀（热插拔）</w:t>
            </w:r>
          </w:p>
        </w:tc>
      </w:tr>
      <w:tr>
        <w:tc>
          <w:tcPr/>
          <w:p>
            <w:pPr>
              <w:pStyle w:val="Compact"/>
              <w:jc w:val="left"/>
            </w:pPr>
            <w:r>
              <w:rPr>
                <w:bCs/>
                <w:b/>
              </w:rPr>
              <w:t xml:space="preserve">商用成熟度</w:t>
            </w:r>
          </w:p>
        </w:tc>
        <w:tc>
          <w:tcPr/>
          <w:p>
            <w:pPr>
              <w:pStyle w:val="Compact"/>
              <w:jc w:val="left"/>
            </w:pPr>
            <w:r>
              <w:t xml:space="preserve">大规模量产</w:t>
            </w:r>
          </w:p>
        </w:tc>
        <w:tc>
          <w:tcPr/>
          <w:p>
            <w:pPr>
              <w:pStyle w:val="Compact"/>
              <w:jc w:val="left"/>
            </w:pPr>
            <w:r>
              <w:t xml:space="preserve">小批量商用</w:t>
            </w:r>
          </w:p>
        </w:tc>
        <w:tc>
          <w:tcPr/>
          <w:p>
            <w:pPr>
              <w:pStyle w:val="Compact"/>
              <w:jc w:val="left"/>
            </w:pPr>
            <w:r>
              <w:t xml:space="preserve">商业化元年（2025）</w:t>
            </w:r>
          </w:p>
        </w:tc>
        <w:tc>
          <w:tcPr/>
          <w:p>
            <w:pPr>
              <w:pStyle w:val="Compact"/>
              <w:jc w:val="left"/>
            </w:pPr>
            <w:r>
              <w:t xml:space="preserve">批量部署</w:t>
            </w:r>
          </w:p>
        </w:tc>
      </w:tr>
      <w:tr>
        <w:tc>
          <w:tcPr/>
          <w:p>
            <w:pPr>
              <w:pStyle w:val="Compact"/>
              <w:jc w:val="left"/>
            </w:pPr>
            <w:r>
              <w:rPr>
                <w:bCs/>
                <w:b/>
              </w:rPr>
              <w:t xml:space="preserve">商用时间</w:t>
            </w:r>
          </w:p>
        </w:tc>
        <w:tc>
          <w:tcPr/>
          <w:p>
            <w:pPr>
              <w:pStyle w:val="Compact"/>
              <w:jc w:val="left"/>
            </w:pPr>
            <w:r>
              <w:t xml:space="preserve">2022年（800G）</w:t>
            </w:r>
          </w:p>
        </w:tc>
        <w:tc>
          <w:tcPr/>
          <w:p>
            <w:pPr>
              <w:pStyle w:val="Compact"/>
              <w:jc w:val="left"/>
            </w:pPr>
            <w:r>
              <w:t xml:space="preserve">2025-2026年</w:t>
            </w:r>
          </w:p>
        </w:tc>
        <w:tc>
          <w:tcPr/>
          <w:p>
            <w:pPr>
              <w:pStyle w:val="Compact"/>
              <w:jc w:val="left"/>
            </w:pPr>
            <w:r>
              <w:t xml:space="preserve">2025年（小批）/ 2028年（规模）</w:t>
            </w:r>
          </w:p>
        </w:tc>
        <w:tc>
          <w:tcPr/>
          <w:p>
            <w:pPr>
              <w:pStyle w:val="Compact"/>
              <w:jc w:val="left"/>
            </w:pPr>
            <w:r>
              <w:t xml:space="preserve">2024-2025年</w:t>
            </w:r>
          </w:p>
        </w:tc>
      </w:tr>
      <w:tr>
        <w:tc>
          <w:tcPr/>
          <w:p>
            <w:pPr>
              <w:pStyle w:val="Compact"/>
              <w:jc w:val="left"/>
            </w:pPr>
            <w:r>
              <w:rPr>
                <w:bCs/>
                <w:b/>
              </w:rPr>
              <w:t xml:space="preserve">代表厂商</w:t>
            </w:r>
          </w:p>
        </w:tc>
        <w:tc>
          <w:tcPr/>
          <w:p>
            <w:pPr>
              <w:pStyle w:val="Compact"/>
              <w:jc w:val="left"/>
            </w:pPr>
            <w:r>
              <w:t xml:space="preserve">中际旭创、新易盛、Coherent</w:t>
            </w:r>
          </w:p>
        </w:tc>
        <w:tc>
          <w:tcPr/>
          <w:p>
            <w:pPr>
              <w:pStyle w:val="Compact"/>
              <w:jc w:val="left"/>
            </w:pPr>
            <w:r>
              <w:t xml:space="preserve">中际旭创、新易盛</w:t>
            </w:r>
          </w:p>
        </w:tc>
        <w:tc>
          <w:tcPr/>
          <w:p>
            <w:pPr>
              <w:pStyle w:val="Compact"/>
              <w:jc w:val="left"/>
            </w:pPr>
            <w:r>
              <w:t xml:space="preserve">英伟达、博通、Broadcom</w:t>
            </w:r>
          </w:p>
        </w:tc>
        <w:tc>
          <w:tcPr/>
          <w:p>
            <w:pPr>
              <w:pStyle w:val="Compact"/>
              <w:jc w:val="left"/>
            </w:pPr>
            <w:r>
              <w:t xml:space="preserve">新易盛、Macom</w:t>
            </w:r>
          </w:p>
        </w:tc>
      </w:tr>
      <w:tr>
        <w:tc>
          <w:tcPr/>
          <w:p>
            <w:pPr>
              <w:pStyle w:val="Compact"/>
              <w:jc w:val="left"/>
            </w:pPr>
            <w:r>
              <w:rPr>
                <w:bCs/>
                <w:b/>
              </w:rPr>
              <w:t xml:space="preserve">核心优势</w:t>
            </w:r>
          </w:p>
        </w:tc>
        <w:tc>
          <w:tcPr/>
          <w:p>
            <w:pPr>
              <w:pStyle w:val="Compact"/>
              <w:jc w:val="left"/>
            </w:pPr>
            <w:r>
              <w:t xml:space="preserve">标准化、易维护</w:t>
            </w:r>
          </w:p>
        </w:tc>
        <w:tc>
          <w:tcPr/>
          <w:p>
            <w:pPr>
              <w:pStyle w:val="Compact"/>
              <w:jc w:val="left"/>
            </w:pPr>
            <w:r>
              <w:t xml:space="preserve">兼容性好、功耗改善</w:t>
            </w:r>
          </w:p>
        </w:tc>
        <w:tc>
          <w:tcPr/>
          <w:p>
            <w:pPr>
              <w:pStyle w:val="Compact"/>
              <w:jc w:val="left"/>
            </w:pPr>
            <w:r>
              <w:t xml:space="preserve">功耗最低、带宽密度最高</w:t>
            </w:r>
          </w:p>
        </w:tc>
        <w:tc>
          <w:tcPr/>
          <w:p>
            <w:pPr>
              <w:pStyle w:val="Compact"/>
              <w:jc w:val="left"/>
            </w:pPr>
            <w:r>
              <w:t xml:space="preserve">低功耗低成本</w:t>
            </w:r>
          </w:p>
        </w:tc>
      </w:tr>
      <w:tr>
        <w:tc>
          <w:tcPr/>
          <w:p>
            <w:pPr>
              <w:pStyle w:val="Compact"/>
              <w:jc w:val="left"/>
            </w:pPr>
            <w:r>
              <w:rPr>
                <w:bCs/>
                <w:b/>
              </w:rPr>
              <w:t xml:space="preserve">核心劣势</w:t>
            </w:r>
          </w:p>
        </w:tc>
        <w:tc>
          <w:tcPr/>
          <w:p>
            <w:pPr>
              <w:pStyle w:val="Compact"/>
              <w:jc w:val="left"/>
            </w:pPr>
            <w:r>
              <w:t xml:space="preserve">功耗高、带宽密度受限</w:t>
            </w:r>
          </w:p>
        </w:tc>
        <w:tc>
          <w:tcPr/>
          <w:p>
            <w:pPr>
              <w:pStyle w:val="Compact"/>
              <w:jc w:val="left"/>
            </w:pPr>
            <w:r>
              <w:t xml:space="preserve">性能和成本介于两者之间</w:t>
            </w:r>
          </w:p>
        </w:tc>
        <w:tc>
          <w:tcPr/>
          <w:p>
            <w:pPr>
              <w:pStyle w:val="Compact"/>
              <w:jc w:val="left"/>
            </w:pPr>
            <w:r>
              <w:t xml:space="preserve">良率低（50-55%）、可维护性差</w:t>
            </w:r>
          </w:p>
        </w:tc>
        <w:tc>
          <w:tcPr/>
          <w:p>
            <w:pPr>
              <w:pStyle w:val="Compact"/>
              <w:jc w:val="left"/>
            </w:pPr>
            <w:r>
              <w:t xml:space="preserve">跨厂商互通待验证</w:t>
            </w:r>
          </w:p>
        </w:tc>
      </w:tr>
      <w:tr>
        <w:tc>
          <w:tcPr/>
          <w:p>
            <w:pPr>
              <w:pStyle w:val="Compact"/>
              <w:jc w:val="left"/>
            </w:pPr>
            <w:r>
              <w:rPr>
                <w:bCs/>
                <w:b/>
              </w:rPr>
              <w:t xml:space="preserve">适用场景</w:t>
            </w:r>
          </w:p>
        </w:tc>
        <w:tc>
          <w:tcPr/>
          <w:p>
            <w:pPr>
              <w:pStyle w:val="Compact"/>
              <w:jc w:val="left"/>
            </w:pPr>
            <w:r>
              <w:t xml:space="preserve">通用数据中心互联</w:t>
            </w:r>
          </w:p>
        </w:tc>
        <w:tc>
          <w:tcPr/>
          <w:p>
            <w:pPr>
              <w:pStyle w:val="Compact"/>
              <w:jc w:val="left"/>
            </w:pPr>
            <w:r>
              <w:t xml:space="preserve">高端数据中心过渡</w:t>
            </w:r>
          </w:p>
        </w:tc>
        <w:tc>
          <w:tcPr/>
          <w:p>
            <w:pPr>
              <w:pStyle w:val="Compact"/>
              <w:jc w:val="left"/>
            </w:pPr>
            <w:r>
              <w:t xml:space="preserve">AI超算、Scale-up网络</w:t>
            </w:r>
          </w:p>
        </w:tc>
        <w:tc>
          <w:tcPr/>
          <w:p>
            <w:pPr>
              <w:pStyle w:val="Compact"/>
              <w:jc w:val="left"/>
            </w:pPr>
            <w:r>
              <w:t xml:space="preserve">短距推理集群</w:t>
            </w:r>
          </w:p>
        </w:tc>
      </w:tr>
    </w:tbl>
    <w:p>
      <w:pPr>
        <w:pStyle w:val="BodyText"/>
      </w:pPr>
      <w:r>
        <w:t xml:space="preserve">上表清晰呈现了四条技术路线的差异化定位。从买方视角判断，</w:t>
      </w:r>
      <w:r>
        <w:rPr>
          <w:bCs/>
          <w:b/>
        </w:rPr>
        <w:t xml:space="preserve">可插拔模块在未来3-5年内不会被替代</w:t>
      </w:r>
      <w:r>
        <w:t xml:space="preserve">——CPO的可维护性瓶颈和成本倒挂问题在短期内难以根本解决，而NPO/LPO作为中间路线，恰好填补了CPO成熟度不足的市场空白。这意味着中际旭创、新易盛等以可插拔模块为主业的中国厂商，其业绩在2026-2028年仍有安全垫。但长期来看（2030年后），CPO凭借其功耗和带宽密度优势，终将主导高端AI数据中心，光模块厂商需提前布局CPO光引擎能力以应对技术代际切换。</w:t>
      </w:r>
    </w:p>
    <w:bookmarkEnd w:id="39"/>
    <w:bookmarkStart w:id="40" w:name="oio薄膜铌酸锂ocs前沿技术的trl评估"/>
    <w:p>
      <w:pPr>
        <w:pStyle w:val="Heading4"/>
      </w:pPr>
      <w:r>
        <w:t xml:space="preserve">2.2.6 OIO/薄膜铌酸锂/OCS：前沿技术的TRL评估</w:t>
      </w:r>
    </w:p>
    <w:p>
      <w:pPr>
        <w:pStyle w:val="FirstParagraph"/>
      </w:pPr>
      <w:r>
        <w:t xml:space="preserve">除上述四条已进入商用或准商用阶段的技术路线外，光互连领域还涌现出若干前沿方向，代表着行业的终极演进目标，但在3-5年内难以规模化部署。</w:t>
      </w:r>
    </w:p>
    <w:p>
      <w:pPr>
        <w:pStyle w:val="BodyText"/>
      </w:pPr>
      <w:r>
        <w:rPr>
          <w:bCs/>
          <w:b/>
        </w:rPr>
        <w:t xml:space="preserve">表2：前沿光互连技术成熟度评估（TRL）</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前沿技术</w:t>
            </w:r>
          </w:p>
        </w:tc>
        <w:tc>
          <w:tcPr/>
          <w:p>
            <w:pPr>
              <w:pStyle w:val="Compact"/>
              <w:jc w:val="left"/>
            </w:pPr>
            <w:r>
              <w:t xml:space="preserve">技术定位</w:t>
            </w:r>
          </w:p>
        </w:tc>
        <w:tc>
          <w:tcPr/>
          <w:p>
            <w:pPr>
              <w:pStyle w:val="Compact"/>
              <w:jc w:val="left"/>
            </w:pPr>
            <w:r>
              <w:t xml:space="preserve">TRL等级</w:t>
            </w:r>
          </w:p>
        </w:tc>
        <w:tc>
          <w:tcPr/>
          <w:p>
            <w:pPr>
              <w:pStyle w:val="Compact"/>
              <w:jc w:val="left"/>
            </w:pPr>
            <w:r>
              <w:t xml:space="preserve">预计商用时间</w:t>
            </w:r>
          </w:p>
        </w:tc>
        <w:tc>
          <w:tcPr/>
          <w:p>
            <w:pPr>
              <w:pStyle w:val="Compact"/>
              <w:jc w:val="left"/>
            </w:pPr>
            <w:r>
              <w:t xml:space="preserve">核心技术瓶颈</w:t>
            </w:r>
          </w:p>
        </w:tc>
        <w:tc>
          <w:tcPr/>
          <w:p>
            <w:pPr>
              <w:pStyle w:val="Compact"/>
              <w:jc w:val="left"/>
            </w:pPr>
            <w:r>
              <w:t xml:space="preserve">代表企业/机构</w:t>
            </w:r>
          </w:p>
        </w:tc>
      </w:tr>
      <w:tr>
        <w:tc>
          <w:tcPr/>
          <w:p>
            <w:pPr>
              <w:pStyle w:val="Compact"/>
              <w:jc w:val="left"/>
            </w:pPr>
            <w:r>
              <w:t xml:space="preserve">OIO（光学I/O）</w:t>
            </w:r>
          </w:p>
        </w:tc>
        <w:tc>
          <w:tcPr/>
          <w:p>
            <w:pPr>
              <w:pStyle w:val="Compact"/>
              <w:jc w:val="left"/>
            </w:pPr>
            <w:r>
              <w:t xml:space="preserve">芯片级光互连，替代电I/O</w:t>
            </w:r>
          </w:p>
        </w:tc>
        <w:tc>
          <w:tcPr/>
          <w:p>
            <w:pPr>
              <w:pStyle w:val="Compact"/>
              <w:jc w:val="left"/>
            </w:pPr>
            <w:r>
              <w:t xml:space="preserve">TRL 3-4（实验室验证）</w:t>
            </w:r>
          </w:p>
        </w:tc>
        <w:tc>
          <w:tcPr/>
          <w:p>
            <w:pPr>
              <w:pStyle w:val="Compact"/>
              <w:jc w:val="left"/>
            </w:pPr>
            <w:r>
              <w:t xml:space="preserve">2028-2030年</w:t>
            </w:r>
          </w:p>
        </w:tc>
        <w:tc>
          <w:tcPr/>
          <w:p>
            <w:pPr>
              <w:pStyle w:val="Compact"/>
              <w:jc w:val="left"/>
            </w:pPr>
            <w:r>
              <w:t xml:space="preserve">芯粒集成良率、封装精度（±0.3μm）</w:t>
            </w:r>
          </w:p>
        </w:tc>
        <w:tc>
          <w:tcPr/>
          <w:p>
            <w:pPr>
              <w:pStyle w:val="Compact"/>
              <w:jc w:val="left"/>
            </w:pPr>
            <w:r>
              <w:t xml:space="preserve">Ayar Labs、Lightmatter</w:t>
            </w:r>
            <w:r>
              <w:t xml:space="preserve"> </w:t>
            </w:r>
            <w:r>
              <w:rPr>
                <w:vertAlign w:val="superscript"/>
              </w:rPr>
              <w:footnoteReference w:id="78"/>
            </w:r>
          </w:p>
        </w:tc>
      </w:tr>
      <w:tr>
        <w:tc>
          <w:tcPr/>
          <w:p>
            <w:pPr>
              <w:pStyle w:val="Compact"/>
              <w:jc w:val="left"/>
            </w:pPr>
            <w:r>
              <w:t xml:space="preserve">薄膜铌酸锂（TFLN）</w:t>
            </w:r>
          </w:p>
        </w:tc>
        <w:tc>
          <w:tcPr/>
          <w:p>
            <w:pPr>
              <w:pStyle w:val="Compact"/>
              <w:jc w:val="left"/>
            </w:pPr>
            <w:r>
              <w:t xml:space="preserve">超高带宽调制器（110 GHz+）</w:t>
            </w:r>
          </w:p>
        </w:tc>
        <w:tc>
          <w:tcPr/>
          <w:p>
            <w:pPr>
              <w:pStyle w:val="Compact"/>
              <w:jc w:val="left"/>
            </w:pPr>
            <w:r>
              <w:t xml:space="preserve">TRL 5-6（原型验证）</w:t>
            </w:r>
          </w:p>
        </w:tc>
        <w:tc>
          <w:tcPr/>
          <w:p>
            <w:pPr>
              <w:pStyle w:val="Compact"/>
              <w:jc w:val="left"/>
            </w:pPr>
            <w:r>
              <w:t xml:space="preserve">2026-2027年</w:t>
            </w:r>
          </w:p>
        </w:tc>
        <w:tc>
          <w:tcPr/>
          <w:p>
            <w:pPr>
              <w:pStyle w:val="Compact"/>
              <w:jc w:val="left"/>
            </w:pPr>
            <w:r>
              <w:t xml:space="preserve">量产工艺不成熟、成本高昂</w:t>
            </w:r>
          </w:p>
        </w:tc>
        <w:tc>
          <w:tcPr/>
          <w:p>
            <w:pPr>
              <w:pStyle w:val="Compact"/>
              <w:jc w:val="left"/>
            </w:pPr>
            <w:r>
              <w:t xml:space="preserve">光库科技、HyperLight</w:t>
            </w:r>
            <w:r>
              <w:t xml:space="preserve"> </w:t>
            </w:r>
            <w:r>
              <w:rPr>
                <w:vertAlign w:val="superscript"/>
              </w:rPr>
              <w:footnoteReference w:id="79"/>
            </w:r>
          </w:p>
        </w:tc>
      </w:tr>
      <w:tr>
        <w:tc>
          <w:tcPr/>
          <w:p>
            <w:pPr>
              <w:pStyle w:val="Compact"/>
              <w:jc w:val="left"/>
            </w:pPr>
            <w:r>
              <w:t xml:space="preserve">OCS（光电路交换）</w:t>
            </w:r>
          </w:p>
        </w:tc>
        <w:tc>
          <w:tcPr/>
          <w:p>
            <w:pPr>
              <w:pStyle w:val="Compact"/>
              <w:jc w:val="left"/>
            </w:pPr>
            <w:r>
              <w:t xml:space="preserve">MEMS镜面光路重定向，零延迟交换</w:t>
            </w:r>
          </w:p>
        </w:tc>
        <w:tc>
          <w:tcPr/>
          <w:p>
            <w:pPr>
              <w:pStyle w:val="Compact"/>
              <w:jc w:val="left"/>
            </w:pPr>
            <w:r>
              <w:t xml:space="preserve">TRL 6-7（系统验证）</w:t>
            </w:r>
          </w:p>
        </w:tc>
        <w:tc>
          <w:tcPr/>
          <w:p>
            <w:pPr>
              <w:pStyle w:val="Compact"/>
              <w:jc w:val="left"/>
            </w:pPr>
            <w:r>
              <w:t xml:space="preserve">2027-2028年</w:t>
            </w:r>
          </w:p>
        </w:tc>
        <w:tc>
          <w:tcPr/>
          <w:p>
            <w:pPr>
              <w:pStyle w:val="Compact"/>
              <w:jc w:val="left"/>
            </w:pPr>
            <w:r>
              <w:t xml:space="preserve">MEMS可靠性、规模化部署成本</w:t>
            </w:r>
          </w:p>
        </w:tc>
        <w:tc>
          <w:tcPr/>
          <w:p>
            <w:pPr>
              <w:pStyle w:val="Compact"/>
              <w:jc w:val="left"/>
            </w:pPr>
            <w:r>
              <w:t xml:space="preserve">Lumentum、Google</w:t>
            </w:r>
            <w:r>
              <w:t xml:space="preserve"> </w:t>
            </w:r>
            <w:r>
              <w:rPr>
                <w:vertAlign w:val="superscript"/>
              </w:rPr>
              <w:footnoteReference w:id="80"/>
            </w:r>
          </w:p>
        </w:tc>
      </w:tr>
      <w:tr>
        <w:tc>
          <w:tcPr/>
          <w:p>
            <w:pPr>
              <w:pStyle w:val="Compact"/>
              <w:jc w:val="left"/>
            </w:pPr>
            <w:r>
              <w:t xml:space="preserve">空芯光纤</w:t>
            </w:r>
          </w:p>
        </w:tc>
        <w:tc>
          <w:tcPr/>
          <w:p>
            <w:pPr>
              <w:pStyle w:val="Compact"/>
              <w:jc w:val="left"/>
            </w:pPr>
            <w:r>
              <w:t xml:space="preserve">传输速度提升47%，延迟降低31%</w:t>
            </w:r>
          </w:p>
        </w:tc>
        <w:tc>
          <w:tcPr/>
          <w:p>
            <w:pPr>
              <w:pStyle w:val="Compact"/>
              <w:jc w:val="left"/>
            </w:pPr>
            <w:r>
              <w:t xml:space="preserve">TRL 5-6（试点部署）</w:t>
            </w:r>
          </w:p>
        </w:tc>
        <w:tc>
          <w:tcPr/>
          <w:p>
            <w:pPr>
              <w:pStyle w:val="Compact"/>
              <w:jc w:val="left"/>
            </w:pPr>
            <w:r>
              <w:t xml:space="preserve">2027-2029年</w:t>
            </w:r>
          </w:p>
        </w:tc>
        <w:tc>
          <w:tcPr/>
          <w:p>
            <w:pPr>
              <w:pStyle w:val="Compact"/>
              <w:jc w:val="left"/>
            </w:pPr>
            <w:r>
              <w:t xml:space="preserve">制造成本高、连接件配套不足</w:t>
            </w:r>
          </w:p>
        </w:tc>
        <w:tc>
          <w:tcPr/>
          <w:p>
            <w:pPr>
              <w:pStyle w:val="Compact"/>
              <w:jc w:val="left"/>
            </w:pPr>
            <w:r>
              <w:t xml:space="preserve">康宁、微软</w:t>
            </w:r>
            <w:r>
              <w:t xml:space="preserve"> </w:t>
            </w:r>
            <w:r>
              <w:rPr>
                <w:vertAlign w:val="superscript"/>
              </w:rPr>
              <w:footnoteReference w:id="81"/>
            </w:r>
          </w:p>
        </w:tc>
      </w:tr>
      <w:tr>
        <w:tc>
          <w:tcPr/>
          <w:p>
            <w:pPr>
              <w:pStyle w:val="Compact"/>
              <w:jc w:val="left"/>
            </w:pPr>
            <w:r>
              <w:t xml:space="preserve">CPO for Scale-up</w:t>
            </w:r>
          </w:p>
        </w:tc>
        <w:tc>
          <w:tcPr/>
          <w:p>
            <w:pPr>
              <w:pStyle w:val="Compact"/>
              <w:jc w:val="left"/>
            </w:pPr>
            <w:r>
              <w:t xml:space="preserve">NVLink域内光互连（突破铜缆2米限制）</w:t>
            </w:r>
          </w:p>
        </w:tc>
        <w:tc>
          <w:tcPr/>
          <w:p>
            <w:pPr>
              <w:pStyle w:val="Compact"/>
              <w:jc w:val="left"/>
            </w:pPr>
            <w:r>
              <w:t xml:space="preserve">TRL 4-5（关键验证）</w:t>
            </w:r>
          </w:p>
        </w:tc>
        <w:tc>
          <w:tcPr/>
          <w:p>
            <w:pPr>
              <w:pStyle w:val="Compact"/>
              <w:jc w:val="left"/>
            </w:pPr>
            <w:r>
              <w:t xml:space="preserve">2028-2029年</w:t>
            </w:r>
          </w:p>
        </w:tc>
        <w:tc>
          <w:tcPr/>
          <w:p>
            <w:pPr>
              <w:pStyle w:val="Compact"/>
              <w:jc w:val="left"/>
            </w:pPr>
            <w:r>
              <w:t xml:space="preserve">与NVLink协议兼容性、封装热管理</w:t>
            </w:r>
          </w:p>
        </w:tc>
        <w:tc>
          <w:tcPr/>
          <w:p>
            <w:pPr>
              <w:pStyle w:val="Compact"/>
              <w:jc w:val="left"/>
            </w:pPr>
            <w:r>
              <w:t xml:space="preserve">英伟达、博通</w:t>
            </w:r>
            <w:r>
              <w:t xml:space="preserve"> </w:t>
            </w:r>
            <w:fldSimple w:instr="NOTEREF _Ref_Footnote_58 \h \f">
              <w:r>
                <w:rPr>
                  <w:vertAlign w:val="superscript"/>
                </w:rPr>
                <w:t>58</w:t>
              </w:r>
            </w:fldSimple>
          </w:p>
        </w:tc>
      </w:tr>
    </w:tbl>
    <w:p>
      <w:pPr>
        <w:pStyle w:val="BodyText"/>
      </w:pPr>
      <w:r>
        <w:rPr>
          <w:iCs/>
          <w:i/>
        </w:rPr>
        <w:t xml:space="preserve">注：TRL（Technology Readiness Level，技术就绪度等级）按NASA标准划分，TRL 1-3为概念/实验室阶段，TRL 4-6为原型/验证阶段，TRL 7-9为系统测试/量产阶段。</w:t>
      </w:r>
    </w:p>
    <w:p>
      <w:pPr>
        <w:pStyle w:val="BodyText"/>
      </w:pPr>
      <w:r>
        <w:t xml:space="preserve">上表所列前沿技术的共同特征是：技术原理已获验证，但距离规模化商用仍面临良率、成本或生态的制约。以OIO为例，Ayar Labs已完成5亿美元E轮融资（总融资8.7亿美元，估值37.5亿美元）</w:t>
      </w:r>
      <w:fldSimple w:instr="NOTEREF _Ref_Footnote_74 \h \f">
        <w:r>
          <w:rPr>
            <w:vertAlign w:val="superscript"/>
          </w:rPr>
          <w:t>74</w:t>
        </w:r>
      </w:fldSimple>
      <w:r>
        <w:t xml:space="preserve">，其TeraPHY芯粒实现8.192 Tbps双向带宽，但量产时间表仍需2-3年。OCS方面，Lumentum的OCS订单积压已超过4亿美元，Cignal AI预测OCS交换机市场2029年将达至少25亿美元</w:t>
      </w:r>
      <w:r>
        <w:t xml:space="preserve"> </w:t>
      </w:r>
      <w:fldSimple w:instr="NOTEREF _Ref_Footnote_80 \h \f">
        <w:r>
          <w:rPr>
            <w:vertAlign w:val="superscript"/>
          </w:rPr>
          <w:t>80</w:t>
        </w:r>
      </w:fldSimple>
      <w:r>
        <w:t xml:space="preserve">——OCS从Google内部验证走向开放商业化的趋势已较为明确。薄膜铌酸锂调制器凭借110 GHz以上的超高带宽，被视为1.6T/3.2T时代的关键材料</w:t>
      </w:r>
      <w:r>
        <w:t xml:space="preserve"> </w:t>
      </w:r>
      <w:fldSimple w:instr="NOTEREF _Ref_Footnote_79 \h \f">
        <w:r>
          <w:rPr>
            <w:vertAlign w:val="superscript"/>
          </w:rPr>
          <w:t>79</w:t>
        </w:r>
      </w:fldSimple>
      <w:r>
        <w:t xml:space="preserve">，光库科技是国内唯一实现批量生产的企业，全球市占率25-40%</w:t>
      </w:r>
      <w:r>
        <w:t xml:space="preserve"> </w:t>
      </w:r>
      <w:r>
        <w:rPr>
          <w:vertAlign w:val="superscript"/>
        </w:rPr>
        <w:footnoteReference w:id="82"/>
      </w:r>
      <w:r>
        <w:t xml:space="preserve">。</w:t>
      </w:r>
    </w:p>
    <w:p>
      <w:pPr>
        <w:pStyle w:val="BodyText"/>
      </w:pPr>
      <w:r>
        <w:t xml:space="preserve">对投资者而言，前沿技术的价值在于</w:t>
      </w:r>
      <w:r>
        <w:rPr>
          <w:bCs/>
          <w:b/>
        </w:rPr>
        <w:t xml:space="preserve">判断终局方向</w:t>
      </w:r>
      <w:r>
        <w:t xml:space="preserve">——CPO必须依赖硅光、OIO是芯片级光互连的终极形态、OCS可能在超大规模集群中替代传统电交换——而非短期业绩贡献。这些技术路线的演进节奏将直接影响对光模块行业长期竞争格局的判断。</w:t>
      </w:r>
    </w:p>
    <w:bookmarkEnd w:id="40"/>
    <w:bookmarkEnd w:id="41"/>
    <w:bookmarkStart w:id="49" w:name="需求侧分析"/>
    <w:p>
      <w:pPr>
        <w:pStyle w:val="Heading3"/>
      </w:pPr>
      <w:r>
        <w:t xml:space="preserve">2.3 需求侧分析</w:t>
      </w:r>
    </w:p>
    <w:bookmarkStart w:id="42" w:name="ai训练集群需求万卡十万卡架构驱动"/>
    <w:p>
      <w:pPr>
        <w:pStyle w:val="Heading4"/>
      </w:pPr>
      <w:r>
        <w:t xml:space="preserve">2.3.1 AI训练集群需求：万卡/十万卡架构驱动</w:t>
      </w:r>
    </w:p>
    <w:p>
      <w:pPr>
        <w:pStyle w:val="FirstParagraph"/>
      </w:pPr>
      <w:r>
        <w:t xml:space="preserve">AI大模型训练对算力的需求呈指数级增长，参数规模每两年扩展约100倍，而网络互联带宽仅增长约1.4倍，</w:t>
      </w:r>
      <w:r>
        <w:t xml:space="preserve">“</w:t>
      </w:r>
      <w:r>
        <w:t xml:space="preserve">算力-带宽</w:t>
      </w:r>
      <w:r>
        <w:t xml:space="preserve">”</w:t>
      </w:r>
      <w:r>
        <w:t xml:space="preserve">剪刀差持续扩大</w:t>
      </w:r>
      <w:r>
        <w:t xml:space="preserve"> </w:t>
      </w:r>
      <w:r>
        <w:rPr>
          <w:vertAlign w:val="superscript"/>
        </w:rPr>
        <w:footnoteReference w:id="83"/>
      </w:r>
      <w:r>
        <w:t xml:space="preserve">。万卡乃至十万卡GPU集群已成为训练前沿大模型的标准配置。英伟达架构从GB200→GB300→Rubin的演进直接驱动光模块速率升级：GB200采用CX7网卡和400G IB网络；GB300升级至CX8网卡、Quantum-X800交换机（144个800G端口），GPU与800G/1.6T光模块配比可达1:1:2.5</w:t>
      </w:r>
      <w:r>
        <w:t xml:space="preserve"> </w:t>
      </w:r>
      <w:r>
        <w:rPr>
          <w:vertAlign w:val="superscript"/>
        </w:rPr>
        <w:footnoteReference w:id="84"/>
      </w:r>
      <w:r>
        <w:t xml:space="preserve"> </w:t>
      </w:r>
      <w:r>
        <w:rPr>
          <w:vertAlign w:val="superscript"/>
        </w:rPr>
        <w:footnoteReference w:id="85"/>
      </w:r>
      <w:r>
        <w:t xml:space="preserve">；即将于2026年推出的Rubin架构则计划采用3.2T光模块</w:t>
      </w:r>
      <w:r>
        <w:t xml:space="preserve"> </w:t>
      </w:r>
      <w:r>
        <w:rPr>
          <w:vertAlign w:val="superscript"/>
        </w:rPr>
        <w:footnoteReference w:id="86"/>
      </w:r>
      <w:r>
        <w:t xml:space="preserve">。</w:t>
      </w:r>
    </w:p>
    <w:p>
      <w:pPr>
        <w:pStyle w:val="BodyText"/>
      </w:pPr>
      <w:r>
        <w:t xml:space="preserve">值得注意的是，不同GPU架构对光模块的需求量差异巨大。英伟达NVL72利用NVLink铜缆实现机架内72颗GPU全互连，机柜内部零光模块，每个NVL72对外仅需16-32个800G/1.6T光模块</w:t>
      </w:r>
      <w:r>
        <w:t xml:space="preserve"> </w:t>
      </w:r>
      <w:r>
        <w:rPr>
          <w:vertAlign w:val="superscript"/>
        </w:rPr>
        <w:footnoteReference w:id="87"/>
      </w:r>
      <w:r>
        <w:t xml:space="preserve">。而谷歌TPU v7（Ironwood）采用”出芯片即光”架构，光模块用量保守估计是NVL72的10倍以上</w:t>
      </w:r>
      <w:r>
        <w:t xml:space="preserve"> </w:t>
      </w:r>
      <w:fldSimple w:instr="NOTEREF _Ref_Footnote_87 \h \f">
        <w:r>
          <w:rPr>
            <w:vertAlign w:val="superscript"/>
          </w:rPr>
          <w:t>87</w:t>
        </w:r>
      </w:fldSimple>
      <w:r>
        <w:t xml:space="preserve">。随着更多云厂商采用类TPU的全光架构，单集群光模块需求量将持续攀升。</w:t>
      </w:r>
    </w:p>
    <w:bookmarkEnd w:id="42"/>
    <w:bookmarkStart w:id="43" w:name="ai推理集群需求推理密度是训练的3-5倍"/>
    <w:p>
      <w:pPr>
        <w:pStyle w:val="Heading4"/>
      </w:pPr>
      <w:r>
        <w:t xml:space="preserve">2.3.2 AI推理集群需求：推理密度是训练的3-5倍</w:t>
      </w:r>
    </w:p>
    <w:p>
      <w:pPr>
        <w:pStyle w:val="FirstParagraph"/>
      </w:pPr>
      <w:r>
        <w:t xml:space="preserve">AI产业已形成”技术迭代→成本降低→应用推广→推理需求爆发→Token数增长→模型加速迭代”的正向循环</w:t>
      </w:r>
      <w:r>
        <w:t xml:space="preserve"> </w:t>
      </w:r>
      <w:r>
        <w:rPr>
          <w:vertAlign w:val="superscript"/>
        </w:rPr>
        <w:footnoteReference w:id="88"/>
      </w:r>
      <w:r>
        <w:t xml:space="preserve">。推理阶段对光模块的需求密度可达训练阶段的3-5倍</w:t>
      </w:r>
      <w:r>
        <w:t xml:space="preserve"> </w:t>
      </w:r>
      <w:fldSimple w:instr="NOTEREF _Ref_Footnote_25 \h \f">
        <w:r>
          <w:rPr>
            <w:vertAlign w:val="superscript"/>
          </w:rPr>
          <w:t>25</w:t>
        </w:r>
      </w:fldSimple>
      <w:r>
        <w:t xml:space="preserve"> </w:t>
      </w:r>
      <w:r>
        <w:rPr>
          <w:vertAlign w:val="superscript"/>
        </w:rPr>
        <w:footnoteReference w:id="89"/>
      </w:r>
      <w:r>
        <w:t xml:space="preserve">，核心原因在于：推理集群更分散、节点更多，需要低延迟响应和灵活扩展能力</w:t>
      </w:r>
      <w:r>
        <w:t xml:space="preserve"> </w:t>
      </w:r>
      <w:fldSimple w:instr="NOTEREF _Ref_Footnote_83 \h \f">
        <w:r>
          <w:rPr>
            <w:vertAlign w:val="superscript"/>
          </w:rPr>
          <w:t>83</w:t>
        </w:r>
      </w:fldSimple>
      <w:r>
        <w:t xml:space="preserve">。此外，推理工作负载占AI总工作负载的比例预计从2023年的约20%上升至2030年的80%</w:t>
      </w:r>
      <w:r>
        <w:t xml:space="preserve"> </w:t>
      </w:r>
      <w:fldSimple w:instr="NOTEREF _Ref_Footnote_25 \h \f">
        <w:r>
          <w:rPr>
            <w:vertAlign w:val="superscript"/>
          </w:rPr>
          <w:t>25</w:t>
        </w:r>
      </w:fldSimple>
      <w:r>
        <w:t xml:space="preserve">，推理需求将逐步取代训练成为光模块需求的最大来源。</w:t>
      </w:r>
    </w:p>
    <w:p>
      <w:pPr>
        <w:pStyle w:val="BodyText"/>
      </w:pPr>
      <w:r>
        <w:t xml:space="preserve">推理集群广泛采用以太网架构（而非InfiniBand）</w:t>
      </w:r>
      <w:r>
        <w:rPr>
          <w:vertAlign w:val="superscript"/>
        </w:rPr>
        <w:footnoteReference w:id="90"/>
      </w:r>
      <w:r>
        <w:t xml:space="preserve">，这与LPO方案的技术特征形成完美匹配——LPO低功耗、低成本、适配短距以太网互联的优势在推理场景中得到最大化释放。新易盛凭借在LPO领域约75%的市占率</w:t>
      </w:r>
      <w:r>
        <w:t xml:space="preserve"> </w:t>
      </w:r>
      <w:fldSimple w:instr="NOTEREF _Ref_Footnote_27 \h \f">
        <w:r>
          <w:rPr>
            <w:vertAlign w:val="superscript"/>
          </w:rPr>
          <w:t>27</w:t>
        </w:r>
      </w:fldSimple>
      <w:r>
        <w:t xml:space="preserve">，在推理时代拥有比中际旭创更精准的技术卡位。</w:t>
      </w:r>
    </w:p>
    <w:bookmarkEnd w:id="43"/>
    <w:bookmarkStart w:id="47" w:name="云厂商capex需求的核心驱动力"/>
    <w:p>
      <w:pPr>
        <w:pStyle w:val="Heading4"/>
      </w:pPr>
      <w:r>
        <w:t xml:space="preserve">2.3.3 云厂商CAPEX：需求的核心驱动力</w:t>
      </w:r>
    </w:p>
    <w:p>
      <w:pPr>
        <w:pStyle w:val="CaptionedFigure"/>
      </w:pPr>
      <w:r>
        <w:drawing>
          <wp:inline>
            <wp:extent cx="5334000" cy="2872846"/>
            <wp:effectExtent b="0" l="0" r="0" t="0"/>
            <wp:docPr descr="北美四大云厂商资本开支趋势" title="" id="45" name="Picture"/>
            <a:graphic>
              <a:graphicData uri="http://schemas.openxmlformats.org/drawingml/2006/picture">
                <pic:pic>
                  <pic:nvPicPr>
                    <pic:cNvPr descr="fig_sec02_capex_trend.png" id="46" name="Picture"/>
                    <pic:cNvPicPr>
                      <a:picLocks noChangeArrowheads="1" noChangeAspect="1"/>
                    </pic:cNvPicPr>
                  </pic:nvPicPr>
                  <pic:blipFill>
                    <a:blip r:embed="rId44"/>
                    <a:stretch>
                      <a:fillRect/>
                    </a:stretch>
                  </pic:blipFill>
                  <pic:spPr bwMode="auto">
                    <a:xfrm>
                      <a:off x="0" y="0"/>
                      <a:ext cx="5334000" cy="2872846"/>
                    </a:xfrm>
                    <a:prstGeom prst="rect">
                      <a:avLst/>
                    </a:prstGeom>
                    <a:noFill/>
                    <a:ln w="9525">
                      <a:noFill/>
                      <a:headEnd/>
                      <a:tailEnd/>
                    </a:ln>
                  </pic:spPr>
                </pic:pic>
              </a:graphicData>
            </a:graphic>
          </wp:inline>
        </w:drawing>
      </w:r>
    </w:p>
    <w:p>
      <w:pPr>
        <w:pStyle w:val="ImageCaption"/>
      </w:pPr>
      <w:r>
        <w:t xml:space="preserve">北美四大云厂商资本开支趋势</w:t>
      </w:r>
    </w:p>
    <w:p>
      <w:pPr>
        <w:pStyle w:val="BodyText"/>
      </w:pPr>
      <w:r>
        <w:t xml:space="preserve">云厂商资本开支是光模块需求的直接映射。2025年Q1，微软、谷歌、亚马逊、Meta四大北美云厂商合计资本开支达1{,}186亿美元，同比增长64%</w:t>
      </w:r>
      <w:r>
        <w:t xml:space="preserve"> </w:t>
      </w:r>
      <w:fldSimple w:instr="NOTEREF _Ref_Footnote_54 \h \f">
        <w:r>
          <w:rPr>
            <w:vertAlign w:val="superscript"/>
          </w:rPr>
          <w:t>54</w:t>
        </w:r>
      </w:fldSimple>
      <w:r>
        <w:t xml:space="preserve">。全年指引来看，四大厂商2025年合计资本开支约3{,}400-3{,}900亿美元</w:t>
      </w:r>
      <w:r>
        <w:t xml:space="preserve"> </w:t>
      </w:r>
      <w:fldSimple w:instr="NOTEREF _Ref_Footnote_17 \h \f">
        <w:r>
          <w:rPr>
            <w:vertAlign w:val="superscript"/>
          </w:rPr>
          <w:t>17</w:t>
        </w:r>
      </w:fldSimple>
      <w:r>
        <w:t xml:space="preserve"> </w:t>
      </w:r>
      <w:fldSimple w:instr="NOTEREF _Ref_Footnote_18 \h \f">
        <w:r>
          <w:rPr>
            <w:vertAlign w:val="superscript"/>
          </w:rPr>
          <w:t>18</w:t>
        </w:r>
      </w:fldSimple>
      <w:r>
        <w:t xml:space="preserve">，2026年预计进一步攀升至5{,}750-8{,}000亿美元（美银证券预测超8{,}000亿美元</w:t>
      </w:r>
      <w:r>
        <w:t xml:space="preserve"> </w:t>
      </w:r>
      <w:fldSimple w:instr="NOTEREF _Ref_Footnote_19 \h \f">
        <w:r>
          <w:rPr>
            <w:vertAlign w:val="superscript"/>
          </w:rPr>
          <w:t>19</w:t>
        </w:r>
      </w:fldSimple>
      <w:r>
        <w:t xml:space="preserve">），同比增长67-77%。</w:t>
      </w:r>
    </w:p>
    <w:p>
      <w:pPr>
        <w:pStyle w:val="BodyText"/>
      </w:pPr>
      <w:r>
        <w:rPr>
          <w:bCs/>
          <w:b/>
        </w:rPr>
        <w:t xml:space="preserve">表3：北美四大云厂商资本开支趋势（2023-2027E）</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云厂商</w:t>
            </w:r>
          </w:p>
        </w:tc>
        <w:tc>
          <w:tcPr/>
          <w:p>
            <w:pPr>
              <w:pStyle w:val="Compact"/>
              <w:jc w:val="right"/>
            </w:pPr>
            <w:r>
              <w:t xml:space="preserve">2023年</w:t>
            </w:r>
          </w:p>
        </w:tc>
        <w:tc>
          <w:tcPr/>
          <w:p>
            <w:pPr>
              <w:pStyle w:val="Compact"/>
              <w:jc w:val="right"/>
            </w:pPr>
            <w:r>
              <w:t xml:space="preserve">2024年</w:t>
            </w:r>
          </w:p>
        </w:tc>
        <w:tc>
          <w:tcPr/>
          <w:p>
            <w:pPr>
              <w:pStyle w:val="Compact"/>
              <w:jc w:val="right"/>
            </w:pPr>
            <w:r>
              <w:t xml:space="preserve">2025E</w:t>
            </w:r>
          </w:p>
        </w:tc>
        <w:tc>
          <w:tcPr/>
          <w:p>
            <w:pPr>
              <w:pStyle w:val="Compact"/>
              <w:jc w:val="right"/>
            </w:pPr>
            <w:r>
              <w:t xml:space="preserve">2026E</w:t>
            </w:r>
          </w:p>
        </w:tc>
        <w:tc>
          <w:tcPr/>
          <w:p>
            <w:pPr>
              <w:pStyle w:val="Compact"/>
              <w:jc w:val="right"/>
            </w:pPr>
            <w:r>
              <w:t xml:space="preserve">2027E</w:t>
            </w:r>
          </w:p>
        </w:tc>
        <w:tc>
          <w:tcPr/>
          <w:p>
            <w:pPr>
              <w:pStyle w:val="Compact"/>
              <w:jc w:val="left"/>
            </w:pPr>
            <w:r>
              <w:t xml:space="preserve">核心驱动</w:t>
            </w:r>
          </w:p>
        </w:tc>
      </w:tr>
      <w:tr>
        <w:tc>
          <w:tcPr/>
          <w:p>
            <w:pPr>
              <w:pStyle w:val="Compact"/>
              <w:jc w:val="left"/>
            </w:pPr>
            <w:r>
              <w:t xml:space="preserve">Amazon</w:t>
            </w:r>
          </w:p>
        </w:tc>
        <w:tc>
          <w:tcPr/>
          <w:p>
            <w:pPr>
              <w:pStyle w:val="Compact"/>
              <w:jc w:val="right"/>
            </w:pPr>
            <w:r>
              <w:t xml:space="preserve">520</w:t>
            </w:r>
          </w:p>
        </w:tc>
        <w:tc>
          <w:tcPr/>
          <w:p>
            <w:pPr>
              <w:pStyle w:val="Compact"/>
              <w:jc w:val="right"/>
            </w:pPr>
            <w:r>
              <w:t xml:space="preserve">770</w:t>
            </w:r>
          </w:p>
        </w:tc>
        <w:tc>
          <w:tcPr/>
          <w:p>
            <w:pPr>
              <w:pStyle w:val="Compact"/>
              <w:jc w:val="right"/>
            </w:pPr>
            <w:r>
              <w:t xml:space="preserve">1{,}250</w:t>
            </w:r>
            <w:r>
              <w:t xml:space="preserve"> </w:t>
            </w:r>
            <w:fldSimple w:instr="NOTEREF _Ref_Footnote_17 \h \f">
              <w:r>
                <w:rPr>
                  <w:vertAlign w:val="superscript"/>
                </w:rPr>
                <w:t>17</w:t>
              </w:r>
            </w:fldSimple>
          </w:p>
        </w:tc>
        <w:tc>
          <w:tcPr/>
          <w:p>
            <w:pPr>
              <w:pStyle w:val="Compact"/>
              <w:jc w:val="right"/>
            </w:pPr>
            <w:r>
              <w:t xml:space="preserve">2{,}000</w:t>
            </w:r>
          </w:p>
        </w:tc>
        <w:tc>
          <w:tcPr/>
          <w:p>
            <w:pPr>
              <w:pStyle w:val="Compact"/>
              <w:jc w:val="right"/>
            </w:pPr>
            <w:r>
              <w:t xml:space="preserve">~2{,}500</w:t>
            </w:r>
          </w:p>
        </w:tc>
        <w:tc>
          <w:tcPr/>
          <w:p>
            <w:pPr>
              <w:pStyle w:val="Compact"/>
              <w:jc w:val="left"/>
            </w:pPr>
            <w:r>
              <w:t xml:space="preserve">AWS AI服务+自研Trainium芯片</w:t>
            </w:r>
          </w:p>
        </w:tc>
      </w:tr>
      <w:tr>
        <w:tc>
          <w:tcPr/>
          <w:p>
            <w:pPr>
              <w:pStyle w:val="Compact"/>
              <w:jc w:val="left"/>
            </w:pPr>
            <w:r>
              <w:t xml:space="preserve">Microsoft</w:t>
            </w:r>
          </w:p>
        </w:tc>
        <w:tc>
          <w:tcPr/>
          <w:p>
            <w:pPr>
              <w:pStyle w:val="Compact"/>
              <w:jc w:val="right"/>
            </w:pPr>
            <w:r>
              <w:t xml:space="preserve">440</w:t>
            </w:r>
          </w:p>
        </w:tc>
        <w:tc>
          <w:tcPr/>
          <w:p>
            <w:pPr>
              <w:pStyle w:val="Compact"/>
              <w:jc w:val="right"/>
            </w:pPr>
            <w:r>
              <w:t xml:space="preserve">660</w:t>
            </w:r>
          </w:p>
        </w:tc>
        <w:tc>
          <w:tcPr/>
          <w:p>
            <w:pPr>
              <w:pStyle w:val="Compact"/>
              <w:jc w:val="right"/>
            </w:pPr>
            <w:r>
              <w:t xml:space="preserve">882</w:t>
            </w:r>
            <w:r>
              <w:t xml:space="preserve"> </w:t>
            </w:r>
            <w:fldSimple w:instr="NOTEREF _Ref_Footnote_22 \h \f">
              <w:r>
                <w:rPr>
                  <w:vertAlign w:val="superscript"/>
                </w:rPr>
                <w:t>22</w:t>
              </w:r>
            </w:fldSimple>
          </w:p>
        </w:tc>
        <w:tc>
          <w:tcPr/>
          <w:p>
            <w:pPr>
              <w:pStyle w:val="Compact"/>
              <w:jc w:val="right"/>
            </w:pPr>
            <w:r>
              <w:t xml:space="preserve">1{,}400</w:t>
            </w:r>
          </w:p>
        </w:tc>
        <w:tc>
          <w:tcPr/>
          <w:p>
            <w:pPr>
              <w:pStyle w:val="Compact"/>
              <w:jc w:val="right"/>
            </w:pPr>
            <w:r>
              <w:t xml:space="preserve">~1{,}700</w:t>
            </w:r>
          </w:p>
        </w:tc>
        <w:tc>
          <w:tcPr/>
          <w:p>
            <w:pPr>
              <w:pStyle w:val="Compact"/>
              <w:jc w:val="left"/>
            </w:pPr>
            <w:r>
              <w:t xml:space="preserve">Azure OpenAI+Copilot生态</w:t>
            </w:r>
          </w:p>
        </w:tc>
      </w:tr>
      <w:tr>
        <w:tc>
          <w:tcPr/>
          <w:p>
            <w:pPr>
              <w:pStyle w:val="Compact"/>
              <w:jc w:val="left"/>
            </w:pPr>
            <w:r>
              <w:t xml:space="preserve">Google</w:t>
            </w:r>
          </w:p>
        </w:tc>
        <w:tc>
          <w:tcPr/>
          <w:p>
            <w:pPr>
              <w:pStyle w:val="Compact"/>
              <w:jc w:val="right"/>
            </w:pPr>
            <w:r>
              <w:t xml:space="preserve">320</w:t>
            </w:r>
          </w:p>
        </w:tc>
        <w:tc>
          <w:tcPr/>
          <w:p>
            <w:pPr>
              <w:pStyle w:val="Compact"/>
              <w:jc w:val="right"/>
            </w:pPr>
            <w:r>
              <w:t xml:space="preserve">520</w:t>
            </w:r>
          </w:p>
        </w:tc>
        <w:tc>
          <w:tcPr/>
          <w:p>
            <w:pPr>
              <w:pStyle w:val="Compact"/>
              <w:jc w:val="right"/>
            </w:pPr>
            <w:r>
              <w:t xml:space="preserve">910</w:t>
            </w:r>
            <w:r>
              <w:t xml:space="preserve"> </w:t>
            </w:r>
            <w:fldSimple w:instr="NOTEREF _Ref_Footnote_22 \h \f">
              <w:r>
                <w:rPr>
                  <w:vertAlign w:val="superscript"/>
                </w:rPr>
                <w:t>22</w:t>
              </w:r>
            </w:fldSimple>
          </w:p>
        </w:tc>
        <w:tc>
          <w:tcPr/>
          <w:p>
            <w:pPr>
              <w:pStyle w:val="Compact"/>
              <w:jc w:val="right"/>
            </w:pPr>
            <w:r>
              <w:t xml:space="preserve">1{,}750</w:t>
            </w:r>
          </w:p>
        </w:tc>
        <w:tc>
          <w:tcPr/>
          <w:p>
            <w:pPr>
              <w:pStyle w:val="Compact"/>
              <w:jc w:val="right"/>
            </w:pPr>
            <w:r>
              <w:t xml:space="preserve">~2{,}000</w:t>
            </w:r>
          </w:p>
        </w:tc>
        <w:tc>
          <w:tcPr/>
          <w:p>
            <w:pPr>
              <w:pStyle w:val="Compact"/>
              <w:jc w:val="left"/>
            </w:pPr>
            <w:r>
              <w:t xml:space="preserve">Gemini+TPU v7部署</w:t>
            </w:r>
          </w:p>
        </w:tc>
      </w:tr>
      <w:tr>
        <w:tc>
          <w:tcPr/>
          <w:p>
            <w:pPr>
              <w:pStyle w:val="Compact"/>
              <w:jc w:val="left"/>
            </w:pPr>
            <w:r>
              <w:t xml:space="preserve">Meta</w:t>
            </w:r>
          </w:p>
        </w:tc>
        <w:tc>
          <w:tcPr/>
          <w:p>
            <w:pPr>
              <w:pStyle w:val="Compact"/>
              <w:jc w:val="right"/>
            </w:pPr>
            <w:r>
              <w:t xml:space="preserve">280</w:t>
            </w:r>
          </w:p>
        </w:tc>
        <w:tc>
          <w:tcPr/>
          <w:p>
            <w:pPr>
              <w:pStyle w:val="Compact"/>
              <w:jc w:val="right"/>
            </w:pPr>
            <w:r>
              <w:t xml:space="preserve">390</w:t>
            </w:r>
          </w:p>
        </w:tc>
        <w:tc>
          <w:tcPr/>
          <w:p>
            <w:pPr>
              <w:pStyle w:val="Compact"/>
              <w:jc w:val="right"/>
            </w:pPr>
            <w:r>
              <w:t xml:space="preserve">720</w:t>
            </w:r>
            <w:r>
              <w:t xml:space="preserve"> </w:t>
            </w:r>
            <w:fldSimple w:instr="NOTEREF _Ref_Footnote_17 \h \f">
              <w:r>
                <w:rPr>
                  <w:vertAlign w:val="superscript"/>
                </w:rPr>
                <w:t>17</w:t>
              </w:r>
            </w:fldSimple>
          </w:p>
        </w:tc>
        <w:tc>
          <w:tcPr/>
          <w:p>
            <w:pPr>
              <w:pStyle w:val="Compact"/>
              <w:jc w:val="right"/>
            </w:pPr>
            <w:r>
              <w:t xml:space="preserve">1{,}150</w:t>
            </w:r>
          </w:p>
        </w:tc>
        <w:tc>
          <w:tcPr/>
          <w:p>
            <w:pPr>
              <w:pStyle w:val="Compact"/>
              <w:jc w:val="right"/>
            </w:pPr>
            <w:r>
              <w:t xml:space="preserve">~1{,}400</w:t>
            </w:r>
          </w:p>
        </w:tc>
        <w:tc>
          <w:tcPr/>
          <w:p>
            <w:pPr>
              <w:pStyle w:val="Compact"/>
              <w:jc w:val="left"/>
            </w:pPr>
            <w:r>
              <w:t xml:space="preserve">Llama模型+AI推荐系统</w:t>
            </w:r>
          </w:p>
        </w:tc>
      </w:tr>
      <w:tr>
        <w:tc>
          <w:tcPr/>
          <w:p>
            <w:pPr>
              <w:pStyle w:val="Compact"/>
              <w:jc w:val="left"/>
            </w:pPr>
            <w:r>
              <w:rPr>
                <w:bCs/>
                <w:b/>
              </w:rPr>
              <w:t xml:space="preserve">合计</w:t>
            </w:r>
          </w:p>
        </w:tc>
        <w:tc>
          <w:tcPr/>
          <w:p>
            <w:pPr>
              <w:pStyle w:val="Compact"/>
              <w:jc w:val="right"/>
            </w:pPr>
            <w:r>
              <w:rPr>
                <w:bCs/>
                <w:b/>
              </w:rPr>
              <w:t xml:space="preserve">1{,}560</w:t>
            </w:r>
          </w:p>
        </w:tc>
        <w:tc>
          <w:tcPr/>
          <w:p>
            <w:pPr>
              <w:pStyle w:val="Compact"/>
              <w:jc w:val="right"/>
            </w:pPr>
            <w:r>
              <w:rPr>
                <w:bCs/>
                <w:b/>
              </w:rPr>
              <w:t xml:space="preserve">2{,}340</w:t>
            </w:r>
          </w:p>
        </w:tc>
        <w:tc>
          <w:tcPr/>
          <w:p>
            <w:pPr>
              <w:pStyle w:val="Compact"/>
              <w:jc w:val="right"/>
            </w:pPr>
            <w:r>
              <w:rPr>
                <w:bCs/>
                <w:b/>
              </w:rPr>
              <w:t xml:space="preserve">3{,}762</w:t>
            </w:r>
          </w:p>
        </w:tc>
        <w:tc>
          <w:tcPr/>
          <w:p>
            <w:pPr>
              <w:pStyle w:val="Compact"/>
              <w:jc w:val="right"/>
            </w:pPr>
            <w:r>
              <w:rPr>
                <w:bCs/>
                <w:b/>
              </w:rPr>
              <w:t xml:space="preserve">6{,}300</w:t>
            </w:r>
          </w:p>
        </w:tc>
        <w:tc>
          <w:tcPr/>
          <w:p>
            <w:pPr>
              <w:pStyle w:val="Compact"/>
              <w:jc w:val="right"/>
            </w:pPr>
            <w:r>
              <w:rPr>
                <w:bCs/>
                <w:b/>
              </w:rPr>
              <w:t xml:space="preserve">~7{,}600</w:t>
            </w:r>
          </w:p>
        </w:tc>
        <w:tc>
          <w:tcPr/>
          <w:p>
            <w:pPr>
              <w:pStyle w:val="Compact"/>
              <w:jc w:val="left"/>
            </w:pPr>
            <w:r>
              <w:t xml:space="preserve">—</w:t>
            </w:r>
          </w:p>
        </w:tc>
      </w:tr>
      <w:tr>
        <w:tc>
          <w:tcPr/>
          <w:p>
            <w:pPr>
              <w:pStyle w:val="Compact"/>
              <w:jc w:val="left"/>
            </w:pPr>
            <w:r>
              <w:rPr>
                <w:bCs/>
                <w:b/>
              </w:rPr>
              <w:t xml:space="preserve">YoY增速</w:t>
            </w:r>
          </w:p>
        </w:tc>
        <w:tc>
          <w:tcPr/>
          <w:p>
            <w:pPr>
              <w:pStyle w:val="Compact"/>
              <w:jc w:val="right"/>
            </w:pPr>
            <w:r>
              <w:t xml:space="preserve">—</w:t>
            </w:r>
          </w:p>
        </w:tc>
        <w:tc>
          <w:tcPr/>
          <w:p>
            <w:pPr>
              <w:pStyle w:val="Compact"/>
              <w:jc w:val="right"/>
            </w:pPr>
            <w:r>
              <w:rPr>
                <w:bCs/>
                <w:b/>
              </w:rPr>
              <w:t xml:space="preserve">+50%</w:t>
            </w:r>
          </w:p>
        </w:tc>
        <w:tc>
          <w:tcPr/>
          <w:p>
            <w:pPr>
              <w:pStyle w:val="Compact"/>
              <w:jc w:val="right"/>
            </w:pPr>
            <w:r>
              <w:rPr>
                <w:bCs/>
                <w:b/>
              </w:rPr>
              <w:t xml:space="preserve">+61%</w:t>
            </w:r>
          </w:p>
        </w:tc>
        <w:tc>
          <w:tcPr/>
          <w:p>
            <w:pPr>
              <w:pStyle w:val="Compact"/>
              <w:jc w:val="right"/>
            </w:pPr>
            <w:r>
              <w:rPr>
                <w:bCs/>
                <w:b/>
              </w:rPr>
              <w:t xml:space="preserve">+67%</w:t>
            </w:r>
          </w:p>
        </w:tc>
        <w:tc>
          <w:tcPr/>
          <w:p>
            <w:pPr>
              <w:pStyle w:val="Compact"/>
              <w:jc w:val="right"/>
            </w:pPr>
            <w:r>
              <w:rPr>
                <w:bCs/>
                <w:b/>
              </w:rPr>
              <w:t xml:space="preserve">+21%</w:t>
            </w:r>
          </w:p>
        </w:tc>
        <w:tc>
          <w:tcPr/>
          <w:p>
            <w:pPr>
              <w:pStyle w:val="Compact"/>
              <w:jc w:val="left"/>
            </w:pPr>
            <w:r>
              <w:t xml:space="preserve">—</w:t>
            </w:r>
          </w:p>
        </w:tc>
      </w:tr>
    </w:tbl>
    <w:p>
      <w:pPr>
        <w:pStyle w:val="BodyText"/>
      </w:pPr>
      <w:r>
        <w:rPr>
          <w:iCs/>
          <w:i/>
        </w:rPr>
        <w:t xml:space="preserve">注：单位为亿美元；E表示预测值。2025年数据基于各公司Q1指引和全年规划，2026-2027年为市场一致预期。</w:t>
      </w:r>
    </w:p>
    <w:p>
      <w:pPr>
        <w:pStyle w:val="BodyText"/>
      </w:pPr>
      <w:r>
        <w:t xml:space="preserve">上表揭示了三个关键趋势：</w:t>
      </w:r>
      <w:r>
        <w:rPr>
          <w:bCs/>
          <w:b/>
        </w:rPr>
        <w:t xml:space="preserve">第一</w:t>
      </w:r>
      <w:r>
        <w:t xml:space="preserve">， capex增速在2025-2026年维持60%以上的超高增速，为光模块需求提供了强确定性；</w:t>
      </w:r>
      <w:r>
        <w:rPr>
          <w:bCs/>
          <w:b/>
        </w:rPr>
        <w:t xml:space="preserve">第二</w:t>
      </w:r>
      <w:r>
        <w:t xml:space="preserve">，Amazon和Google的资本开支弹性最大（2026年预计均超1{,}500亿美元），这两家公司均为中际旭创和新易盛的核心客户；</w:t>
      </w:r>
      <w:r>
        <w:rPr>
          <w:bCs/>
          <w:b/>
        </w:rPr>
        <w:t xml:space="preserve">第三</w:t>
      </w:r>
      <w:r>
        <w:t xml:space="preserve">，2027年增速预计回落至约21%，反映市场对AI投资持续性的审慎预期——需关注 capex 增速放缓是否会导致光模块需求出现阶段性回调。</w:t>
      </w:r>
    </w:p>
    <w:p>
      <w:pPr>
        <w:pStyle w:val="BodyText"/>
      </w:pPr>
      <w:r>
        <w:t xml:space="preserve">国内云厂商方面，阿里巴巴宣布未来三年在云计算和AI基础设施投资超3{,}800亿元</w:t>
      </w:r>
      <w:r>
        <w:t xml:space="preserve"> </w:t>
      </w:r>
      <w:fldSimple w:instr="NOTEREF _Ref_Footnote_20 \h \f">
        <w:r>
          <w:rPr>
            <w:vertAlign w:val="superscript"/>
          </w:rPr>
          <w:t>20</w:t>
        </w:r>
      </w:fldSimple>
      <w:r>
        <w:t xml:space="preserve">，字节跳动2025年资本开支预计达1{,}500亿元+</w:t>
      </w:r>
      <w:r>
        <w:t xml:space="preserve"> </w:t>
      </w:r>
      <w:fldSimple w:instr="NOTEREF _Ref_Footnote_21 \h \f">
        <w:r>
          <w:rPr>
            <w:vertAlign w:val="superscript"/>
          </w:rPr>
          <w:t>21</w:t>
        </w:r>
      </w:fldSimple>
      <w:r>
        <w:t xml:space="preserve">，国内三大云厂商（阿里、腾讯、字节）2025年合计约3{,}800亿元，2026年预计超5{,}200亿元</w:t>
      </w:r>
      <w:r>
        <w:t xml:space="preserve"> </w:t>
      </w:r>
      <w:fldSimple w:instr="NOTEREF _Ref_Footnote_20 \h \f">
        <w:r>
          <w:rPr>
            <w:vertAlign w:val="superscript"/>
          </w:rPr>
          <w:t>20</w:t>
        </w:r>
      </w:fldSimple>
      <w:r>
        <w:t xml:space="preserve"> </w:t>
      </w:r>
      <w:r>
        <w:rPr>
          <w:vertAlign w:val="superscript"/>
        </w:rPr>
        <w:footnoteReference w:id="91"/>
      </w:r>
      <w:r>
        <w:t xml:space="preserve">。国内云厂商的加速追赶为光模块需求提供了第二增长曲线。</w:t>
      </w:r>
    </w:p>
    <w:bookmarkEnd w:id="47"/>
    <w:bookmarkStart w:id="48" w:name="国内智算中心东数西算的战略支撑"/>
    <w:p>
      <w:pPr>
        <w:pStyle w:val="Heading4"/>
      </w:pPr>
      <w:r>
        <w:t xml:space="preserve">2.3.4 国内智算中心：东数西算的战略支撑</w:t>
      </w:r>
    </w:p>
    <w:p>
      <w:pPr>
        <w:pStyle w:val="FirstParagraph"/>
      </w:pPr>
      <w:r>
        <w:t xml:space="preserve">截至2025年底，中国智算总规模达159万PFlops，其中八大国家枢纽节点已建成智算规模138.8万PFlops，占全国超80%</w:t>
      </w:r>
      <w:r>
        <w:t xml:space="preserve"> </w:t>
      </w:r>
      <w:r>
        <w:rPr>
          <w:vertAlign w:val="superscript"/>
        </w:rPr>
        <w:footnoteReference w:id="92"/>
      </w:r>
      <w:r>
        <w:t xml:space="preserve">。</w:t>
      </w:r>
      <w:r>
        <w:t xml:space="preserve">“</w:t>
      </w:r>
      <w:r>
        <w:t xml:space="preserve">东数西算</w:t>
      </w:r>
      <w:r>
        <w:t xml:space="preserve">”</w:t>
      </w:r>
      <w:r>
        <w:t xml:space="preserve">工程自2022年启动以来，全国10个数据中心集群新开工项目25个，带动投资超过1{,}900亿元</w:t>
      </w:r>
      <w:r>
        <w:t xml:space="preserve"> </w:t>
      </w:r>
      <w:fldSimple w:instr="NOTEREF _Ref_Footnote_44 \h \f">
        <w:r>
          <w:rPr>
            <w:vertAlign w:val="superscript"/>
          </w:rPr>
          <w:t>44</w:t>
        </w:r>
      </w:fldSimple>
      <w:r>
        <w:t xml:space="preserve">。单座500 P智算中心需配套800G光模块超1.2万只</w:t>
      </w:r>
      <w:r>
        <w:t xml:space="preserve"> </w:t>
      </w:r>
      <w:r>
        <w:rPr>
          <w:vertAlign w:val="superscript"/>
        </w:rPr>
        <w:footnoteReference w:id="93"/>
      </w:r>
      <w:r>
        <w:t xml:space="preserve">，全国智算中心建设直接拉动的光模块需求规模约30-50亿元/年。运营商层面，中国移动2025年G.654.E光缆集采总量313.86万芯公里，较前次增长156%</w:t>
      </w:r>
      <w:r>
        <w:t xml:space="preserve"> </w:t>
      </w:r>
      <w:fldSimple w:instr="NOTEREF _Ref_Footnote_45 \h \f">
        <w:r>
          <w:rPr>
            <w:vertAlign w:val="superscript"/>
          </w:rPr>
          <w:t>45</w:t>
        </w:r>
      </w:fldSimple>
      <w:r>
        <w:t xml:space="preserve">，反映出算力基础设施建设的强劲需求。</w:t>
      </w:r>
    </w:p>
    <w:bookmarkEnd w:id="48"/>
    <w:bookmarkEnd w:id="49"/>
    <w:bookmarkStart w:id="53" w:name="供给侧分析"/>
    <w:p>
      <w:pPr>
        <w:pStyle w:val="Heading3"/>
      </w:pPr>
      <w:r>
        <w:t xml:space="preserve">2.4 供给侧分析</w:t>
      </w:r>
    </w:p>
    <w:bookmarkStart w:id="50" w:name="光模块供给中国厂商主导全球"/>
    <w:p>
      <w:pPr>
        <w:pStyle w:val="Heading4"/>
      </w:pPr>
      <w:r>
        <w:t xml:space="preserve">2.4.1 光模块供给：中国厂商主导全球</w:t>
      </w:r>
    </w:p>
    <w:p>
      <w:pPr>
        <w:pStyle w:val="FirstParagraph"/>
      </w:pPr>
      <w:r>
        <w:t xml:space="preserve">2024年全球光模块TOP10榜单中，中国厂商占据7席</w:t>
      </w:r>
      <w:r>
        <w:t xml:space="preserve"> </w:t>
      </w:r>
      <w:fldSimple w:instr="NOTEREF _Ref_Footnote_15 \h \f">
        <w:r>
          <w:rPr>
            <w:vertAlign w:val="superscript"/>
          </w:rPr>
          <w:t>15</w:t>
        </w:r>
      </w:fldSimple>
      <w:r>
        <w:t xml:space="preserve">。中际旭创以33亿美元营收蝉联第一（增长114%），新易盛以12亿美元跃升至第三（增长175%）</w:t>
      </w:r>
      <w:fldSimple w:instr="NOTEREF _Ref_Footnote_15 \h \f">
        <w:r>
          <w:rPr>
            <w:vertAlign w:val="superscript"/>
          </w:rPr>
          <w:t>15</w:t>
        </w:r>
      </w:fldSimple>
      <w:r>
        <w:t xml:space="preserve">。两家合计占据全球光模块市场约43%的份额</w:t>
      </w:r>
      <w:r>
        <w:t xml:space="preserve"> </w:t>
      </w:r>
      <w:fldSimple w:instr="NOTEREF _Ref_Footnote_16 \h \f">
        <w:r>
          <w:rPr>
            <w:vertAlign w:val="superscript"/>
          </w:rPr>
          <w:t>16</w:t>
        </w:r>
      </w:fldSimple>
      <w:r>
        <w:t xml:space="preserve">，在800G及以上高端市场占比超65%</w:t>
      </w:r>
      <w:r>
        <w:t xml:space="preserve"> </w:t>
      </w:r>
      <w:fldSimple w:instr="NOTEREF _Ref_Footnote_14 \h \f">
        <w:r>
          <w:rPr>
            <w:vertAlign w:val="superscript"/>
          </w:rPr>
          <w:t>14</w:t>
        </w:r>
      </w:fldSimple>
      <w:r>
        <w:t xml:space="preserve">。中际旭创的800G全球市占率约40%+</w:t>
      </w:r>
      <w:r>
        <w:t xml:space="preserve"> </w:t>
      </w:r>
      <w:r>
        <w:rPr>
          <w:vertAlign w:val="superscript"/>
        </w:rPr>
        <w:footnoteReference w:id="94"/>
      </w:r>
      <w:r>
        <w:t xml:space="preserve">，1.6T市占率50-70%</w:t>
      </w:r>
      <w:r>
        <w:t xml:space="preserve"> </w:t>
      </w:r>
      <w:fldSimple w:instr="NOTEREF _Ref_Footnote_64 \h \f">
        <w:r>
          <w:rPr>
            <w:vertAlign w:val="superscript"/>
          </w:rPr>
          <w:t>64</w:t>
        </w:r>
      </w:fldSimple>
      <w:r>
        <w:t xml:space="preserve">，且深度绑定英伟达（占其收入约50-60%</w:t>
      </w:r>
      <w:r>
        <w:t xml:space="preserve"> </w:t>
      </w:r>
      <w:fldSimple w:instr="NOTEREF _Ref_Footnote_63 \h \f">
        <w:r>
          <w:rPr>
            <w:vertAlign w:val="superscript"/>
          </w:rPr>
          <w:t>63</w:t>
        </w:r>
      </w:fldSimple>
      <w:r>
        <w:t xml:space="preserve">）、谷歌（800G份额超50%</w:t>
      </w:r>
      <w:r>
        <w:t xml:space="preserve"> </w:t>
      </w:r>
      <w:r>
        <w:rPr>
          <w:vertAlign w:val="superscript"/>
        </w:rPr>
        <w:footnoteReference w:id="95"/>
      </w:r>
      <w:r>
        <w:t xml:space="preserve">）和Meta。</w:t>
      </w:r>
    </w:p>
    <w:p>
      <w:pPr>
        <w:pStyle w:val="BodyText"/>
      </w:pPr>
      <w:r>
        <w:t xml:space="preserve">产能布局方面，中国头部厂商加速海外建厂以应对关税风险。中际旭创泰国基地月产能50万只已建成，2026年目标达产100万只/月</w:t>
      </w:r>
      <w:r>
        <w:t xml:space="preserve"> </w:t>
      </w:r>
      <w:fldSimple w:instr="NOTEREF _Ref_Footnote_78 \h \f">
        <w:r>
          <w:rPr>
            <w:vertAlign w:val="superscript"/>
          </w:rPr>
          <w:t>78</w:t>
        </w:r>
      </w:fldSimple>
      <w:r>
        <w:t xml:space="preserve">；新易盛泰国工厂一期已建成，二期在建，目标月产能40-50万只</w:t>
      </w:r>
      <w:r>
        <w:t xml:space="preserve"> </w:t>
      </w:r>
      <w:fldSimple w:instr="NOTEREF _Ref_Footnote_78 \h \f">
        <w:r>
          <w:rPr>
            <w:vertAlign w:val="superscript"/>
          </w:rPr>
          <w:t>78</w:t>
        </w:r>
      </w:fldSimple>
      <w:r>
        <w:t xml:space="preserve">。东南亚（泰国、马来西亚、越南）已形成光通信制造三大集群，2025年进入产能快速释放期</w:t>
      </w:r>
      <w:r>
        <w:t xml:space="preserve"> </w:t>
      </w:r>
      <w:fldSimple w:instr="NOTEREF _Ref_Footnote_68 \h \f">
        <w:r>
          <w:rPr>
            <w:vertAlign w:val="superscript"/>
          </w:rPr>
          <w:t>68</w:t>
        </w:r>
      </w:fldSimple>
      <w:r>
        <w:t xml:space="preserve">。但需要注意的是，海外产能的集体扩张可能在2027-2028年导致阶段性供给过剩，特别是800G产品的价格竞争已在国内市场显现</w:t>
      </w:r>
      <w:r>
        <w:t xml:space="preserve"> </w:t>
      </w:r>
      <w:r>
        <w:rPr>
          <w:vertAlign w:val="superscript"/>
        </w:rPr>
        <w:footnoteReference w:id="96"/>
      </w:r>
      <w:r>
        <w:t xml:space="preserve">。</w:t>
      </w:r>
    </w:p>
    <w:bookmarkEnd w:id="50"/>
    <w:bookmarkStart w:id="51" w:name="光芯片供给瓶颈25g国产化率仅4-10"/>
    <w:p>
      <w:pPr>
        <w:pStyle w:val="Heading4"/>
      </w:pPr>
      <w:r>
        <w:t xml:space="preserve">2.4.2 光芯片供给瓶颈：25G+国产化率仅4-10%</w:t>
      </w:r>
    </w:p>
    <w:p>
      <w:pPr>
        <w:pStyle w:val="FirstParagraph"/>
      </w:pPr>
      <w:r>
        <w:t xml:space="preserve">光芯片是光模块产业链最大的供给瓶颈。中国光芯片国产化率呈现明显的”金字塔”结构：2.5G及以下超90%、10G约60%、25G及以上仅约4-10%</w:t>
      </w:r>
      <w:r>
        <w:t xml:space="preserve"> </w:t>
      </w:r>
      <w:fldSimple w:instr="NOTEREF _Ref_Footnote_48 \h \f">
        <w:r>
          <w:rPr>
            <w:vertAlign w:val="superscript"/>
          </w:rPr>
          <w:t>48</w:t>
        </w:r>
      </w:fldSimple>
      <w:r>
        <w:t xml:space="preserve"> </w:t>
      </w:r>
      <w:fldSimple w:instr="NOTEREF _Ref_Footnote_47 \h \f">
        <w:r>
          <w:rPr>
            <w:vertAlign w:val="superscript"/>
          </w:rPr>
          <w:t>47</w:t>
        </w:r>
      </w:fldSimple>
      <w:r>
        <w:t xml:space="preserve">。高端EML（电吸收调制激光器）芯片由Lumentum（全球市占率50-60%</w:t>
      </w:r>
      <w:r>
        <w:t xml:space="preserve"> </w:t>
      </w:r>
      <w:fldSimple w:instr="NOTEREF _Ref_Footnote_49 \h \f">
        <w:r>
          <w:rPr>
            <w:vertAlign w:val="superscript"/>
          </w:rPr>
          <w:t>49</w:t>
        </w:r>
      </w:fldSimple>
      <w:r>
        <w:t xml:space="preserve">）和Coherent（25-30%）两家美国企业合计垄断超80%份额</w:t>
      </w:r>
      <w:r>
        <w:t xml:space="preserve"> </w:t>
      </w:r>
      <w:fldSimple w:instr="NOTEREF _Ref_Footnote_49 \h \f">
        <w:r>
          <w:rPr>
            <w:vertAlign w:val="superscript"/>
          </w:rPr>
          <w:t>49</w:t>
        </w:r>
      </w:fldSimple>
      <w:r>
        <w:t xml:space="preserve">。</w:t>
      </w:r>
    </w:p>
    <w:p>
      <w:pPr>
        <w:pStyle w:val="BodyText"/>
      </w:pPr>
      <w:r>
        <w:t xml:space="preserve">供给瓶颈的核心制约在于</w:t>
      </w:r>
      <w:r>
        <w:rPr>
          <w:bCs/>
          <w:b/>
        </w:rPr>
        <w:t xml:space="preserve">扩产周期</w:t>
      </w:r>
      <w:r>
        <w:t xml:space="preserve">。光芯片制造依赖MOCVD（金属有机化学气相沉积）外延设备和电子束光刻机，MOCVD由Veeco（美国）和AIXTRON（德国）双寡头垄断</w:t>
      </w:r>
      <w:r>
        <w:t xml:space="preserve"> </w:t>
      </w:r>
      <w:fldSimple w:instr="NOTEREF _Ref_Footnote_51 \h \f">
        <w:r>
          <w:rPr>
            <w:vertAlign w:val="superscript"/>
          </w:rPr>
          <w:t>51</w:t>
        </w:r>
      </w:fldSimple>
      <w:r>
        <w:t xml:space="preserve">，单台设备交期12-18个月，加上洁净室建设和工艺认证，光芯片扩产全周期约18-24个月</w:t>
      </w:r>
      <w:r>
        <w:t xml:space="preserve"> </w:t>
      </w:r>
      <w:r>
        <w:rPr>
          <w:vertAlign w:val="superscript"/>
        </w:rPr>
        <w:footnoteReference w:id="97"/>
      </w:r>
      <w:r>
        <w:t xml:space="preserve">。NVIDIA于2026年3月向Lumentum和Coherent各投资20亿美元锁定高端EML和硅光产能</w:t>
      </w:r>
      <w:r>
        <w:t xml:space="preserve"> </w:t>
      </w:r>
      <w:fldSimple w:instr="NOTEREF _Ref_Footnote_31 \h \f">
        <w:r>
          <w:rPr>
            <w:vertAlign w:val="superscript"/>
          </w:rPr>
          <w:t>31</w:t>
        </w:r>
      </w:fldSimple>
      <w:r>
        <w:t xml:space="preserve">，几乎包下Lumentum所有超高功率（UHP）激光产能</w:t>
      </w:r>
      <w:r>
        <w:t xml:space="preserve"> </w:t>
      </w:r>
      <w:fldSimple w:instr="NOTEREF _Ref_Footnote_32 \h \f">
        <w:r>
          <w:rPr>
            <w:vertAlign w:val="superscript"/>
          </w:rPr>
          <w:t>32</w:t>
        </w:r>
      </w:fldSimple>
      <w:r>
        <w:t xml:space="preserve">。Lumentum CEO表示仅需两个季度就能将整个2028年的产能全部售罄</w:t>
      </w:r>
      <w:r>
        <w:t xml:space="preserve"> </w:t>
      </w:r>
      <w:fldSimple w:instr="NOTEREF _Ref_Footnote_30 \h \f">
        <w:r>
          <w:rPr>
            <w:vertAlign w:val="superscript"/>
          </w:rPr>
          <w:t>30</w:t>
        </w:r>
      </w:fldSimple>
      <w:r>
        <w:t xml:space="preserve">，高端EML芯片供需缺口超30%</w:t>
      </w:r>
      <w:r>
        <w:t xml:space="preserve"> </w:t>
      </w:r>
      <w:fldSimple w:instr="NOTEREF _Ref_Footnote_30 \h \f">
        <w:r>
          <w:rPr>
            <w:vertAlign w:val="superscript"/>
          </w:rPr>
          <w:t>30</w:t>
        </w:r>
      </w:fldSimple>
      <w:r>
        <w:t xml:space="preserve">。</w:t>
      </w:r>
    </w:p>
    <w:bookmarkEnd w:id="51"/>
    <w:bookmarkStart w:id="52" w:name="电芯片供给瓶颈dsp双寡头垄断"/>
    <w:p>
      <w:pPr>
        <w:pStyle w:val="Heading4"/>
      </w:pPr>
      <w:r>
        <w:t xml:space="preserve">2.4.3 电芯片供给瓶颈：DSP双寡头垄断</w:t>
      </w:r>
    </w:p>
    <w:p>
      <w:pPr>
        <w:pStyle w:val="FirstParagraph"/>
      </w:pPr>
      <w:r>
        <w:t xml:space="preserve">DSP（数字信号处理）芯片是光模块的”大脑”，占光模块成本20-40%</w:t>
      </w:r>
      <w:r>
        <w:t xml:space="preserve"> </w:t>
      </w:r>
      <w:r>
        <w:rPr>
          <w:vertAlign w:val="superscript"/>
        </w:rPr>
        <w:footnoteReference w:id="98"/>
      </w:r>
      <w:r>
        <w:t xml:space="preserve">。全球PAM4 DSP市场由Broadcom和Marvell双寡头垄断，合计份额超90%</w:t>
      </w:r>
      <w:r>
        <w:t xml:space="preserve"> </w:t>
      </w:r>
      <w:r>
        <w:rPr>
          <w:vertAlign w:val="superscript"/>
        </w:rPr>
        <w:footnoteReference w:id="99"/>
      </w:r>
      <w:r>
        <w:t xml:space="preserve"> </w:t>
      </w:r>
      <w:r>
        <w:rPr>
          <w:vertAlign w:val="superscript"/>
        </w:rPr>
        <w:footnoteReference w:id="100"/>
      </w:r>
      <w:r>
        <w:t xml:space="preserve">。Broadcom依托Tomahawk交换芯片生态构建壁垒，Marvell通过收购Inphi形成全栈技术布局。国产化率方面，国内PAM4 DSP几乎空白，国产化率不到1%</w:t>
      </w:r>
      <w:r>
        <w:t xml:space="preserve"> </w:t>
      </w:r>
      <w:fldSimple w:instr="NOTEREF _Ref_Footnote_100 \h \f">
        <w:r>
          <w:rPr>
            <w:vertAlign w:val="superscript"/>
          </w:rPr>
          <w:t>100</w:t>
        </w:r>
      </w:fldSimple>
      <w:r>
        <w:t xml:space="preserve">。</w:t>
      </w:r>
    </w:p>
    <w:p>
      <w:pPr>
        <w:pStyle w:val="BodyText"/>
      </w:pPr>
      <w:r>
        <w:t xml:space="preserve">值得关注的是，LPO和CPO两条技术路线的演进正在”绕过”DSP。LPO移除DSP芯片</w:t>
      </w:r>
      <w:r>
        <w:t xml:space="preserve"> </w:t>
      </w:r>
      <w:fldSimple w:instr="NOTEREF _Ref_Footnote_26 \h \f">
        <w:r>
          <w:rPr>
            <w:vertAlign w:val="superscript"/>
          </w:rPr>
          <w:t>26</w:t>
        </w:r>
      </w:fldSimple>
      <w:r>
        <w:t xml:space="preserve">，CPO将DSP功能集成至交换ASIC</w:t>
      </w:r>
      <w:r>
        <w:t xml:space="preserve"> </w:t>
      </w:r>
      <w:r>
        <w:rPr>
          <w:vertAlign w:val="superscript"/>
        </w:rPr>
        <w:footnoteReference w:id="101"/>
      </w:r>
      <w:r>
        <w:t xml:space="preserve">。若LPO+CPO合计渗透率达到50%以上，DSP市场规模可能从预测的2028年近70亿美元</w:t>
      </w:r>
      <w:r>
        <w:t xml:space="preserve"> </w:t>
      </w:r>
      <w:r>
        <w:rPr>
          <w:vertAlign w:val="superscript"/>
        </w:rPr>
        <w:footnoteReference w:id="102"/>
      </w:r>
      <w:r>
        <w:t xml:space="preserve">大幅缩水。这对Broadcom和Marvell构成中长期威胁，但对Credo、MaxLinear等LRO/LPO专用芯片厂商则是结构性机遇。</w:t>
      </w:r>
    </w:p>
    <w:bookmarkEnd w:id="52"/>
    <w:bookmarkEnd w:id="53"/>
    <w:bookmarkStart w:id="55" w:name="供需测算"/>
    <w:p>
      <w:pPr>
        <w:pStyle w:val="Heading3"/>
      </w:pPr>
      <w:r>
        <w:t xml:space="preserve">2.5 供需测算</w:t>
      </w:r>
    </w:p>
    <w:bookmarkStart w:id="54" w:name="年全球光模块供需平衡分析"/>
    <w:p>
      <w:pPr>
        <w:pStyle w:val="Heading4"/>
      </w:pPr>
      <w:r>
        <w:t xml:space="preserve">2.5.1 2024-2028年全球光模块供需平衡分析</w:t>
      </w:r>
    </w:p>
    <w:p>
      <w:pPr>
        <w:pStyle w:val="FirstParagraph"/>
      </w:pPr>
      <w:r>
        <w:rPr>
          <w:bCs/>
          <w:b/>
        </w:rPr>
        <w:t xml:space="preserve">表4：2024-2028年全球光模块供需测算</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指标</w:t>
            </w:r>
          </w:p>
        </w:tc>
        <w:tc>
          <w:tcPr/>
          <w:p>
            <w:pPr>
              <w:pStyle w:val="Compact"/>
              <w:jc w:val="right"/>
            </w:pPr>
            <w:r>
              <w:t xml:space="preserve">2024年</w:t>
            </w:r>
          </w:p>
        </w:tc>
        <w:tc>
          <w:tcPr/>
          <w:p>
            <w:pPr>
              <w:pStyle w:val="Compact"/>
              <w:jc w:val="right"/>
            </w:pPr>
            <w:r>
              <w:t xml:space="preserve">2025年</w:t>
            </w:r>
          </w:p>
        </w:tc>
        <w:tc>
          <w:tcPr/>
          <w:p>
            <w:pPr>
              <w:pStyle w:val="Compact"/>
              <w:jc w:val="right"/>
            </w:pPr>
            <w:r>
              <w:t xml:space="preserve">2026年</w:t>
            </w:r>
          </w:p>
        </w:tc>
        <w:tc>
          <w:tcPr/>
          <w:p>
            <w:pPr>
              <w:pStyle w:val="Compact"/>
              <w:jc w:val="right"/>
            </w:pPr>
            <w:r>
              <w:t xml:space="preserve">2027年</w:t>
            </w:r>
          </w:p>
        </w:tc>
        <w:tc>
          <w:tcPr/>
          <w:p>
            <w:pPr>
              <w:pStyle w:val="Compact"/>
              <w:jc w:val="right"/>
            </w:pPr>
            <w:r>
              <w:t xml:space="preserve">2028年</w:t>
            </w:r>
          </w:p>
        </w:tc>
      </w:tr>
      <w:tr>
        <w:tc>
          <w:tcPr/>
          <w:p>
            <w:pPr>
              <w:pStyle w:val="Compact"/>
              <w:jc w:val="left"/>
            </w:pPr>
            <w:r>
              <w:rPr>
                <w:bCs/>
                <w:b/>
              </w:rPr>
              <w:t xml:space="preserve">全球需求量（万只）</w:t>
            </w:r>
          </w:p>
        </w:tc>
        <w:tc>
          <w:tcPr/>
          <w:p>
            <w:pPr>
              <w:pStyle w:val="Compact"/>
              <w:jc w:val="right"/>
            </w:pPr>
            <w:r>
              <w:t xml:space="preserve">3{,}800</w:t>
            </w:r>
          </w:p>
        </w:tc>
        <w:tc>
          <w:tcPr/>
          <w:p>
            <w:pPr>
              <w:pStyle w:val="Compact"/>
              <w:jc w:val="right"/>
            </w:pPr>
            <w:r>
              <w:t xml:space="preserve">5{,}500</w:t>
            </w:r>
          </w:p>
        </w:tc>
        <w:tc>
          <w:tcPr/>
          <w:p>
            <w:pPr>
              <w:pStyle w:val="Compact"/>
              <w:jc w:val="right"/>
            </w:pPr>
            <w:r>
              <w:t xml:space="preserve">8{,}200</w:t>
            </w:r>
          </w:p>
        </w:tc>
        <w:tc>
          <w:tcPr/>
          <w:p>
            <w:pPr>
              <w:pStyle w:val="Compact"/>
              <w:jc w:val="right"/>
            </w:pPr>
            <w:r>
              <w:t xml:space="preserve">10{,}500</w:t>
            </w:r>
          </w:p>
        </w:tc>
        <w:tc>
          <w:tcPr/>
          <w:p>
            <w:pPr>
              <w:pStyle w:val="Compact"/>
              <w:jc w:val="right"/>
            </w:pPr>
            <w:r>
              <w:t xml:space="preserve">12{,}800</w:t>
            </w:r>
          </w:p>
        </w:tc>
      </w:tr>
      <w:tr>
        <w:tc>
          <w:tcPr/>
          <w:p>
            <w:pPr>
              <w:pStyle w:val="Compact"/>
              <w:jc w:val="left"/>
            </w:pPr>
            <w:r>
              <w:t xml:space="preserve">— 其中800G</w:t>
            </w:r>
          </w:p>
        </w:tc>
        <w:tc>
          <w:tcPr/>
          <w:p>
            <w:pPr>
              <w:pStyle w:val="Compact"/>
              <w:jc w:val="right"/>
            </w:pPr>
            <w:r>
              <w:t xml:space="preserve">1{,}000</w:t>
            </w:r>
          </w:p>
        </w:tc>
        <w:tc>
          <w:tcPr/>
          <w:p>
            <w:pPr>
              <w:pStyle w:val="Compact"/>
              <w:jc w:val="right"/>
            </w:pPr>
            <w:r>
              <w:t xml:space="preserve">2{,}000</w:t>
            </w:r>
            <w:r>
              <w:t xml:space="preserve"> </w:t>
            </w:r>
            <w:fldSimple w:instr="NOTEREF _Ref_Footnote_62 \h \f">
              <w:r>
                <w:rPr>
                  <w:vertAlign w:val="superscript"/>
                </w:rPr>
                <w:t>62</w:t>
              </w:r>
            </w:fldSimple>
          </w:p>
        </w:tc>
        <w:tc>
          <w:tcPr/>
          <w:p>
            <w:pPr>
              <w:pStyle w:val="Compact"/>
              <w:jc w:val="right"/>
            </w:pPr>
            <w:r>
              <w:t xml:space="preserve">4{,}100</w:t>
            </w:r>
          </w:p>
        </w:tc>
        <w:tc>
          <w:tcPr/>
          <w:p>
            <w:pPr>
              <w:pStyle w:val="Compact"/>
              <w:jc w:val="right"/>
            </w:pPr>
            <w:r>
              <w:t xml:space="preserve">5{,}200</w:t>
            </w:r>
          </w:p>
        </w:tc>
        <w:tc>
          <w:tcPr/>
          <w:p>
            <w:pPr>
              <w:pStyle w:val="Compact"/>
              <w:jc w:val="right"/>
            </w:pPr>
            <w:r>
              <w:t xml:space="preserve">5{,}800</w:t>
            </w:r>
          </w:p>
        </w:tc>
      </w:tr>
      <w:tr>
        <w:tc>
          <w:tcPr/>
          <w:p>
            <w:pPr>
              <w:pStyle w:val="Compact"/>
              <w:jc w:val="left"/>
            </w:pPr>
            <w:r>
              <w:t xml:space="preserve">— 其中1.6T</w:t>
            </w:r>
          </w:p>
        </w:tc>
        <w:tc>
          <w:tcPr/>
          <w:p>
            <w:pPr>
              <w:pStyle w:val="Compact"/>
              <w:jc w:val="right"/>
            </w:pPr>
            <w:r>
              <w:t xml:space="preserve">50</w:t>
            </w:r>
          </w:p>
        </w:tc>
        <w:tc>
          <w:tcPr/>
          <w:p>
            <w:pPr>
              <w:pStyle w:val="Compact"/>
              <w:jc w:val="right"/>
            </w:pPr>
            <w:r>
              <w:t xml:space="preserve">350</w:t>
            </w:r>
            <w:r>
              <w:t xml:space="preserve"> </w:t>
            </w:r>
            <w:fldSimple w:instr="NOTEREF _Ref_Footnote_43 \h \f">
              <w:r>
                <w:rPr>
                  <w:vertAlign w:val="superscript"/>
                </w:rPr>
                <w:t>43</w:t>
              </w:r>
            </w:fldSimple>
          </w:p>
        </w:tc>
        <w:tc>
          <w:tcPr/>
          <w:p>
            <w:pPr>
              <w:pStyle w:val="Compact"/>
              <w:jc w:val="right"/>
            </w:pPr>
            <w:r>
              <w:t xml:space="preserve">1{,}100</w:t>
            </w:r>
            <w:r>
              <w:t xml:space="preserve"> </w:t>
            </w:r>
            <w:r>
              <w:rPr>
                <w:vertAlign w:val="superscript"/>
              </w:rPr>
              <w:footnoteReference w:id="103"/>
            </w:r>
          </w:p>
        </w:tc>
        <w:tc>
          <w:tcPr/>
          <w:p>
            <w:pPr>
              <w:pStyle w:val="Compact"/>
              <w:jc w:val="right"/>
            </w:pPr>
            <w:r>
              <w:t xml:space="preserve">2{,}500</w:t>
            </w:r>
          </w:p>
        </w:tc>
        <w:tc>
          <w:tcPr/>
          <w:p>
            <w:pPr>
              <w:pStyle w:val="Compact"/>
              <w:jc w:val="right"/>
            </w:pPr>
            <w:r>
              <w:t xml:space="preserve">4{,}000</w:t>
            </w:r>
          </w:p>
        </w:tc>
      </w:tr>
      <w:tr>
        <w:tc>
          <w:tcPr/>
          <w:p>
            <w:pPr>
              <w:pStyle w:val="Compact"/>
              <w:jc w:val="left"/>
            </w:pPr>
            <w:r>
              <w:t xml:space="preserve">— 其中CPO/NPO</w:t>
            </w:r>
          </w:p>
        </w:tc>
        <w:tc>
          <w:tcPr/>
          <w:p>
            <w:pPr>
              <w:pStyle w:val="Compact"/>
              <w:jc w:val="right"/>
            </w:pPr>
            <w:r>
              <w:t xml:space="preserve">5</w:t>
            </w:r>
          </w:p>
        </w:tc>
        <w:tc>
          <w:tcPr/>
          <w:p>
            <w:pPr>
              <w:pStyle w:val="Compact"/>
              <w:jc w:val="right"/>
            </w:pPr>
            <w:r>
              <w:t xml:space="preserve">40</w:t>
            </w:r>
          </w:p>
        </w:tc>
        <w:tc>
          <w:tcPr/>
          <w:p>
            <w:pPr>
              <w:pStyle w:val="Compact"/>
              <w:jc w:val="right"/>
            </w:pPr>
            <w:r>
              <w:t xml:space="preserve">200</w:t>
            </w:r>
          </w:p>
        </w:tc>
        <w:tc>
          <w:tcPr/>
          <w:p>
            <w:pPr>
              <w:pStyle w:val="Compact"/>
              <w:jc w:val="right"/>
            </w:pPr>
            <w:r>
              <w:t xml:space="preserve">600</w:t>
            </w:r>
          </w:p>
        </w:tc>
        <w:tc>
          <w:tcPr/>
          <w:p>
            <w:pPr>
              <w:pStyle w:val="Compact"/>
              <w:jc w:val="right"/>
            </w:pPr>
            <w:r>
              <w:t xml:space="preserve">1{,}200</w:t>
            </w:r>
          </w:p>
        </w:tc>
      </w:tr>
      <w:tr>
        <w:tc>
          <w:tcPr/>
          <w:p>
            <w:pPr>
              <w:pStyle w:val="Compact"/>
              <w:jc w:val="left"/>
            </w:pPr>
            <w:r>
              <w:rPr>
                <w:bCs/>
                <w:b/>
              </w:rPr>
              <w:t xml:space="preserve">全球供给量（万只）</w:t>
            </w:r>
          </w:p>
        </w:tc>
        <w:tc>
          <w:tcPr/>
          <w:p>
            <w:pPr>
              <w:pStyle w:val="Compact"/>
              <w:jc w:val="right"/>
            </w:pPr>
            <w:r>
              <w:t xml:space="preserve">3{,}600</w:t>
            </w:r>
          </w:p>
        </w:tc>
        <w:tc>
          <w:tcPr/>
          <w:p>
            <w:pPr>
              <w:pStyle w:val="Compact"/>
              <w:jc w:val="right"/>
            </w:pPr>
            <w:r>
              <w:t xml:space="preserve">5{,}200</w:t>
            </w:r>
          </w:p>
        </w:tc>
        <w:tc>
          <w:tcPr/>
          <w:p>
            <w:pPr>
              <w:pStyle w:val="Compact"/>
              <w:jc w:val="right"/>
            </w:pPr>
            <w:r>
              <w:t xml:space="preserve">7{,}800</w:t>
            </w:r>
          </w:p>
        </w:tc>
        <w:tc>
          <w:tcPr/>
          <w:p>
            <w:pPr>
              <w:pStyle w:val="Compact"/>
              <w:jc w:val="right"/>
            </w:pPr>
            <w:r>
              <w:t xml:space="preserve">10{,}000</w:t>
            </w:r>
          </w:p>
        </w:tc>
        <w:tc>
          <w:tcPr/>
          <w:p>
            <w:pPr>
              <w:pStyle w:val="Compact"/>
              <w:jc w:val="right"/>
            </w:pPr>
            <w:r>
              <w:t xml:space="preserve">12{,}500</w:t>
            </w:r>
          </w:p>
        </w:tc>
      </w:tr>
      <w:tr>
        <w:tc>
          <w:tcPr/>
          <w:p>
            <w:pPr>
              <w:pStyle w:val="Compact"/>
              <w:jc w:val="left"/>
            </w:pPr>
            <w:r>
              <w:rPr>
                <w:bCs/>
                <w:b/>
              </w:rPr>
              <w:t xml:space="preserve">供需缺口（万只）</w:t>
            </w:r>
          </w:p>
        </w:tc>
        <w:tc>
          <w:tcPr/>
          <w:p>
            <w:pPr>
              <w:pStyle w:val="Compact"/>
              <w:jc w:val="right"/>
            </w:pPr>
            <w:r>
              <w:t xml:space="preserve">-200</w:t>
            </w:r>
          </w:p>
        </w:tc>
        <w:tc>
          <w:tcPr/>
          <w:p>
            <w:pPr>
              <w:pStyle w:val="Compact"/>
              <w:jc w:val="right"/>
            </w:pPr>
            <w:r>
              <w:t xml:space="preserve">-300</w:t>
            </w:r>
          </w:p>
        </w:tc>
        <w:tc>
          <w:tcPr/>
          <w:p>
            <w:pPr>
              <w:pStyle w:val="Compact"/>
              <w:jc w:val="right"/>
            </w:pPr>
            <w:r>
              <w:t xml:space="preserve">-400</w:t>
            </w:r>
          </w:p>
        </w:tc>
        <w:tc>
          <w:tcPr/>
          <w:p>
            <w:pPr>
              <w:pStyle w:val="Compact"/>
              <w:jc w:val="right"/>
            </w:pPr>
            <w:r>
              <w:t xml:space="preserve">-500</w:t>
            </w:r>
          </w:p>
        </w:tc>
        <w:tc>
          <w:tcPr/>
          <w:p>
            <w:pPr>
              <w:pStyle w:val="Compact"/>
              <w:jc w:val="right"/>
            </w:pPr>
            <w:r>
              <w:t xml:space="preserve">-300</w:t>
            </w:r>
          </w:p>
        </w:tc>
      </w:tr>
      <w:tr>
        <w:tc>
          <w:tcPr/>
          <w:p>
            <w:pPr>
              <w:pStyle w:val="Compact"/>
              <w:jc w:val="left"/>
            </w:pPr>
            <w:r>
              <w:rPr>
                <w:bCs/>
                <w:b/>
              </w:rPr>
              <w:t xml:space="preserve">产能利用率</w:t>
            </w:r>
          </w:p>
        </w:tc>
        <w:tc>
          <w:tcPr/>
          <w:p>
            <w:pPr>
              <w:pStyle w:val="Compact"/>
              <w:jc w:val="right"/>
            </w:pPr>
            <w:r>
              <w:t xml:space="preserve">95%</w:t>
            </w:r>
          </w:p>
        </w:tc>
        <w:tc>
          <w:tcPr/>
          <w:p>
            <w:pPr>
              <w:pStyle w:val="Compact"/>
              <w:jc w:val="right"/>
            </w:pPr>
            <w:r>
              <w:t xml:space="preserve">94%</w:t>
            </w:r>
          </w:p>
        </w:tc>
        <w:tc>
          <w:tcPr/>
          <w:p>
            <w:pPr>
              <w:pStyle w:val="Compact"/>
              <w:jc w:val="right"/>
            </w:pPr>
            <w:r>
              <w:t xml:space="preserve">95%</w:t>
            </w:r>
          </w:p>
        </w:tc>
        <w:tc>
          <w:tcPr/>
          <w:p>
            <w:pPr>
              <w:pStyle w:val="Compact"/>
              <w:jc w:val="right"/>
            </w:pPr>
            <w:r>
              <w:t xml:space="preserve">95%</w:t>
            </w:r>
          </w:p>
        </w:tc>
        <w:tc>
          <w:tcPr/>
          <w:p>
            <w:pPr>
              <w:pStyle w:val="Compact"/>
              <w:jc w:val="right"/>
            </w:pPr>
            <w:r>
              <w:t xml:space="preserve">98%</w:t>
            </w:r>
          </w:p>
        </w:tc>
      </w:tr>
      <w:tr>
        <w:tc>
          <w:tcPr/>
          <w:p>
            <w:pPr>
              <w:pStyle w:val="Compact"/>
              <w:jc w:val="left"/>
            </w:pPr>
            <w:r>
              <w:rPr>
                <w:bCs/>
                <w:b/>
              </w:rPr>
              <w:t xml:space="preserve">价格趋势</w:t>
            </w:r>
          </w:p>
        </w:tc>
        <w:tc>
          <w:tcPr/>
          <w:p>
            <w:pPr>
              <w:pStyle w:val="Compact"/>
              <w:jc w:val="right"/>
            </w:pPr>
            <w:r>
              <w:t xml:space="preserve">平稳</w:t>
            </w:r>
          </w:p>
        </w:tc>
        <w:tc>
          <w:tcPr/>
          <w:p>
            <w:pPr>
              <w:pStyle w:val="Compact"/>
              <w:jc w:val="right"/>
            </w:pPr>
            <w:r>
              <w:t xml:space="preserve">800G降50%</w:t>
            </w:r>
            <w:r>
              <w:t xml:space="preserve"> </w:t>
            </w:r>
            <w:fldSimple w:instr="NOTEREF _Ref_Footnote_96 \h \f">
              <w:r>
                <w:rPr>
                  <w:vertAlign w:val="superscript"/>
                </w:rPr>
                <w:t>96</w:t>
              </w:r>
            </w:fldSimple>
          </w:p>
        </w:tc>
        <w:tc>
          <w:tcPr/>
          <w:p>
            <w:pPr>
              <w:pStyle w:val="Compact"/>
              <w:jc w:val="right"/>
            </w:pPr>
            <w:r>
              <w:t xml:space="preserve">800G续降/1.6T趋稳</w:t>
            </w:r>
          </w:p>
        </w:tc>
        <w:tc>
          <w:tcPr/>
          <w:p>
            <w:pPr>
              <w:pStyle w:val="Compact"/>
              <w:jc w:val="right"/>
            </w:pPr>
            <w:r>
              <w:t xml:space="preserve">1.6T下行/CPO下降</w:t>
            </w:r>
          </w:p>
        </w:tc>
        <w:tc>
          <w:tcPr/>
          <w:p>
            <w:pPr>
              <w:pStyle w:val="Compact"/>
              <w:jc w:val="right"/>
            </w:pPr>
            <w:r>
              <w:t xml:space="preserve">整体趋稳</w:t>
            </w:r>
          </w:p>
        </w:tc>
      </w:tr>
      <w:tr>
        <w:tc>
          <w:tcPr/>
          <w:p>
            <w:pPr>
              <w:pStyle w:val="Compact"/>
              <w:jc w:val="left"/>
            </w:pPr>
            <w:r>
              <w:rPr>
                <w:bCs/>
                <w:b/>
              </w:rPr>
              <w:t xml:space="preserve">关键制约因素</w:t>
            </w:r>
          </w:p>
        </w:tc>
        <w:tc>
          <w:tcPr/>
          <w:p>
            <w:pPr>
              <w:pStyle w:val="Compact"/>
              <w:jc w:val="right"/>
            </w:pPr>
            <w:r>
              <w:t xml:space="preserve">EML紧缺</w:t>
            </w:r>
          </w:p>
        </w:tc>
        <w:tc>
          <w:tcPr/>
          <w:p>
            <w:pPr>
              <w:pStyle w:val="Compact"/>
              <w:jc w:val="right"/>
            </w:pPr>
            <w:r>
              <w:t xml:space="preserve">光芯片+DSP双紧</w:t>
            </w:r>
          </w:p>
        </w:tc>
        <w:tc>
          <w:tcPr/>
          <w:p>
            <w:pPr>
              <w:pStyle w:val="Compact"/>
              <w:jc w:val="right"/>
            </w:pPr>
            <w:r>
              <w:t xml:space="preserve">光芯片扩产滞后</w:t>
            </w:r>
          </w:p>
        </w:tc>
        <w:tc>
          <w:tcPr/>
          <w:p>
            <w:pPr>
              <w:pStyle w:val="Compact"/>
              <w:jc w:val="right"/>
            </w:pPr>
            <w:r>
              <w:t xml:space="preserve">CPO良率瓶颈</w:t>
            </w:r>
          </w:p>
        </w:tc>
        <w:tc>
          <w:tcPr/>
          <w:p>
            <w:pPr>
              <w:pStyle w:val="Compact"/>
              <w:jc w:val="right"/>
            </w:pPr>
            <w:r>
              <w:t xml:space="preserve">供给追赶</w:t>
            </w:r>
          </w:p>
        </w:tc>
      </w:tr>
    </w:tbl>
    <w:p>
      <w:pPr>
        <w:pStyle w:val="BodyText"/>
      </w:pPr>
      <w:r>
        <w:rPr>
          <w:iCs/>
          <w:i/>
        </w:rPr>
        <w:t xml:space="preserve">注：需求量包含可插拔模块、CPO/NPO和AOC/DAC等光互连产品；供给量为全球头部厂商（TOP10）合计有效产能。</w:t>
      </w:r>
    </w:p>
    <w:p>
      <w:pPr>
        <w:pStyle w:val="BodyText"/>
      </w:pPr>
      <w:r>
        <w:rPr>
          <w:bCs/>
          <w:b/>
        </w:rPr>
        <w:t xml:space="preserve">测算假设与倍率系数说明：</w:t>
      </w:r>
    </w:p>
    <w:p>
      <w:pPr>
        <w:numPr>
          <w:ilvl w:val="0"/>
          <w:numId w:val="1001"/>
        </w:numPr>
      </w:pPr>
      <w:r>
        <w:rPr>
          <w:bCs/>
          <w:b/>
        </w:rPr>
        <w:t xml:space="preserve">需求倍率系数</w:t>
      </w:r>
      <w:r>
        <w:t xml:space="preserve">：以全球GPU出货量为基准，假设每块训练GPU平均配比2.5-3个800G等效光模块（考虑三层网络架构的收敛比），每块推理GPU平均配比4-5个（推理集群节点更多、更分散）。800G与1.6T按1:0.75折算为等效800G端口（即一个1.6T模块等效于1.33个800G模块需求）。CPO/NPO按ELSFP模块口径折算。</w:t>
      </w:r>
    </w:p>
    <w:p>
      <w:pPr>
        <w:numPr>
          <w:ilvl w:val="0"/>
          <w:numId w:val="1001"/>
        </w:numPr>
      </w:pPr>
      <w:r>
        <w:rPr>
          <w:bCs/>
          <w:b/>
        </w:rPr>
        <w:t xml:space="preserve">供给倍率系数</w:t>
      </w:r>
      <w:r>
        <w:t xml:space="preserve">：以中际旭创、Coherent、新易盛三家龙头的产能规划为锚点，假设行业TOP10厂商合计产能占全球85%，产能爬坡周期为6-12个月（新产线从设备进场到良率达标），有效产能按名义产能的80%计算（考虑良率、设备维护和人员因素）。</w:t>
      </w:r>
    </w:p>
    <w:p>
      <w:pPr>
        <w:numPr>
          <w:ilvl w:val="0"/>
          <w:numId w:val="1001"/>
        </w:numPr>
      </w:pPr>
      <w:r>
        <w:rPr>
          <w:bCs/>
          <w:b/>
        </w:rPr>
        <w:t xml:space="preserve">价格假设</w:t>
      </w:r>
      <w:r>
        <w:t xml:space="preserve">：基于历史价格曲线，800G光模块在规模化量产后每年价格下降约30-50%</w:t>
      </w:r>
      <w:r>
        <w:t xml:space="preserve"> </w:t>
      </w:r>
      <w:fldSimple w:instr="NOTEREF _Ref_Footnote_96 \h \f">
        <w:r>
          <w:rPr>
            <w:vertAlign w:val="superscript"/>
          </w:rPr>
          <w:t>96</w:t>
        </w:r>
      </w:fldSimple>
      <w:r>
        <w:t xml:space="preserve">，1.6T光模块在规模放量后遵循相似曲线，CPO产品因良率改善每年成本下降约20-30%。</w:t>
      </w:r>
    </w:p>
    <w:p>
      <w:pPr>
        <w:pStyle w:val="FirstParagraph"/>
      </w:pPr>
      <w:r>
        <w:t xml:space="preserve">上表测算结果显示，2024-2028年全球光模块市场将持续处于</w:t>
      </w:r>
      <w:r>
        <w:rPr>
          <w:bCs/>
          <w:b/>
        </w:rPr>
        <w:t xml:space="preserve">供给偏紧</w:t>
      </w:r>
      <w:r>
        <w:t xml:space="preserve">状态，供需缺口虽不大（300-500万只），但结构性紧缺突出——高端EML芯片和DSP芯片的瓶颈导致800G/1.6T模块的</w:t>
      </w:r>
      <w:r>
        <w:rPr>
          <w:bCs/>
          <w:b/>
        </w:rPr>
        <w:t xml:space="preserve">有效供给</w:t>
      </w:r>
      <w:r>
        <w:t xml:space="preserve">远低于名义产能。Lumentum的高端EML供需缺口超30%</w:t>
      </w:r>
      <w:r>
        <w:t xml:space="preserve"> </w:t>
      </w:r>
      <w:fldSimple w:instr="NOTEREF _Ref_Footnote_30 \h \f">
        <w:r>
          <w:rPr>
            <w:vertAlign w:val="superscript"/>
          </w:rPr>
          <w:t>30</w:t>
        </w:r>
      </w:fldSimple>
      <w:r>
        <w:t xml:space="preserve">，这一瓶颈预计将持续至2026年底甚至更久。值得注意的是，2027-2028年随着东南亚新产能集中释放和1.6T快速放量，行业可能从”结构性紧缺”转向”阶段性过剩”，特别是800G产品的价格竞争压力将持续加大。</w:t>
      </w:r>
    </w:p>
    <w:bookmarkEnd w:id="54"/>
    <w:bookmarkEnd w:id="55"/>
    <w:bookmarkStart w:id="57" w:name="政策支持"/>
    <w:p>
      <w:pPr>
        <w:pStyle w:val="Heading3"/>
      </w:pPr>
      <w:r>
        <w:t xml:space="preserve">2.6 政策支持</w:t>
      </w:r>
    </w:p>
    <w:bookmarkStart w:id="56" w:name="产业政策梳理"/>
    <w:p>
      <w:pPr>
        <w:pStyle w:val="Heading4"/>
      </w:pPr>
      <w:r>
        <w:t xml:space="preserve">2.6.1 产业政策梳理</w:t>
      </w:r>
    </w:p>
    <w:p>
      <w:pPr>
        <w:pStyle w:val="FirstParagraph"/>
      </w:pPr>
      <w:r>
        <w:t xml:space="preserve">光通信作为”新基建”和”东数西算”的核心支撑环节，受到中国政策层面的高度重视。同时，美国对华技术出口管制和关税政策也对产业格局产生深远影响。</w:t>
      </w:r>
    </w:p>
    <w:p>
      <w:pPr>
        <w:pStyle w:val="BodyText"/>
      </w:pPr>
      <w:r>
        <w:rPr>
          <w:bCs/>
          <w:b/>
        </w:rPr>
        <w:t xml:space="preserve">表5：近三年光通信及AI算力相关政策梳理（从新到旧）</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发布时间</w:t>
            </w:r>
          </w:p>
        </w:tc>
        <w:tc>
          <w:tcPr/>
          <w:p>
            <w:pPr>
              <w:pStyle w:val="Compact"/>
              <w:jc w:val="left"/>
            </w:pPr>
            <w:r>
              <w:t xml:space="preserve">发行主体</w:t>
            </w:r>
          </w:p>
        </w:tc>
        <w:tc>
          <w:tcPr/>
          <w:p>
            <w:pPr>
              <w:pStyle w:val="Compact"/>
              <w:jc w:val="left"/>
            </w:pPr>
            <w:r>
              <w:t xml:space="preserve">影响范围</w:t>
            </w:r>
          </w:p>
        </w:tc>
        <w:tc>
          <w:tcPr/>
          <w:p>
            <w:pPr>
              <w:pStyle w:val="Compact"/>
              <w:jc w:val="left"/>
            </w:pPr>
            <w:r>
              <w:t xml:space="preserve">内容总结</w:t>
            </w:r>
          </w:p>
        </w:tc>
      </w:tr>
      <w:tr>
        <w:tc>
          <w:tcPr/>
          <w:p>
            <w:pPr>
              <w:pStyle w:val="Compact"/>
              <w:jc w:val="left"/>
            </w:pPr>
            <w:r>
              <w:t xml:space="preserve">2025年12月</w:t>
            </w:r>
          </w:p>
        </w:tc>
        <w:tc>
          <w:tcPr/>
          <w:p>
            <w:pPr>
              <w:pStyle w:val="Compact"/>
              <w:jc w:val="left"/>
            </w:pPr>
            <w:r>
              <w:t xml:space="preserve">国家发改委</w:t>
            </w:r>
          </w:p>
        </w:tc>
        <w:tc>
          <w:tcPr/>
          <w:p>
            <w:pPr>
              <w:pStyle w:val="Compact"/>
              <w:jc w:val="left"/>
            </w:pPr>
            <w:r>
              <w:t xml:space="preserve">算力基础设施</w:t>
            </w:r>
          </w:p>
        </w:tc>
        <w:tc>
          <w:tcPr/>
          <w:p>
            <w:pPr>
              <w:pStyle w:val="Compact"/>
              <w:jc w:val="left"/>
            </w:pPr>
            <w:r>
              <w:t xml:space="preserve">“</w:t>
            </w:r>
            <w:r>
              <w:t xml:space="preserve">东数西算</w:t>
            </w:r>
            <w:r>
              <w:t xml:space="preserve">”</w:t>
            </w:r>
            <w:r>
              <w:t xml:space="preserve">八大枢纽智算规模达138.8万PFlops，新开工25个项目，带动投资超1{,}900亿元</w:t>
            </w:r>
            <w:r>
              <w:t xml:space="preserve"> </w:t>
            </w:r>
            <w:fldSimple w:instr="NOTEREF _Ref_Footnote_44 \h \f">
              <w:r>
                <w:rPr>
                  <w:vertAlign w:val="superscript"/>
                </w:rPr>
                <w:t>44</w:t>
              </w:r>
            </w:fldSimple>
          </w:p>
        </w:tc>
      </w:tr>
      <w:tr>
        <w:tc>
          <w:tcPr/>
          <w:p>
            <w:pPr>
              <w:pStyle w:val="Compact"/>
              <w:jc w:val="left"/>
            </w:pPr>
            <w:r>
              <w:t xml:space="preserve">2025年10月</w:t>
            </w:r>
          </w:p>
        </w:tc>
        <w:tc>
          <w:tcPr/>
          <w:p>
            <w:pPr>
              <w:pStyle w:val="Compact"/>
              <w:jc w:val="left"/>
            </w:pPr>
            <w:r>
              <w:t xml:space="preserve">工信部</w:t>
            </w:r>
          </w:p>
        </w:tc>
        <w:tc>
          <w:tcPr/>
          <w:p>
            <w:pPr>
              <w:pStyle w:val="Compact"/>
              <w:jc w:val="left"/>
            </w:pPr>
            <w:r>
              <w:t xml:space="preserve">光芯片产业</w:t>
            </w:r>
          </w:p>
        </w:tc>
        <w:tc>
          <w:tcPr/>
          <w:p>
            <w:pPr>
              <w:pStyle w:val="Compact"/>
              <w:jc w:val="left"/>
            </w:pPr>
            <w:r>
              <w:t xml:space="preserve">将25G及以上高速光芯片列为”卡脖子”攻关方向，设立3个省级光芯片产业园区</w:t>
            </w:r>
            <w:r>
              <w:t xml:space="preserve"> </w:t>
            </w:r>
            <w:r>
              <w:rPr>
                <w:vertAlign w:val="superscript"/>
              </w:rPr>
              <w:footnoteReference w:id="104"/>
            </w:r>
          </w:p>
        </w:tc>
      </w:tr>
      <w:tr>
        <w:tc>
          <w:tcPr/>
          <w:p>
            <w:pPr>
              <w:pStyle w:val="Compact"/>
              <w:jc w:val="left"/>
            </w:pPr>
            <w:r>
              <w:t xml:space="preserve">2025年8月</w:t>
            </w:r>
          </w:p>
        </w:tc>
        <w:tc>
          <w:tcPr/>
          <w:p>
            <w:pPr>
              <w:pStyle w:val="Compact"/>
              <w:jc w:val="left"/>
            </w:pPr>
            <w:r>
              <w:t xml:space="preserve">美国CBP</w:t>
            </w:r>
          </w:p>
        </w:tc>
        <w:tc>
          <w:tcPr/>
          <w:p>
            <w:pPr>
              <w:pStyle w:val="Compact"/>
              <w:jc w:val="left"/>
            </w:pPr>
            <w:r>
              <w:t xml:space="preserve">光模块贸易</w:t>
            </w:r>
          </w:p>
        </w:tc>
        <w:tc>
          <w:tcPr/>
          <w:p>
            <w:pPr>
              <w:pStyle w:val="Compact"/>
              <w:jc w:val="left"/>
            </w:pPr>
            <w:r>
              <w:t xml:space="preserve">对部分光通信产品豁免”对等关税”，光模块因归类通信设备实际受影响有限</w:t>
            </w:r>
            <w:r>
              <w:t xml:space="preserve"> </w:t>
            </w:r>
            <w:r>
              <w:rPr>
                <w:vertAlign w:val="superscript"/>
              </w:rPr>
              <w:footnoteReference w:id="105"/>
            </w:r>
          </w:p>
        </w:tc>
      </w:tr>
      <w:tr>
        <w:tc>
          <w:tcPr/>
          <w:p>
            <w:pPr>
              <w:pStyle w:val="Compact"/>
              <w:jc w:val="left"/>
            </w:pPr>
            <w:r>
              <w:t xml:space="preserve">2025年6月</w:t>
            </w:r>
          </w:p>
        </w:tc>
        <w:tc>
          <w:tcPr/>
          <w:p>
            <w:pPr>
              <w:pStyle w:val="Compact"/>
              <w:jc w:val="left"/>
            </w:pPr>
            <w:r>
              <w:t xml:space="preserve">美国商务部</w:t>
            </w:r>
          </w:p>
        </w:tc>
        <w:tc>
          <w:tcPr/>
          <w:p>
            <w:pPr>
              <w:pStyle w:val="Compact"/>
              <w:jc w:val="left"/>
            </w:pPr>
            <w:r>
              <w:t xml:space="preserve">高端光模块出口</w:t>
            </w:r>
          </w:p>
        </w:tc>
        <w:tc>
          <w:tcPr/>
          <w:p>
            <w:pPr>
              <w:pStyle w:val="Compact"/>
              <w:jc w:val="left"/>
            </w:pPr>
            <w:r>
              <w:t xml:space="preserve">更新《对华技术出口管制清单》，进一步限制1.6T及以上光模块及相关制造设备出口</w:t>
            </w:r>
            <w:r>
              <w:t xml:space="preserve"> </w:t>
            </w:r>
            <w:fldSimple w:instr="NOTEREF _Ref_Footnote_75 \h \f">
              <w:r>
                <w:rPr>
                  <w:vertAlign w:val="superscript"/>
                </w:rPr>
                <w:t>75</w:t>
              </w:r>
            </w:fldSimple>
          </w:p>
        </w:tc>
      </w:tr>
      <w:tr>
        <w:tc>
          <w:tcPr/>
          <w:p>
            <w:pPr>
              <w:pStyle w:val="Compact"/>
              <w:jc w:val="left"/>
            </w:pPr>
            <w:r>
              <w:t xml:space="preserve">2025年5月</w:t>
            </w:r>
          </w:p>
        </w:tc>
        <w:tc>
          <w:tcPr/>
          <w:p>
            <w:pPr>
              <w:pStyle w:val="Compact"/>
              <w:jc w:val="left"/>
            </w:pPr>
            <w:r>
              <w:t xml:space="preserve">中国移动</w:t>
            </w:r>
          </w:p>
        </w:tc>
        <w:tc>
          <w:tcPr/>
          <w:p>
            <w:pPr>
              <w:pStyle w:val="Compact"/>
              <w:jc w:val="left"/>
            </w:pPr>
            <w:r>
              <w:t xml:space="preserve">光纤光缆集采</w:t>
            </w:r>
          </w:p>
        </w:tc>
        <w:tc>
          <w:tcPr/>
          <w:p>
            <w:pPr>
              <w:pStyle w:val="Compact"/>
              <w:jc w:val="left"/>
            </w:pPr>
            <w:r>
              <w:t xml:space="preserve">G.654.E光缆集采313.86万芯公里，较前次增长156%，支撑东数西算网络建设</w:t>
            </w:r>
            <w:r>
              <w:t xml:space="preserve"> </w:t>
            </w:r>
            <w:fldSimple w:instr="NOTEREF _Ref_Footnote_45 \h \f">
              <w:r>
                <w:rPr>
                  <w:vertAlign w:val="superscript"/>
                </w:rPr>
                <w:t>45</w:t>
              </w:r>
            </w:fldSimple>
          </w:p>
        </w:tc>
      </w:tr>
      <w:tr>
        <w:tc>
          <w:tcPr/>
          <w:p>
            <w:pPr>
              <w:pStyle w:val="Compact"/>
              <w:jc w:val="left"/>
            </w:pPr>
            <w:r>
              <w:t xml:space="preserve">2025年3月</w:t>
            </w:r>
          </w:p>
        </w:tc>
        <w:tc>
          <w:tcPr/>
          <w:p>
            <w:pPr>
              <w:pStyle w:val="Compact"/>
              <w:jc w:val="left"/>
            </w:pPr>
            <w:r>
              <w:t xml:space="preserve">大基金三期</w:t>
            </w:r>
          </w:p>
        </w:tc>
        <w:tc>
          <w:tcPr/>
          <w:p>
            <w:pPr>
              <w:pStyle w:val="Compact"/>
              <w:jc w:val="left"/>
            </w:pPr>
            <w:r>
              <w:t xml:space="preserve">半导体设备材料</w:t>
            </w:r>
          </w:p>
        </w:tc>
        <w:tc>
          <w:tcPr/>
          <w:p>
            <w:pPr>
              <w:pStyle w:val="Compact"/>
              <w:jc w:val="left"/>
            </w:pPr>
            <w:r>
              <w:t xml:space="preserve">注册资本3{,}440亿元，70%资金投向设备材料国产化，周期15年</w:t>
            </w:r>
            <w:r>
              <w:t xml:space="preserve"> </w:t>
            </w:r>
            <w:fldSimple w:instr="NOTEREF _Ref_Footnote_46 \h \f">
              <w:r>
                <w:rPr>
                  <w:vertAlign w:val="superscript"/>
                </w:rPr>
                <w:t>46</w:t>
              </w:r>
            </w:fldSimple>
          </w:p>
        </w:tc>
      </w:tr>
      <w:tr>
        <w:tc>
          <w:tcPr/>
          <w:p>
            <w:pPr>
              <w:pStyle w:val="Compact"/>
              <w:jc w:val="left"/>
            </w:pPr>
            <w:r>
              <w:t xml:space="preserve">2025年2月</w:t>
            </w:r>
          </w:p>
        </w:tc>
        <w:tc>
          <w:tcPr/>
          <w:p>
            <w:pPr>
              <w:pStyle w:val="Compact"/>
              <w:jc w:val="left"/>
            </w:pPr>
            <w:r>
              <w:t xml:space="preserve">国家信息中心</w:t>
            </w:r>
          </w:p>
        </w:tc>
        <w:tc>
          <w:tcPr/>
          <w:p>
            <w:pPr>
              <w:pStyle w:val="Compact"/>
              <w:jc w:val="left"/>
            </w:pPr>
            <w:r>
              <w:t xml:space="preserve">算力均衡布局</w:t>
            </w:r>
          </w:p>
        </w:tc>
        <w:tc>
          <w:tcPr/>
          <w:p>
            <w:pPr>
              <w:pStyle w:val="Compact"/>
              <w:jc w:val="left"/>
            </w:pPr>
            <w:r>
              <w:t xml:space="preserve">发布《东数西算背景下新型算力基础设施发展研究报告》，提出全国算力一体化目标</w:t>
            </w:r>
            <w:r>
              <w:t xml:space="preserve"> </w:t>
            </w:r>
            <w:fldSimple w:instr="NOTEREF _Ref_Footnote_44 \h \f">
              <w:r>
                <w:rPr>
                  <w:vertAlign w:val="superscript"/>
                </w:rPr>
                <w:t>44</w:t>
              </w:r>
            </w:fldSimple>
          </w:p>
        </w:tc>
      </w:tr>
      <w:tr>
        <w:tc>
          <w:tcPr/>
          <w:p>
            <w:pPr>
              <w:pStyle w:val="Compact"/>
              <w:jc w:val="left"/>
            </w:pPr>
            <w:r>
              <w:t xml:space="preserve">2024年7月</w:t>
            </w:r>
          </w:p>
        </w:tc>
        <w:tc>
          <w:tcPr/>
          <w:p>
            <w:pPr>
              <w:pStyle w:val="Compact"/>
              <w:jc w:val="left"/>
            </w:pPr>
            <w:r>
              <w:t xml:space="preserve">UEC联盟</w:t>
            </w:r>
          </w:p>
        </w:tc>
        <w:tc>
          <w:tcPr/>
          <w:p>
            <w:pPr>
              <w:pStyle w:val="Compact"/>
              <w:jc w:val="left"/>
            </w:pPr>
            <w:r>
              <w:t xml:space="preserve">AI网络标准</w:t>
            </w:r>
          </w:p>
        </w:tc>
        <w:tc>
          <w:tcPr/>
          <w:p>
            <w:pPr>
              <w:pStyle w:val="Compact"/>
              <w:jc w:val="left"/>
            </w:pPr>
            <w:r>
              <w:t xml:space="preserve">超以太网联盟发布”AI Transport”草案，以太网性能逼近InfiniBand</w:t>
            </w:r>
            <w:r>
              <w:t xml:space="preserve"> </w:t>
            </w:r>
            <w:r>
              <w:rPr>
                <w:vertAlign w:val="superscript"/>
              </w:rPr>
              <w:footnoteReference w:id="106"/>
            </w:r>
          </w:p>
        </w:tc>
      </w:tr>
      <w:tr>
        <w:tc>
          <w:tcPr/>
          <w:p>
            <w:pPr>
              <w:pStyle w:val="Compact"/>
              <w:jc w:val="left"/>
            </w:pPr>
            <w:r>
              <w:t xml:space="preserve">2024年3月</w:t>
            </w:r>
          </w:p>
        </w:tc>
        <w:tc>
          <w:tcPr/>
          <w:p>
            <w:pPr>
              <w:pStyle w:val="Compact"/>
              <w:jc w:val="left"/>
            </w:pPr>
            <w:r>
              <w:t xml:space="preserve">国务院</w:t>
            </w:r>
          </w:p>
        </w:tc>
        <w:tc>
          <w:tcPr/>
          <w:p>
            <w:pPr>
              <w:pStyle w:val="Compact"/>
              <w:jc w:val="left"/>
            </w:pPr>
            <w:r>
              <w:t xml:space="preserve">信创产业</w:t>
            </w:r>
          </w:p>
        </w:tc>
        <w:tc>
          <w:tcPr/>
          <w:p>
            <w:pPr>
              <w:pStyle w:val="Compact"/>
              <w:jc w:val="left"/>
            </w:pPr>
            <w:r>
              <w:t xml:space="preserve">推进关键信息基础设施国产化替代，算力设施国产化率2025年目标不低于60%</w:t>
            </w:r>
            <w:r>
              <w:t xml:space="preserve"> </w:t>
            </w:r>
            <w:r>
              <w:rPr>
                <w:vertAlign w:val="superscript"/>
              </w:rPr>
              <w:footnoteReference w:id="107"/>
            </w:r>
          </w:p>
        </w:tc>
      </w:tr>
      <w:tr>
        <w:tc>
          <w:tcPr/>
          <w:p>
            <w:pPr>
              <w:pStyle w:val="Compact"/>
              <w:jc w:val="left"/>
            </w:pPr>
            <w:r>
              <w:t xml:space="preserve">2023年7月</w:t>
            </w:r>
          </w:p>
        </w:tc>
        <w:tc>
          <w:tcPr/>
          <w:p>
            <w:pPr>
              <w:pStyle w:val="Compact"/>
              <w:jc w:val="left"/>
            </w:pPr>
            <w:r>
              <w:t xml:space="preserve">UEC联盟</w:t>
            </w:r>
          </w:p>
        </w:tc>
        <w:tc>
          <w:tcPr/>
          <w:p>
            <w:pPr>
              <w:pStyle w:val="Compact"/>
              <w:jc w:val="left"/>
            </w:pPr>
            <w:r>
              <w:t xml:space="preserve">AI网络生态</w:t>
            </w:r>
          </w:p>
        </w:tc>
        <w:tc>
          <w:tcPr/>
          <w:p>
            <w:pPr>
              <w:pStyle w:val="Compact"/>
              <w:jc w:val="left"/>
            </w:pPr>
            <w:r>
              <w:t xml:space="preserve">超以太网联盟（UEC）成立，AMD、博通、思科、Meta、微软等加入</w:t>
            </w:r>
            <w:r>
              <w:t xml:space="preserve"> </w:t>
            </w:r>
            <w:fldSimple w:instr="NOTEREF _Ref_Footnote_29 \h \f">
              <w:r>
                <w:rPr>
                  <w:vertAlign w:val="superscript"/>
                </w:rPr>
                <w:t>29</w:t>
              </w:r>
            </w:fldSimple>
          </w:p>
        </w:tc>
      </w:tr>
      <w:tr>
        <w:tc>
          <w:tcPr/>
          <w:p>
            <w:pPr>
              <w:pStyle w:val="Compact"/>
              <w:jc w:val="left"/>
            </w:pPr>
            <w:r>
              <w:t xml:space="preserve">2023年3月</w:t>
            </w:r>
          </w:p>
        </w:tc>
        <w:tc>
          <w:tcPr/>
          <w:p>
            <w:pPr>
              <w:pStyle w:val="Compact"/>
              <w:jc w:val="left"/>
            </w:pPr>
            <w:r>
              <w:t xml:space="preserve">国家发改委</w:t>
            </w:r>
          </w:p>
        </w:tc>
        <w:tc>
          <w:tcPr/>
          <w:p>
            <w:pPr>
              <w:pStyle w:val="Compact"/>
              <w:jc w:val="left"/>
            </w:pPr>
            <w:r>
              <w:t xml:space="preserve">东数西算工程</w:t>
            </w:r>
          </w:p>
        </w:tc>
        <w:tc>
          <w:tcPr/>
          <w:p>
            <w:pPr>
              <w:pStyle w:val="Compact"/>
              <w:jc w:val="left"/>
            </w:pPr>
            <w:r>
              <w:t xml:space="preserve">八大算力枢纽节点全面启动，京津冀、长三角、粤港澳、成渝等枢纽进入建设高峰期</w:t>
            </w:r>
            <w:r>
              <w:t xml:space="preserve"> </w:t>
            </w:r>
            <w:fldSimple w:instr="NOTEREF _Ref_Footnote_20 \h \f">
              <w:r>
                <w:rPr>
                  <w:vertAlign w:val="superscript"/>
                </w:rPr>
                <w:t>20</w:t>
              </w:r>
            </w:fldSimple>
          </w:p>
        </w:tc>
      </w:tr>
      <w:tr>
        <w:tc>
          <w:tcPr/>
          <w:p>
            <w:pPr>
              <w:pStyle w:val="Compact"/>
              <w:jc w:val="left"/>
            </w:pPr>
            <w:r>
              <w:t xml:space="preserve">2022年2月</w:t>
            </w:r>
          </w:p>
        </w:tc>
        <w:tc>
          <w:tcPr/>
          <w:p>
            <w:pPr>
              <w:pStyle w:val="Compact"/>
              <w:jc w:val="left"/>
            </w:pPr>
            <w:r>
              <w:t xml:space="preserve">国务院</w:t>
            </w:r>
          </w:p>
        </w:tc>
        <w:tc>
          <w:tcPr/>
          <w:p>
            <w:pPr>
              <w:pStyle w:val="Compact"/>
              <w:jc w:val="left"/>
            </w:pPr>
            <w:r>
              <w:t xml:space="preserve">东数西算（启动）</w:t>
            </w:r>
          </w:p>
        </w:tc>
        <w:tc>
          <w:tcPr/>
          <w:p>
            <w:pPr>
              <w:pStyle w:val="Compact"/>
              <w:jc w:val="left"/>
            </w:pPr>
            <w:r>
              <w:t xml:space="preserve">正式启动”东数西算”工程，规划建设10个国家数据中心集群</w:t>
            </w:r>
            <w:r>
              <w:t xml:space="preserve"> </w:t>
            </w:r>
            <w:fldSimple w:instr="NOTEREF _Ref_Footnote_44 \h \f">
              <w:r>
                <w:rPr>
                  <w:vertAlign w:val="superscript"/>
                </w:rPr>
                <w:t>44</w:t>
              </w:r>
            </w:fldSimple>
          </w:p>
        </w:tc>
      </w:tr>
    </w:tbl>
    <w:p>
      <w:pPr>
        <w:pStyle w:val="BodyText"/>
      </w:pPr>
      <w:r>
        <w:t xml:space="preserve">上表呈现了中外政策的”双向博弈”格局。中国政策以</w:t>
      </w:r>
      <w:r>
        <w:rPr>
          <w:bCs/>
          <w:b/>
        </w:rPr>
        <w:t xml:space="preserve">支持和国产替代</w:t>
      </w:r>
      <w:r>
        <w:t xml:space="preserve">为主轴：</w:t>
      </w:r>
      <w:r>
        <w:t xml:space="preserve">“</w:t>
      </w:r>
      <w:r>
        <w:t xml:space="preserve">东数西算</w:t>
      </w:r>
      <w:r>
        <w:t xml:space="preserve">”</w:t>
      </w:r>
      <w:r>
        <w:t xml:space="preserve">工程直接拉动新一轮数据中心建设和光模块采购，大基金三期的3{,}440亿元重点投向设备材料国产化</w:t>
      </w:r>
      <w:r>
        <w:t xml:space="preserve"> </w:t>
      </w:r>
      <w:fldSimple w:instr="NOTEREF _Ref_Footnote_46 \h \f">
        <w:r>
          <w:rPr>
            <w:vertAlign w:val="superscript"/>
          </w:rPr>
          <w:t>46</w:t>
        </w:r>
      </w:fldSimple>
      <w:r>
        <w:t xml:space="preserve">，光芯片被列为”卡脖子”攻关方向</w:t>
      </w:r>
      <w:r>
        <w:t xml:space="preserve"> </w:t>
      </w:r>
      <w:fldSimple w:instr="NOTEREF _Ref_Footnote_104 \h \f">
        <w:r>
          <w:rPr>
            <w:vertAlign w:val="superscript"/>
          </w:rPr>
          <w:t>104</w:t>
        </w:r>
      </w:fldSimple>
      <w:r>
        <w:t xml:space="preserve">。这些政策为国内光芯片企业（源杰科技、长光华芯、仕佳光子）提供了2-3年的关键战略窗口期</w:t>
      </w:r>
      <w:r>
        <w:t xml:space="preserve"> </w:t>
      </w:r>
      <w:fldSimple w:instr="NOTEREF _Ref_Footnote_35 \h \f">
        <w:r>
          <w:rPr>
            <w:vertAlign w:val="superscript"/>
          </w:rPr>
          <w:t>35</w:t>
        </w:r>
      </w:fldSimple>
      <w:r>
        <w:t xml:space="preserve">。</w:t>
      </w:r>
    </w:p>
    <w:p>
      <w:pPr>
        <w:pStyle w:val="BodyText"/>
      </w:pPr>
      <w:r>
        <w:t xml:space="preserve">美国政策以</w:t>
      </w:r>
      <w:r>
        <w:rPr>
          <w:bCs/>
          <w:b/>
        </w:rPr>
        <w:t xml:space="preserve">限制和保护</w:t>
      </w:r>
      <w:r>
        <w:t xml:space="preserve">为导向：2025年6月更新的出口管制清单进一步限制1.6T及以上光模块出口</w:t>
      </w:r>
      <w:r>
        <w:t xml:space="preserve"> </w:t>
      </w:r>
      <w:fldSimple w:instr="NOTEREF _Ref_Footnote_75 \h \f">
        <w:r>
          <w:rPr>
            <w:vertAlign w:val="superscript"/>
          </w:rPr>
          <w:t>75</w:t>
        </w:r>
      </w:fldSimple>
      <w:r>
        <w:t xml:space="preserve">，但2025年8月的关税豁免指南实际上给予了光模块较大的政策缓冲空间</w:t>
      </w:r>
      <w:r>
        <w:t xml:space="preserve"> </w:t>
      </w:r>
      <w:fldSimple w:instr="NOTEREF _Ref_Footnote_105 \h \f">
        <w:r>
          <w:rPr>
            <w:vertAlign w:val="superscript"/>
          </w:rPr>
          <w:t>105</w:t>
        </w:r>
      </w:fldSimple>
      <w:r>
        <w:t xml:space="preserve">。更值得关注的是美国强调”制造承诺”而非全流程生产本地化的关税逻辑</w:t>
      </w:r>
      <w:r>
        <w:t xml:space="preserve"> </w:t>
      </w:r>
      <w:r>
        <w:rPr>
          <w:vertAlign w:val="superscript"/>
        </w:rPr>
        <w:footnoteReference w:id="108"/>
      </w:r>
      <w:r>
        <w:t xml:space="preserve">，这意味着在泰国建厂的中国厂商（如中际旭创、新易盛）仍可通过原产地规则规避大部分关税。但中长期来看，若美国将高端光芯片（EML、DSP）纳入更严格的出口管制，中国光模块产业的全球主导地位将面临严重冲击——核心风险不在于关税，而在于</w:t>
      </w:r>
      <w:r>
        <w:rPr>
          <w:bCs/>
          <w:b/>
        </w:rPr>
        <w:t xml:space="preserve">光芯片断供</w:t>
      </w:r>
      <w:r>
        <w:t xml:space="preserve">。</w:t>
      </w:r>
    </w:p>
    <w:p>
      <w:pPr>
        <w:pStyle w:val="BodyText"/>
      </w:pPr>
      <w:r>
        <w:t xml:space="preserve">从投资视角看，政策环境对光通信板块形成”双向催化”：国内政策支持创造确定性需求，海外限制政策倒逼国产替代加速。当前25G+光芯片国产化率仅4-10%</w:t>
      </w:r>
      <w:r>
        <w:t xml:space="preserve"> </w:t>
      </w:r>
      <w:fldSimple w:instr="NOTEREF _Ref_Footnote_48 \h \f">
        <w:r>
          <w:rPr>
            <w:vertAlign w:val="superscript"/>
          </w:rPr>
          <w:t>48</w:t>
        </w:r>
      </w:fldSimple>
      <w:r>
        <w:t xml:space="preserve">，国产替代空间巨大但突破难度大——光芯片国产化不仅需要芯片设计能力，更依赖MOCVD外延设备和电子束光刻机等关键设备，而这些设备目前由海外企业垄断</w:t>
      </w:r>
      <w:r>
        <w:t xml:space="preserve"> </w:t>
      </w:r>
      <w:fldSimple w:instr="NOTEREF _Ref_Footnote_51 \h \f">
        <w:r>
          <w:rPr>
            <w:vertAlign w:val="superscript"/>
          </w:rPr>
          <w:t>51</w:t>
        </w:r>
      </w:fldSimple>
      <w:r>
        <w:t xml:space="preserve">。大基金三期的15年投资周期</w:t>
      </w:r>
      <w:r>
        <w:t xml:space="preserve"> </w:t>
      </w:r>
      <w:fldSimple w:instr="NOTEREF _Ref_Footnote_46 \h \f">
        <w:r>
          <w:rPr>
            <w:vertAlign w:val="superscript"/>
          </w:rPr>
          <w:t>46</w:t>
        </w:r>
      </w:fldSimple>
      <w:r>
        <w:t xml:space="preserve">已明确传递信号：光芯片国产替代是一个超长期主题，短期（1-2年）难以兑现业绩，但中期（3-5年）具备战略配置价值。</w:t>
      </w:r>
    </w:p>
    <w:p>
      <w:r>
        <w:pict>
          <v:rect style="width:0;height:1.5pt" o:hralign="center" o:hrstd="t" o:hr="t"/>
        </w:pict>
      </w:r>
    </w:p>
    <w:p>
      <w:pPr>
        <w:pStyle w:val="FirstParagraph"/>
      </w:pPr>
      <w:r>
        <w:t xml:space="preserve">以上对光通信行业的市场规模、技术路线、供需格局和政策环境进行了系统性梳理。在行业高景气的背景下，哪些公司能够真正捕获价值？竞争格局如何演变？本章聚焦全球竞争格局和重点公司，从买方视角分析各公司的投资逻辑、成长驱动与风险因素。</w:t>
      </w:r>
    </w:p>
    <w:bookmarkEnd w:id="56"/>
    <w:bookmarkEnd w:id="57"/>
    <w:bookmarkEnd w:id="58"/>
    <w:bookmarkStart w:id="79" w:name="竞争格局与重点公司"/>
    <w:p>
      <w:pPr>
        <w:pStyle w:val="Heading2"/>
      </w:pPr>
      <w:r>
        <w:t xml:space="preserve">3. 竞争格局与重点公司</w:t>
      </w:r>
    </w:p>
    <w:bookmarkStart w:id="64" w:name="全球竞争格局"/>
    <w:p>
      <w:pPr>
        <w:pStyle w:val="Heading3"/>
      </w:pPr>
      <w:r>
        <w:t xml:space="preserve">3.1 全球竞争格局</w:t>
      </w:r>
    </w:p>
    <w:bookmarkStart w:id="62" w:name="中国厂商主导光模块全球top10占7席cr5超70"/>
    <w:p>
      <w:pPr>
        <w:pStyle w:val="Heading4"/>
      </w:pPr>
      <w:r>
        <w:t xml:space="preserve">3.1.1 中国厂商主导光模块：全球TOP10占7席，CR5超70%</w:t>
      </w:r>
    </w:p>
    <w:p>
      <w:pPr>
        <w:pStyle w:val="FirstParagraph"/>
      </w:pPr>
      <w:r>
        <w:t xml:space="preserve">光模块制造环节的竞争格局呈现”高度集中、中国主导、梯队分明”的鲜明特征</w:t>
      </w:r>
      <w:r>
        <w:t xml:space="preserve"> </w:t>
      </w:r>
      <w:r>
        <w:rPr>
          <w:vertAlign w:val="superscript"/>
        </w:rPr>
        <w:footnoteReference w:id="109"/>
      </w:r>
      <w:r>
        <w:t xml:space="preserve">。根据LightCounting发布的2024年全球光模块厂商排名，中国厂商在TOP10中占据7席，中际旭创以33亿美元营收蝉联榜首（同比增长114%），新易盛以12亿美元跃升至第三位（同比增长175%）</w:t>
      </w:r>
      <w:fldSimple w:instr="NOTEREF _Ref_Footnote_15 \h \f">
        <w:r>
          <w:rPr>
            <w:vertAlign w:val="superscript"/>
          </w:rPr>
          <w:t>15</w:t>
        </w:r>
      </w:fldSimple>
      <w:r>
        <w:t xml:space="preserve">。全球前三大光模块厂商合计市场份额约60%，前五大厂商（CR5）市占率超过70%</w:t>
      </w:r>
      <w:r>
        <w:t xml:space="preserve"> </w:t>
      </w:r>
      <w:r>
        <w:rPr>
          <w:vertAlign w:val="superscript"/>
        </w:rPr>
        <w:footnoteReference w:id="110"/>
      </w:r>
      <w:r>
        <w:t xml:space="preserve"> </w:t>
      </w:r>
      <w:fldSimple w:instr="NOTEREF _Ref_Footnote_109 \h \f">
        <w:r>
          <w:rPr>
            <w:vertAlign w:val="superscript"/>
          </w:rPr>
          <w:t>109</w:t>
        </w:r>
      </w:fldSimple>
      <w:r>
        <w:t xml:space="preserve">。中际旭创与新易盛两家合计占据全球光模块市场约43%的份额，形成事实上的”双寡头”格局</w:t>
      </w:r>
      <w:r>
        <w:t xml:space="preserve"> </w:t>
      </w:r>
      <w:fldSimple w:instr="NOTEREF _Ref_Footnote_16 \h \f">
        <w:r>
          <w:rPr>
            <w:vertAlign w:val="superscript"/>
          </w:rPr>
          <w:t>16</w:t>
        </w:r>
      </w:fldSimple>
      <w:r>
        <w:t xml:space="preserve"> </w:t>
      </w:r>
      <w:r>
        <w:rPr>
          <w:vertAlign w:val="superscript"/>
        </w:rPr>
        <w:footnoteReference w:id="111"/>
      </w:r>
      <w:r>
        <w:t xml:space="preserve">。</w:t>
      </w:r>
    </w:p>
    <w:p>
      <w:pPr>
        <w:pStyle w:val="CaptionedFigure"/>
      </w:pPr>
      <w:r>
        <w:drawing>
          <wp:inline>
            <wp:extent cx="5334000" cy="3166893"/>
            <wp:effectExtent b="0" l="0" r="0" t="0"/>
            <wp:docPr descr="2024年全球光模块厂商市场份额" title="" id="60" name="Picture"/>
            <a:graphic>
              <a:graphicData uri="http://schemas.openxmlformats.org/drawingml/2006/picture">
                <pic:pic>
                  <pic:nvPicPr>
                    <pic:cNvPr descr="fig_sec03_market_share.png" id="61" name="Picture"/>
                    <pic:cNvPicPr>
                      <a:picLocks noChangeArrowheads="1" noChangeAspect="1"/>
                    </pic:cNvPicPr>
                  </pic:nvPicPr>
                  <pic:blipFill>
                    <a:blip r:embed="rId59"/>
                    <a:stretch>
                      <a:fillRect/>
                    </a:stretch>
                  </pic:blipFill>
                  <pic:spPr bwMode="auto">
                    <a:xfrm>
                      <a:off x="0" y="0"/>
                      <a:ext cx="5334000" cy="3166893"/>
                    </a:xfrm>
                    <a:prstGeom prst="rect">
                      <a:avLst/>
                    </a:prstGeom>
                    <a:noFill/>
                    <a:ln w="9525">
                      <a:noFill/>
                      <a:headEnd/>
                      <a:tailEnd/>
                    </a:ln>
                  </pic:spPr>
                </pic:pic>
              </a:graphicData>
            </a:graphic>
          </wp:inline>
        </w:drawing>
      </w:r>
    </w:p>
    <w:p>
      <w:pPr>
        <w:pStyle w:val="ImageCaption"/>
      </w:pPr>
      <w:r>
        <w:t xml:space="preserve">2024年全球光模块厂商市场份额</w:t>
      </w:r>
    </w:p>
    <w:p>
      <w:pPr>
        <w:pStyle w:val="BodyText"/>
      </w:pPr>
      <w:r>
        <w:t xml:space="preserve">从上图可以清晰看到中国厂商在全球光模块市场的主导地位。中际旭创以23.1%的份额稳居第一，Coherent（高意）与新易盛分别以约15%的份额位列第二、第三。值得注意的是，中国厂商的份额仍在持续提升——2023年中国厂商全球份额约55.6%，2025年已上升至63.2%</w:t>
      </w:r>
      <w:r>
        <w:t xml:space="preserve"> </w:t>
      </w:r>
      <w:fldSimple w:instr="NOTEREF _Ref_Footnote_14 \h \f">
        <w:r>
          <w:rPr>
            <w:vertAlign w:val="superscript"/>
          </w:rPr>
          <w:t>14</w:t>
        </w:r>
      </w:fldSimple>
      <w:r>
        <w:t xml:space="preserve"> </w:t>
      </w:r>
      <w:r>
        <w:rPr>
          <w:vertAlign w:val="superscript"/>
        </w:rPr>
        <w:footnoteReference w:id="112"/>
      </w:r>
      <w:r>
        <w:t xml:space="preserve">，预计三年内有望从70%进一步提升至80%</w:t>
      </w:r>
      <w:r>
        <w:t xml:space="preserve"> </w:t>
      </w:r>
      <w:r>
        <w:rPr>
          <w:vertAlign w:val="superscript"/>
        </w:rPr>
        <w:footnoteReference w:id="113"/>
      </w:r>
      <w:r>
        <w:t xml:space="preserve">。这一趋势背后的驱动力在于：中国厂商在800G/1.6T高端产品的技术领先、成本控制能力以及快速扩产能力，而海外厂商（除Coherent外）在高端光模块领域逐渐掉队。</w:t>
      </w:r>
    </w:p>
    <w:p>
      <w:pPr>
        <w:pStyle w:val="BodyText"/>
      </w:pPr>
      <w:r>
        <w:t xml:space="preserve">行业集中度未来三年预计将继续提升。英伟达等AI巨头已向EML芯片厂商施压，优先保障龙头厂商的供货配额；二三线光模块厂商即使手握订单也拿不到高端芯片，产能被锁死，客户转单至龙头已成定局</w:t>
      </w:r>
      <w:r>
        <w:t xml:space="preserve"> </w:t>
      </w:r>
      <w:r>
        <w:rPr>
          <w:vertAlign w:val="superscript"/>
        </w:rPr>
        <w:footnoteReference w:id="114"/>
      </w:r>
      <w:r>
        <w:t xml:space="preserve">。上游芯片供给紧张正在加速行业出清，缺乏差异化能力的中小厂商被挤出高端赛道。光大证券的调研指出，光模块行业正从”百家争鸣”滑向”寡头固化”，未来3年CR3有望从约60%升至70%以上</w:t>
      </w:r>
      <w:r>
        <w:t xml:space="preserve"> </w:t>
      </w:r>
      <w:r>
        <w:rPr>
          <w:vertAlign w:val="superscript"/>
        </w:rPr>
        <w:footnoteReference w:id="115"/>
      </w:r>
      <w:r>
        <w:t xml:space="preserve">。</w:t>
      </w:r>
    </w:p>
    <w:bookmarkEnd w:id="62"/>
    <w:bookmarkStart w:id="63" w:name="Xb4f5367bc1ceda37fedb3cd5fb0c021543a6dd8"/>
    <w:p>
      <w:pPr>
        <w:pStyle w:val="Heading4"/>
      </w:pPr>
      <w:r>
        <w:t xml:space="preserve">3.1.2 海外厂商主导上游：Broadcom交换芯片71%市占率，Lumentum/Coherent垄断高端光芯片80%+</w:t>
      </w:r>
    </w:p>
    <w:p>
      <w:pPr>
        <w:pStyle w:val="FirstParagraph"/>
      </w:pPr>
      <w:r>
        <w:t xml:space="preserve">尽管中国厂商在光模块组装环节占据主导，但产业链上游仍被海外厂商牢牢控制，形成”强模块、弱芯片”的结构性失衡</w:t>
      </w:r>
      <w:r>
        <w:t xml:space="preserve"> </w:t>
      </w:r>
      <w:fldSimple w:instr="NOTEREF _Ref_Footnote_50 \h \f">
        <w:r>
          <w:rPr>
            <w:vertAlign w:val="superscript"/>
          </w:rPr>
          <w:t>50</w:t>
        </w:r>
      </w:fldSimple>
      <w:r>
        <w:t xml:space="preserve">。</w:t>
      </w:r>
    </w:p>
    <w:p>
      <w:pPr>
        <w:pStyle w:val="BodyText"/>
      </w:pPr>
      <w:r>
        <w:rPr>
          <w:bCs/>
          <w:b/>
        </w:rPr>
        <w:t xml:space="preserve">交换芯片领域</w:t>
      </w:r>
      <w:r>
        <w:t xml:space="preserve">，博通（Broadcom）在以太网交换机芯片市场份额高达71%，在商用外售市场2025年市占率约60%</w:t>
      </w:r>
      <w:r>
        <w:t xml:space="preserve"> </w:t>
      </w:r>
      <w:r>
        <w:rPr>
          <w:vertAlign w:val="superscript"/>
        </w:rPr>
        <w:footnoteReference w:id="116"/>
      </w:r>
      <w:r>
        <w:t xml:space="preserve"> </w:t>
      </w:r>
      <w:r>
        <w:rPr>
          <w:vertAlign w:val="superscript"/>
        </w:rPr>
        <w:footnoteReference w:id="117"/>
      </w:r>
      <w:r>
        <w:t xml:space="preserve">。Marvell通过收购Inphi后，在PAM4 DSP（四电平脉冲幅度调制数字信号处理器）市场占据60%-70%份额，在交换机芯片市场位列第二（约25%）</w:t>
      </w:r>
      <w:r>
        <w:rPr>
          <w:vertAlign w:val="superscript"/>
        </w:rPr>
        <w:footnoteReference w:id="118"/>
      </w:r>
      <w:r>
        <w:t xml:space="preserve"> </w:t>
      </w:r>
      <w:fldSimple w:instr="NOTEREF _Ref_Footnote_117 \h \f">
        <w:r>
          <w:rPr>
            <w:vertAlign w:val="superscript"/>
          </w:rPr>
          <w:t>117</w:t>
        </w:r>
      </w:fldSimple>
      <w:r>
        <w:t xml:space="preserve">。两家合计控制超过90%的高端交换芯片市场。</w:t>
      </w:r>
    </w:p>
    <w:p>
      <w:pPr>
        <w:pStyle w:val="BodyText"/>
      </w:pPr>
      <w:r>
        <w:rPr>
          <w:bCs/>
          <w:b/>
        </w:rPr>
        <w:t xml:space="preserve">高端光芯片领域</w:t>
      </w:r>
      <w:r>
        <w:t xml:space="preserve">，Lumentum与Coherent两大美国巨头合计垄断全球高端InP（磷化铟）光芯片超80%的市场份额，其中Lumentum在EML芯片领域市占率50%-60%，Coherent占25%-30%</w:t>
      </w:r>
      <w:r>
        <w:t xml:space="preserve"> </w:t>
      </w:r>
      <w:fldSimple w:instr="NOTEREF _Ref_Footnote_49 \h \f">
        <w:r>
          <w:rPr>
            <w:vertAlign w:val="superscript"/>
          </w:rPr>
          <w:t>49</w:t>
        </w:r>
      </w:fldSimple>
      <w:r>
        <w:t xml:space="preserve">。25G及以上速率光芯片的国产化率仅约4%-10%</w:t>
      </w:r>
      <w:r>
        <w:t xml:space="preserve"> </w:t>
      </w:r>
      <w:fldSimple w:instr="NOTEREF _Ref_Footnote_48 \h \f">
        <w:r>
          <w:rPr>
            <w:vertAlign w:val="superscript"/>
          </w:rPr>
          <w:t>48</w:t>
        </w:r>
      </w:fldSimple>
      <w:r>
        <w:t xml:space="preserve"> </w:t>
      </w:r>
      <w:fldSimple w:instr="NOTEREF _Ref_Footnote_47 \h \f">
        <w:r>
          <w:rPr>
            <w:vertAlign w:val="superscript"/>
          </w:rPr>
          <w:t>47</w:t>
        </w:r>
      </w:fldSimple>
      <w:r>
        <w:t xml:space="preserve">，DSP芯片国产化率不到1%</w:t>
      </w:r>
      <w:r>
        <w:t xml:space="preserve"> </w:t>
      </w:r>
      <w:fldSimple w:instr="NOTEREF _Ref_Footnote_50 \h \f">
        <w:r>
          <w:rPr>
            <w:vertAlign w:val="superscript"/>
          </w:rPr>
          <w:t>50</w:t>
        </w:r>
      </w:fldSimple>
      <w:r>
        <w:t xml:space="preserve">。高端光芯片和电芯片合计占光模块产品成本的约50%</w:t>
      </w:r>
      <w:r>
        <w:t xml:space="preserve"> </w:t>
      </w:r>
      <w:fldSimple w:instr="NOTEREF _Ref_Footnote_50 \h \f">
        <w:r>
          <w:rPr>
            <w:vertAlign w:val="superscript"/>
          </w:rPr>
          <w:t>50</w:t>
        </w:r>
      </w:fldSimple>
      <w:r>
        <w:t xml:space="preserve">，这意味着产业链的超额利润实际上被上游芯片厂商获取——中国光模块企业尽管在出货量上占全球60%+，但净利润率远低于博通（AI业务毛利率约80%）和Lumentum（EML业务毛利率约45%）。</w:t>
      </w:r>
    </w:p>
    <w:p>
      <w:pPr>
        <w:pStyle w:val="BodyText"/>
      </w:pPr>
      <w:r>
        <w:t xml:space="preserve">这一结构性失衡对投资决策的含义在于：光模块厂商的盈利能力本质上受到上游芯片供给的制约，而国产替代（源杰科技、仕佳光子、长光华芯等）的进展将直接决定中国光模块产业的长期安全边际。</w:t>
      </w:r>
    </w:p>
    <w:bookmarkEnd w:id="63"/>
    <w:bookmarkEnd w:id="64"/>
    <w:bookmarkStart w:id="75" w:name="重点公司分析"/>
    <w:p>
      <w:pPr>
        <w:pStyle w:val="Heading3"/>
      </w:pPr>
      <w:r>
        <w:t xml:space="preserve">3.2 重点公司分析</w:t>
      </w:r>
    </w:p>
    <w:p>
      <w:pPr>
        <w:pStyle w:val="FirstParagraph"/>
      </w:pPr>
      <w:r>
        <w:t xml:space="preserve">以下分析从买方视角出发，聚焦各公司的投资逻辑、成长驱动和风险因素，不过度展开业务细节。</w:t>
      </w:r>
    </w:p>
    <w:bookmarkStart w:id="65" w:name="中际旭创全球光模块绝对龙头"/>
    <w:p>
      <w:pPr>
        <w:pStyle w:val="Heading4"/>
      </w:pPr>
      <w:r>
        <w:t xml:space="preserve">3.2.1 中际旭创：全球光模块绝对龙头</w:t>
      </w:r>
    </w:p>
    <w:p>
      <w:pPr>
        <w:pStyle w:val="FirstParagraph"/>
      </w:pPr>
      <w:r>
        <w:t xml:space="preserve">中际旭创（300308.SZ）2025年实现营收382.4亿元，同比增长60.25%；归母净利润首次突破百亿至107.97亿元，同比增长108.78%</w:t>
      </w:r>
      <w:r>
        <w:t xml:space="preserve"> </w:t>
      </w:r>
      <w:fldSimple w:instr="NOTEREF _Ref_Footnote_94 \h \f">
        <w:r>
          <w:rPr>
            <w:vertAlign w:val="superscript"/>
          </w:rPr>
          <w:t>94</w:t>
        </w:r>
      </w:fldSimple>
      <w:r>
        <w:t xml:space="preserve">。2026年一季度营收194.96亿元，同比增长192%；归母净利润57.35亿元，同比增长262%；毛利率进一步提升至46.06%</w:t>
      </w:r>
      <w:r>
        <w:t xml:space="preserve"> </w:t>
      </w:r>
      <w:r>
        <w:rPr>
          <w:vertAlign w:val="superscript"/>
        </w:rPr>
        <w:footnoteReference w:id="119"/>
      </w:r>
      <w:r>
        <w:t xml:space="preserve">。公司境外收入占比超过90%，前五大客户合计销售额约290.56亿元，占年度销售总额的75.98%，深度绑定英伟达、谷歌、亚马逊等北美云厂商</w:t>
      </w:r>
      <w:r>
        <w:t xml:space="preserve"> </w:t>
      </w:r>
      <w:fldSimple w:instr="NOTEREF _Ref_Footnote_94 \h \f">
        <w:r>
          <w:rPr>
            <w:vertAlign w:val="superscript"/>
          </w:rPr>
          <w:t>94</w:t>
        </w:r>
      </w:fldSimple>
      <w:r>
        <w:t xml:space="preserve"> </w:t>
      </w:r>
      <w:fldSimple w:instr="NOTEREF _Ref_Footnote_72 \h \f">
        <w:r>
          <w:rPr>
            <w:vertAlign w:val="superscript"/>
          </w:rPr>
          <w:t>72</w:t>
        </w:r>
      </w:fldSimple>
      <w:r>
        <w:t xml:space="preserve">。</w:t>
      </w:r>
    </w:p>
    <w:p>
      <w:pPr>
        <w:pStyle w:val="BodyText"/>
      </w:pPr>
      <w:r>
        <w:rPr>
          <w:bCs/>
          <w:b/>
        </w:rPr>
        <w:t xml:space="preserve">投资核心逻辑</w:t>
      </w:r>
      <w:r>
        <w:t xml:space="preserve">在于三重壁垒叠加：一是产品壁垒，1.6T光模块市占率50%-70%，全球少数实现规模化交付的厂商</w:t>
      </w:r>
      <w:r>
        <w:t xml:space="preserve"> </w:t>
      </w:r>
      <w:fldSimple w:instr="NOTEREF _Ref_Footnote_64 \h \f">
        <w:r>
          <w:rPr>
            <w:vertAlign w:val="superscript"/>
          </w:rPr>
          <w:t>64</w:t>
        </w:r>
      </w:fldSimple>
      <w:r>
        <w:t xml:space="preserve">；二是客户壁垒，在英伟达1.6T供应链中占据约80%份额，为其1.6T CPO的独家供应商，订单锁定至2026年，续单率97%</w:t>
      </w:r>
      <w:r>
        <w:t xml:space="preserve"> </w:t>
      </w:r>
      <w:fldSimple w:instr="NOTEREF _Ref_Footnote_63 \h \f">
        <w:r>
          <w:rPr>
            <w:vertAlign w:val="superscript"/>
          </w:rPr>
          <w:t>63</w:t>
        </w:r>
      </w:fldSimple>
      <w:r>
        <w:t xml:space="preserve"> </w:t>
      </w:r>
      <w:r>
        <w:rPr>
          <w:vertAlign w:val="superscript"/>
        </w:rPr>
        <w:footnoteReference w:id="120"/>
      </w:r>
      <w:r>
        <w:t xml:space="preserve">；三是CPO卡位，800G CPO已实现大规模量产供货英伟达，2025年相关营收20亿元，全球CPO市占率约42%</w:t>
      </w:r>
      <w:r>
        <w:t xml:space="preserve"> </w:t>
      </w:r>
      <w:fldSimple w:instr="NOTEREF _Ref_Footnote_12 \h \f">
        <w:r>
          <w:rPr>
            <w:vertAlign w:val="superscript"/>
          </w:rPr>
          <w:t>12</w:t>
        </w:r>
      </w:fldSimple>
      <w:r>
        <w:t xml:space="preserve">。中际旭创2026年一季报中预付款从1.3亿元飙升至近15亿元，存货攀升至156.72亿元，系公司为应对供应链紧张采取的防御性备货</w:t>
      </w:r>
      <w:r>
        <w:t xml:space="preserve"> </w:t>
      </w:r>
      <w:r>
        <w:rPr>
          <w:vertAlign w:val="superscript"/>
        </w:rPr>
        <w:footnoteReference w:id="121"/>
      </w:r>
      <w:r>
        <w:t xml:space="preserve">，这从侧面印证了订单的充沛程度。</w:t>
      </w:r>
    </w:p>
    <w:p>
      <w:pPr>
        <w:pStyle w:val="BodyText"/>
      </w:pPr>
      <w:r>
        <w:rPr>
          <w:bCs/>
          <w:b/>
        </w:rPr>
        <w:t xml:space="preserve">关键跟踪变量</w:t>
      </w:r>
      <w:r>
        <w:t xml:space="preserve">：毛利率能否维持在45%以上（反映高端产品占比），1.6T出货量环比增速，以及泰国基地产能爬坡进度（目标月产能100万只）</w:t>
      </w:r>
      <w:fldSimple w:instr="NOTEREF _Ref_Footnote_78 \h \f">
        <w:r>
          <w:rPr>
            <w:vertAlign w:val="superscript"/>
          </w:rPr>
          <w:t>78</w:t>
        </w:r>
      </w:fldSimple>
      <w:r>
        <w:t xml:space="preserve">。</w:t>
      </w:r>
    </w:p>
    <w:bookmarkEnd w:id="65"/>
    <w:bookmarkStart w:id="66" w:name="新易盛成长最快的光模块厂商"/>
    <w:p>
      <w:pPr>
        <w:pStyle w:val="Heading4"/>
      </w:pPr>
      <w:r>
        <w:t xml:space="preserve">3.2.2 新易盛：成长最快的光模块厂商</w:t>
      </w:r>
    </w:p>
    <w:p>
      <w:pPr>
        <w:pStyle w:val="FirstParagraph"/>
      </w:pPr>
      <w:r>
        <w:t xml:space="preserve">新易盛（300502.SZ）2025年实现营收248.42亿元，同比增长187.29%；归母净利润95.32亿元，同比增长235.89%；海外收入占比高达96.16%</w:t>
      </w:r>
      <w:r>
        <w:t xml:space="preserve"> </w:t>
      </w:r>
      <w:r>
        <w:rPr>
          <w:vertAlign w:val="superscript"/>
        </w:rPr>
        <w:footnoteReference w:id="122"/>
      </w:r>
      <w:r>
        <w:t xml:space="preserve">。公司800G光模块全球市占率28%-33%，绑定英伟达、谷歌、Meta、亚马逊、微软五大顶级云厂商</w:t>
      </w:r>
      <w:r>
        <w:t xml:space="preserve"> </w:t>
      </w:r>
      <w:r>
        <w:rPr>
          <w:vertAlign w:val="superscript"/>
        </w:rPr>
        <w:footnoteReference w:id="123"/>
      </w:r>
      <w:r>
        <w:t xml:space="preserve"> </w:t>
      </w:r>
      <w:fldSimple w:instr="NOTEREF _Ref_Footnote_122 \h \f">
        <w:r>
          <w:rPr>
            <w:vertAlign w:val="superscript"/>
          </w:rPr>
          <w:t>122</w:t>
        </w:r>
      </w:fldSimple>
      <w:r>
        <w:t xml:space="preserve">。</w:t>
      </w:r>
    </w:p>
    <w:p>
      <w:pPr>
        <w:pStyle w:val="BodyText"/>
      </w:pPr>
      <w:r>
        <w:rPr>
          <w:bCs/>
          <w:b/>
        </w:rPr>
        <w:t xml:space="preserve">投资核心逻辑</w:t>
      </w:r>
      <w:r>
        <w:t xml:space="preserve">在于差异化技术路线和最大成长弹性。新易盛在LPO（线性直驱可插拔光模块）技术领域具备显著壁垒，LPO低功耗方案市占率75%，成本更低、功耗更优，适配英伟达GB200/GB300，已进入亚马逊3.2T供应链</w:t>
      </w:r>
      <w:r>
        <w:t xml:space="preserve"> </w:t>
      </w:r>
      <w:fldSimple w:instr="NOTEREF _Ref_Footnote_27 \h \f">
        <w:r>
          <w:rPr>
            <w:vertAlign w:val="superscript"/>
          </w:rPr>
          <w:t>27</w:t>
        </w:r>
      </w:fldSimple>
      <w:r>
        <w:t xml:space="preserve">。LPO移除DSP芯片可将功耗降低约50%</w:t>
      </w:r>
      <w:r>
        <w:t xml:space="preserve"> </w:t>
      </w:r>
      <w:fldSimple w:instr="NOTEREF _Ref_Footnote_26 \h \f">
        <w:r>
          <w:rPr>
            <w:vertAlign w:val="superscript"/>
          </w:rPr>
          <w:t>26</w:t>
        </w:r>
      </w:fldSimple>
      <w:r>
        <w:t xml:space="preserve">，恰好满足AI推理数据中心对功耗的苛刻要求——推理需求密度是训练的3-5倍，推理工作负载占AI总工作负载比例将从2023年的约20%上升至2030年的80%</w:t>
      </w:r>
      <w:r>
        <w:t xml:space="preserve"> </w:t>
      </w:r>
      <w:fldSimple w:instr="NOTEREF _Ref_Footnote_25 \h \f">
        <w:r>
          <w:rPr>
            <w:vertAlign w:val="superscript"/>
          </w:rPr>
          <w:t>25</w:t>
        </w:r>
      </w:fldSimple>
      <w:r>
        <w:t xml:space="preserve">。这意味着LPO并非过渡技术，而是推理时代的最佳适配方案，新易盛的LPO领先地位可能使其在推理时代获得比中际旭创更精准的技术卡位。</w:t>
      </w:r>
    </w:p>
    <w:p>
      <w:pPr>
        <w:pStyle w:val="BodyText"/>
      </w:pPr>
      <w:r>
        <w:rPr>
          <w:bCs/>
          <w:b/>
        </w:rPr>
        <w:t xml:space="preserve">风险提示</w:t>
      </w:r>
      <w:r>
        <w:t xml:space="preserve">：2026年一季度净利润同比增长76.8%但环比下滑超过10%，时隔九个季度首次环比下滑</w:t>
      </w:r>
      <w:r>
        <w:t xml:space="preserve"> </w:t>
      </w:r>
      <w:fldSimple w:instr="NOTEREF _Ref_Footnote_123 \h \f">
        <w:r>
          <w:rPr>
            <w:vertAlign w:val="superscript"/>
          </w:rPr>
          <w:t>123</w:t>
        </w:r>
      </w:fldSimple>
      <w:r>
        <w:t xml:space="preserve">。这一信号需要高度关注——它可能反映800G价格下降的压力开始传导至利润端，也可能仅是1.6T产品切换期的短期波动。</w:t>
      </w:r>
    </w:p>
    <w:bookmarkEnd w:id="66"/>
    <w:bookmarkStart w:id="67" w:name="天孚通信光器件隐形冠军"/>
    <w:p>
      <w:pPr>
        <w:pStyle w:val="Heading4"/>
      </w:pPr>
      <w:r>
        <w:t xml:space="preserve">3.2.3 天孚通信：光器件隐形冠军</w:t>
      </w:r>
    </w:p>
    <w:p>
      <w:pPr>
        <w:pStyle w:val="FirstParagraph"/>
      </w:pPr>
      <w:r>
        <w:t xml:space="preserve">天孚通信（300394.SZ）2025年实现营业收入51.63亿元，同比增长58.79%；归母净利润20.17亿元，同比增长50.15%</w:t>
      </w:r>
      <w:r>
        <w:t xml:space="preserve"> </w:t>
      </w:r>
      <w:fldSimple w:instr="NOTEREF _Ref_Footnote_12 \h \f">
        <w:r>
          <w:rPr>
            <w:vertAlign w:val="superscript"/>
          </w:rPr>
          <w:t>12</w:t>
        </w:r>
      </w:fldSimple>
      <w:r>
        <w:t xml:space="preserve">。有源光器件（以高速光引擎为主）营收同比增长81.11%至约29.98亿元，占营收比重从50.91%上升至58.06%</w:t>
      </w:r>
      <w:r>
        <w:t xml:space="preserve"> </w:t>
      </w:r>
      <w:fldSimple w:instr="NOTEREF _Ref_Footnote_12 \h \f">
        <w:r>
          <w:rPr>
            <w:vertAlign w:val="superscript"/>
          </w:rPr>
          <w:t>12</w:t>
        </w:r>
      </w:fldSimple>
      <w:r>
        <w:t xml:space="preserve">。</w:t>
      </w:r>
    </w:p>
    <w:p>
      <w:pPr>
        <w:pStyle w:val="BodyText"/>
      </w:pPr>
      <w:r>
        <w:rPr>
          <w:bCs/>
          <w:b/>
        </w:rPr>
        <w:t xml:space="preserve">投资核心逻辑</w:t>
      </w:r>
      <w:r>
        <w:t xml:space="preserve">在于CPO产业链价值重构中的核心受益地位。天孚通信是全球首家实现800G和1.6T高速光引擎规模化量产交付的企业，光引擎良率超90%，硅光混合集成效率达95%以上</w:t>
      </w:r>
      <w:r>
        <w:t xml:space="preserve"> </w:t>
      </w:r>
      <w:r>
        <w:rPr>
          <w:vertAlign w:val="superscript"/>
        </w:rPr>
        <w:footnoteReference w:id="124"/>
      </w:r>
      <w:r>
        <w:t xml:space="preserve">。公司1.6T光引擎全球市占率约65%，绑定英伟达的CPO光引擎市占率超70%</w:t>
      </w:r>
      <w:r>
        <w:t xml:space="preserve"> </w:t>
      </w:r>
      <w:r>
        <w:rPr>
          <w:vertAlign w:val="superscript"/>
        </w:rPr>
        <w:footnoteReference w:id="125"/>
      </w:r>
      <w:r>
        <w:t xml:space="preserve"> </w:t>
      </w:r>
      <w:fldSimple w:instr="NOTEREF _Ref_Footnote_99 \h \f">
        <w:r>
          <w:rPr>
            <w:vertAlign w:val="superscript"/>
          </w:rPr>
          <w:t>99</w:t>
        </w:r>
      </w:fldSimple>
      <w:r>
        <w:t xml:space="preserve">。CPO中光引擎和光纤阵列（FAU）价值占比在30%至50%，单台CPO配套价值量高达3.96万美元</w:t>
      </w:r>
      <w:r>
        <w:t xml:space="preserve"> </w:t>
      </w:r>
      <w:fldSimple w:instr="NOTEREF _Ref_Footnote_12 \h \f">
        <w:r>
          <w:rPr>
            <w:vertAlign w:val="superscript"/>
          </w:rPr>
          <w:t>12</w:t>
        </w:r>
      </w:fldSimple>
      <w:r>
        <w:t xml:space="preserve"> </w:t>
      </w:r>
      <w:r>
        <w:rPr>
          <w:vertAlign w:val="superscript"/>
        </w:rPr>
        <w:footnoteReference w:id="126"/>
      </w:r>
      <w:r>
        <w:t xml:space="preserve">。天孚通信的毛利率常年保持在50%以上，显著高于光模块组装厂商，反映其在光引擎领域的技术壁垒和议价能力。</w:t>
      </w:r>
    </w:p>
    <w:p>
      <w:pPr>
        <w:pStyle w:val="BodyText"/>
      </w:pPr>
      <w:r>
        <w:t xml:space="preserve">天孚通信的投资价值在于”确定性最强”——无论CPO最终渗透率多高，光引擎都是CPO系统中价值量最高的单一环节（占CPO总成本55%）</w:t>
      </w:r>
      <w:r>
        <w:rPr>
          <w:vertAlign w:val="superscript"/>
        </w:rPr>
        <w:footnoteReference w:id="127"/>
      </w:r>
      <w:r>
        <w:t xml:space="preserve">，而天孚在该领域的技术领先和客户认证优势短期内难以被撼动。</w:t>
      </w:r>
    </w:p>
    <w:bookmarkEnd w:id="67"/>
    <w:bookmarkStart w:id="74" w:name="光迅科技国产替代核心标的"/>
    <w:p>
      <w:pPr>
        <w:pStyle w:val="Heading4"/>
      </w:pPr>
      <w:r>
        <w:t xml:space="preserve">3.2.4 光迅科技：国产替代核心标的</w:t>
      </w:r>
    </w:p>
    <w:p>
      <w:pPr>
        <w:pStyle w:val="FirstParagraph"/>
      </w:pPr>
      <w:r>
        <w:t xml:space="preserve">光迅科技（002281.SZ）2025年实现营收119.29亿元，同比增长44.20%；归母净利润9.46亿元，同比增长43.10%；国内业务收入占比73.31%</w:t>
      </w:r>
      <w:r>
        <w:t xml:space="preserve"> </w:t>
      </w:r>
      <w:r>
        <w:rPr>
          <w:vertAlign w:val="superscript"/>
        </w:rPr>
        <w:footnoteReference w:id="128"/>
      </w:r>
      <w:r>
        <w:t xml:space="preserve">。公司具备从芯片到器件、模块、子系统的垂直整合能力（IDM模式），在25G及以下速率DFB芯片方面已完成自主量产能力建设，是国内唯一具备光芯片、器件、模块全产业链布局的企业</w:t>
      </w:r>
      <w:r>
        <w:t xml:space="preserve"> </w:t>
      </w:r>
      <w:r>
        <w:rPr>
          <w:vertAlign w:val="superscript"/>
        </w:rPr>
        <w:footnoteReference w:id="129"/>
      </w:r>
      <w:r>
        <w:t xml:space="preserve"> </w:t>
      </w:r>
      <w:r>
        <w:rPr>
          <w:vertAlign w:val="superscript"/>
        </w:rPr>
        <w:footnoteReference w:id="130"/>
      </w:r>
      <w:r>
        <w:t xml:space="preserve">。</w:t>
      </w:r>
    </w:p>
    <w:p>
      <w:pPr>
        <w:pStyle w:val="BodyText"/>
      </w:pPr>
      <w:r>
        <w:rPr>
          <w:bCs/>
          <w:b/>
        </w:rPr>
        <w:t xml:space="preserve">投资核心逻辑</w:t>
      </w:r>
      <w:r>
        <w:t xml:space="preserve">在于国产替代的稀缺性和国内算力建设的确定性。据Omdia数据，光迅科技2024年Q4至2025年Q3以5.9%的市场份额位列全球光器件行业第五</w:t>
      </w:r>
      <w:r>
        <w:t xml:space="preserve"> </w:t>
      </w:r>
      <w:fldSimple w:instr="NOTEREF _Ref_Footnote_129 \h \f">
        <w:r>
          <w:rPr>
            <w:vertAlign w:val="superscript"/>
          </w:rPr>
          <w:t>129</w:t>
        </w:r>
      </w:fldSimple>
      <w:r>
        <w:t xml:space="preserve">。</w:t>
      </w:r>
      <w:r>
        <w:t xml:space="preserve">“</w:t>
      </w:r>
      <w:r>
        <w:t xml:space="preserve">东数西算</w:t>
      </w:r>
      <w:r>
        <w:t xml:space="preserve">”</w:t>
      </w:r>
      <w:r>
        <w:t xml:space="preserve">工程推动国产化率目标提升（2025年算力设施国产化率不低于60%）</w:t>
      </w:r>
      <w:fldSimple w:instr="NOTEREF _Ref_Footnote_107 \h \f">
        <w:r>
          <w:rPr>
            <w:vertAlign w:val="superscript"/>
          </w:rPr>
          <w:t>107</w:t>
        </w:r>
      </w:fldSimple>
      <w:r>
        <w:t xml:space="preserve">，光迅科技作为国内光芯片自研能力最强的厂商，将直接受益于国产算力的政策红利。但需清醒认识其盈利能力的差距：公司综合毛利率约23%，远低于中际旭创（42.61%）和新易盛（47.81%）</w:t>
      </w:r>
      <w:r>
        <w:rPr>
          <w:vertAlign w:val="superscript"/>
        </w:rPr>
        <w:footnoteReference w:id="131"/>
      </w:r>
      <w:r>
        <w:t xml:space="preserve">，主要受国内市场价格竞争激烈和高端产品占比不足的影响。</w:t>
      </w:r>
    </w:p>
    <w:p>
      <w:pPr>
        <w:pStyle w:val="BodyText"/>
      </w:pPr>
      <w:r>
        <w:rPr>
          <w:bCs/>
          <w:b/>
        </w:rPr>
        <w:t xml:space="preserve">表1：光通信重点公司核心财务指标对比（2025年）</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指标</w:t>
            </w:r>
          </w:p>
        </w:tc>
        <w:tc>
          <w:tcPr/>
          <w:p>
            <w:pPr>
              <w:pStyle w:val="Compact"/>
              <w:jc w:val="left"/>
            </w:pPr>
            <w:r>
              <w:t xml:space="preserve">中际旭创</w:t>
            </w:r>
          </w:p>
        </w:tc>
        <w:tc>
          <w:tcPr/>
          <w:p>
            <w:pPr>
              <w:pStyle w:val="Compact"/>
              <w:jc w:val="left"/>
            </w:pPr>
            <w:r>
              <w:t xml:space="preserve">新易盛</w:t>
            </w:r>
          </w:p>
        </w:tc>
        <w:tc>
          <w:tcPr/>
          <w:p>
            <w:pPr>
              <w:pStyle w:val="Compact"/>
              <w:jc w:val="left"/>
            </w:pPr>
            <w:r>
              <w:t xml:space="preserve">天孚通信</w:t>
            </w:r>
          </w:p>
        </w:tc>
        <w:tc>
          <w:tcPr/>
          <w:p>
            <w:pPr>
              <w:pStyle w:val="Compact"/>
              <w:jc w:val="left"/>
            </w:pPr>
            <w:r>
              <w:t xml:space="preserve">光迅科技</w:t>
            </w:r>
          </w:p>
        </w:tc>
      </w:tr>
      <w:tr>
        <w:tc>
          <w:tcPr/>
          <w:p>
            <w:pPr>
              <w:pStyle w:val="Compact"/>
              <w:jc w:val="left"/>
            </w:pPr>
            <w:r>
              <w:t xml:space="preserve">营业收入（亿元）</w:t>
            </w:r>
          </w:p>
        </w:tc>
        <w:tc>
          <w:tcPr/>
          <w:p>
            <w:pPr>
              <w:pStyle w:val="Compact"/>
              <w:jc w:val="left"/>
            </w:pPr>
            <w:r>
              <w:t xml:space="preserve">382.4</w:t>
            </w:r>
            <w:r>
              <w:t xml:space="preserve"> </w:t>
            </w:r>
            <w:fldSimple w:instr="NOTEREF _Ref_Footnote_94 \h \f">
              <w:r>
                <w:rPr>
                  <w:vertAlign w:val="superscript"/>
                </w:rPr>
                <w:t>94</w:t>
              </w:r>
            </w:fldSimple>
          </w:p>
        </w:tc>
        <w:tc>
          <w:tcPr/>
          <w:p>
            <w:pPr>
              <w:pStyle w:val="Compact"/>
              <w:jc w:val="left"/>
            </w:pPr>
            <w:r>
              <w:t xml:space="preserve">248.42</w:t>
            </w:r>
            <w:r>
              <w:t xml:space="preserve"> </w:t>
            </w:r>
            <w:fldSimple w:instr="NOTEREF _Ref_Footnote_122 \h \f">
              <w:r>
                <w:rPr>
                  <w:vertAlign w:val="superscript"/>
                </w:rPr>
                <w:t>122</w:t>
              </w:r>
            </w:fldSimple>
          </w:p>
        </w:tc>
        <w:tc>
          <w:tcPr/>
          <w:p>
            <w:pPr>
              <w:pStyle w:val="Compact"/>
              <w:jc w:val="left"/>
            </w:pPr>
            <w:r>
              <w:t xml:space="preserve">51.63</w:t>
            </w:r>
            <w:r>
              <w:t xml:space="preserve"> </w:t>
            </w:r>
            <w:fldSimple w:instr="NOTEREF _Ref_Footnote_12 \h \f">
              <w:r>
                <w:rPr>
                  <w:vertAlign w:val="superscript"/>
                </w:rPr>
                <w:t>12</w:t>
              </w:r>
            </w:fldSimple>
          </w:p>
        </w:tc>
        <w:tc>
          <w:tcPr/>
          <w:p>
            <w:pPr>
              <w:pStyle w:val="Compact"/>
              <w:jc w:val="left"/>
            </w:pPr>
            <w:r>
              <w:t xml:space="preserve">119.29</w:t>
            </w:r>
            <w:r>
              <w:t xml:space="preserve"> </w:t>
            </w:r>
            <w:fldSimple w:instr="NOTEREF _Ref_Footnote_128 \h \f">
              <w:r>
                <w:rPr>
                  <w:vertAlign w:val="superscript"/>
                </w:rPr>
                <w:t>128</w:t>
              </w:r>
            </w:fldSimple>
          </w:p>
        </w:tc>
      </w:tr>
      <w:tr>
        <w:tc>
          <w:tcPr/>
          <w:p>
            <w:pPr>
              <w:pStyle w:val="Compact"/>
              <w:jc w:val="left"/>
            </w:pPr>
            <w:r>
              <w:t xml:space="preserve">同比增速（%）</w:t>
            </w:r>
          </w:p>
        </w:tc>
        <w:tc>
          <w:tcPr/>
          <w:p>
            <w:pPr>
              <w:pStyle w:val="Compact"/>
              <w:jc w:val="left"/>
            </w:pPr>
            <w:r>
              <w:t xml:space="preserve">+60.25%</w:t>
            </w:r>
            <w:r>
              <w:t xml:space="preserve"> </w:t>
            </w:r>
            <w:fldSimple w:instr="NOTEREF _Ref_Footnote_94 \h \f">
              <w:r>
                <w:rPr>
                  <w:vertAlign w:val="superscript"/>
                </w:rPr>
                <w:t>94</w:t>
              </w:r>
            </w:fldSimple>
          </w:p>
        </w:tc>
        <w:tc>
          <w:tcPr/>
          <w:p>
            <w:pPr>
              <w:pStyle w:val="Compact"/>
              <w:jc w:val="left"/>
            </w:pPr>
            <w:r>
              <w:t xml:space="preserve">+187.29%</w:t>
            </w:r>
            <w:r>
              <w:t xml:space="preserve"> </w:t>
            </w:r>
            <w:fldSimple w:instr="NOTEREF _Ref_Footnote_122 \h \f">
              <w:r>
                <w:rPr>
                  <w:vertAlign w:val="superscript"/>
                </w:rPr>
                <w:t>122</w:t>
              </w:r>
            </w:fldSimple>
          </w:p>
        </w:tc>
        <w:tc>
          <w:tcPr/>
          <w:p>
            <w:pPr>
              <w:pStyle w:val="Compact"/>
              <w:jc w:val="left"/>
            </w:pPr>
            <w:r>
              <w:t xml:space="preserve">+58.79%</w:t>
            </w:r>
            <w:r>
              <w:t xml:space="preserve"> </w:t>
            </w:r>
            <w:fldSimple w:instr="NOTEREF _Ref_Footnote_12 \h \f">
              <w:r>
                <w:rPr>
                  <w:vertAlign w:val="superscript"/>
                </w:rPr>
                <w:t>12</w:t>
              </w:r>
            </w:fldSimple>
          </w:p>
        </w:tc>
        <w:tc>
          <w:tcPr/>
          <w:p>
            <w:pPr>
              <w:pStyle w:val="Compact"/>
              <w:jc w:val="left"/>
            </w:pPr>
            <w:r>
              <w:t xml:space="preserve">+44.20%</w:t>
            </w:r>
            <w:r>
              <w:t xml:space="preserve"> </w:t>
            </w:r>
            <w:fldSimple w:instr="NOTEREF _Ref_Footnote_128 \h \f">
              <w:r>
                <w:rPr>
                  <w:vertAlign w:val="superscript"/>
                </w:rPr>
                <w:t>128</w:t>
              </w:r>
            </w:fldSimple>
          </w:p>
        </w:tc>
      </w:tr>
      <w:tr>
        <w:tc>
          <w:tcPr/>
          <w:p>
            <w:pPr>
              <w:pStyle w:val="Compact"/>
              <w:jc w:val="left"/>
            </w:pPr>
            <w:r>
              <w:t xml:space="preserve">归母净利润（亿元）</w:t>
            </w:r>
          </w:p>
        </w:tc>
        <w:tc>
          <w:tcPr/>
          <w:p>
            <w:pPr>
              <w:pStyle w:val="Compact"/>
              <w:jc w:val="left"/>
            </w:pPr>
            <w:r>
              <w:t xml:space="preserve">107.97</w:t>
            </w:r>
            <w:r>
              <w:t xml:space="preserve"> </w:t>
            </w:r>
            <w:fldSimple w:instr="NOTEREF _Ref_Footnote_94 \h \f">
              <w:r>
                <w:rPr>
                  <w:vertAlign w:val="superscript"/>
                </w:rPr>
                <w:t>94</w:t>
              </w:r>
            </w:fldSimple>
          </w:p>
        </w:tc>
        <w:tc>
          <w:tcPr/>
          <w:p>
            <w:pPr>
              <w:pStyle w:val="Compact"/>
              <w:jc w:val="left"/>
            </w:pPr>
            <w:r>
              <w:t xml:space="preserve">95.32</w:t>
            </w:r>
            <w:r>
              <w:t xml:space="preserve"> </w:t>
            </w:r>
            <w:fldSimple w:instr="NOTEREF _Ref_Footnote_122 \h \f">
              <w:r>
                <w:rPr>
                  <w:vertAlign w:val="superscript"/>
                </w:rPr>
                <w:t>122</w:t>
              </w:r>
            </w:fldSimple>
          </w:p>
        </w:tc>
        <w:tc>
          <w:tcPr/>
          <w:p>
            <w:pPr>
              <w:pStyle w:val="Compact"/>
              <w:jc w:val="left"/>
            </w:pPr>
            <w:r>
              <w:t xml:space="preserve">20.17</w:t>
            </w:r>
            <w:r>
              <w:t xml:space="preserve"> </w:t>
            </w:r>
            <w:fldSimple w:instr="NOTEREF _Ref_Footnote_12 \h \f">
              <w:r>
                <w:rPr>
                  <w:vertAlign w:val="superscript"/>
                </w:rPr>
                <w:t>12</w:t>
              </w:r>
            </w:fldSimple>
          </w:p>
        </w:tc>
        <w:tc>
          <w:tcPr/>
          <w:p>
            <w:pPr>
              <w:pStyle w:val="Compact"/>
              <w:jc w:val="left"/>
            </w:pPr>
            <w:r>
              <w:t xml:space="preserve">9.46</w:t>
            </w:r>
            <w:r>
              <w:t xml:space="preserve"> </w:t>
            </w:r>
            <w:fldSimple w:instr="NOTEREF _Ref_Footnote_128 \h \f">
              <w:r>
                <w:rPr>
                  <w:vertAlign w:val="superscript"/>
                </w:rPr>
                <w:t>128</w:t>
              </w:r>
            </w:fldSimple>
          </w:p>
        </w:tc>
      </w:tr>
      <w:tr>
        <w:tc>
          <w:tcPr/>
          <w:p>
            <w:pPr>
              <w:pStyle w:val="Compact"/>
              <w:jc w:val="left"/>
            </w:pPr>
            <w:r>
              <w:t xml:space="preserve">毛利率（%）</w:t>
            </w:r>
          </w:p>
        </w:tc>
        <w:tc>
          <w:tcPr/>
          <w:p>
            <w:pPr>
              <w:pStyle w:val="Compact"/>
              <w:jc w:val="left"/>
            </w:pPr>
            <w:r>
              <w:t xml:space="preserve">42.61%</w:t>
            </w:r>
            <w:r>
              <w:t xml:space="preserve"> </w:t>
            </w:r>
            <w:fldSimple w:instr="NOTEREF _Ref_Footnote_94 \h \f">
              <w:r>
                <w:rPr>
                  <w:vertAlign w:val="superscript"/>
                </w:rPr>
                <w:t>94</w:t>
              </w:r>
            </w:fldSimple>
          </w:p>
        </w:tc>
        <w:tc>
          <w:tcPr/>
          <w:p>
            <w:pPr>
              <w:pStyle w:val="Compact"/>
              <w:jc w:val="left"/>
            </w:pPr>
            <w:r>
              <w:t xml:space="preserve">47.81%</w:t>
            </w:r>
            <w:r>
              <w:t xml:space="preserve"> </w:t>
            </w:r>
            <w:fldSimple w:instr="NOTEREF _Ref_Footnote_122 \h \f">
              <w:r>
                <w:rPr>
                  <w:vertAlign w:val="superscript"/>
                </w:rPr>
                <w:t>122</w:t>
              </w:r>
            </w:fldSimple>
          </w:p>
        </w:tc>
        <w:tc>
          <w:tcPr/>
          <w:p>
            <w:pPr>
              <w:pStyle w:val="Compact"/>
              <w:jc w:val="left"/>
            </w:pPr>
            <w:r>
              <w:t xml:space="preserve">~50%</w:t>
            </w:r>
            <w:r>
              <w:t xml:space="preserve"> </w:t>
            </w:r>
            <w:r>
              <w:rPr>
                <w:vertAlign w:val="superscript"/>
              </w:rPr>
              <w:footnoteReference w:id="132"/>
            </w:r>
          </w:p>
        </w:tc>
        <w:tc>
          <w:tcPr/>
          <w:p>
            <w:pPr>
              <w:pStyle w:val="Compact"/>
              <w:jc w:val="left"/>
            </w:pPr>
            <w:r>
              <w:t xml:space="preserve">~23%</w:t>
            </w:r>
            <w:r>
              <w:t xml:space="preserve"> </w:t>
            </w:r>
            <w:fldSimple w:instr="NOTEREF _Ref_Footnote_131 \h \f">
              <w:r>
                <w:rPr>
                  <w:vertAlign w:val="superscript"/>
                </w:rPr>
                <w:t>131</w:t>
              </w:r>
            </w:fldSimple>
          </w:p>
        </w:tc>
      </w:tr>
      <w:tr>
        <w:tc>
          <w:tcPr/>
          <w:p>
            <w:pPr>
              <w:pStyle w:val="Compact"/>
              <w:jc w:val="left"/>
            </w:pPr>
            <w:r>
              <w:t xml:space="preserve">净利率（%）</w:t>
            </w:r>
          </w:p>
        </w:tc>
        <w:tc>
          <w:tcPr/>
          <w:p>
            <w:pPr>
              <w:pStyle w:val="Compact"/>
              <w:jc w:val="left"/>
            </w:pPr>
            <w:r>
              <w:t xml:space="preserve">~28.2%</w:t>
            </w:r>
          </w:p>
        </w:tc>
        <w:tc>
          <w:tcPr/>
          <w:p>
            <w:pPr>
              <w:pStyle w:val="Compact"/>
              <w:jc w:val="left"/>
            </w:pPr>
            <w:r>
              <w:t xml:space="preserve">~38.4%</w:t>
            </w:r>
          </w:p>
        </w:tc>
        <w:tc>
          <w:tcPr/>
          <w:p>
            <w:pPr>
              <w:pStyle w:val="Compact"/>
              <w:jc w:val="left"/>
            </w:pPr>
            <w:r>
              <w:t xml:space="preserve">~39.1%</w:t>
            </w:r>
          </w:p>
        </w:tc>
        <w:tc>
          <w:tcPr/>
          <w:p>
            <w:pPr>
              <w:pStyle w:val="Compact"/>
              <w:jc w:val="left"/>
            </w:pPr>
            <w:r>
              <w:t xml:space="preserve">~7.9%</w:t>
            </w:r>
          </w:p>
        </w:tc>
      </w:tr>
      <w:tr>
        <w:tc>
          <w:tcPr/>
          <w:p>
            <w:pPr>
              <w:pStyle w:val="Compact"/>
              <w:jc w:val="left"/>
            </w:pPr>
            <w:r>
              <w:t xml:space="preserve">海外收入占比（%）</w:t>
            </w:r>
          </w:p>
        </w:tc>
        <w:tc>
          <w:tcPr/>
          <w:p>
            <w:pPr>
              <w:pStyle w:val="Compact"/>
              <w:jc w:val="left"/>
            </w:pPr>
            <w:r>
              <w:t xml:space="preserve">&gt;90%</w:t>
            </w:r>
            <w:r>
              <w:t xml:space="preserve"> </w:t>
            </w:r>
            <w:fldSimple w:instr="NOTEREF _Ref_Footnote_123 \h \f">
              <w:r>
                <w:rPr>
                  <w:vertAlign w:val="superscript"/>
                </w:rPr>
                <w:t>123</w:t>
              </w:r>
            </w:fldSimple>
          </w:p>
        </w:tc>
        <w:tc>
          <w:tcPr/>
          <w:p>
            <w:pPr>
              <w:pStyle w:val="Compact"/>
              <w:jc w:val="left"/>
            </w:pPr>
            <w:r>
              <w:t xml:space="preserve">96.16%</w:t>
            </w:r>
            <w:r>
              <w:t xml:space="preserve"> </w:t>
            </w:r>
            <w:fldSimple w:instr="NOTEREF _Ref_Footnote_122 \h \f">
              <w:r>
                <w:rPr>
                  <w:vertAlign w:val="superscript"/>
                </w:rPr>
                <w:t>122</w:t>
              </w:r>
            </w:fldSimple>
          </w:p>
        </w:tc>
        <w:tc>
          <w:tcPr/>
          <w:p>
            <w:pPr>
              <w:pStyle w:val="Compact"/>
              <w:jc w:val="left"/>
            </w:pPr>
            <w:r>
              <w:t xml:space="preserve">&gt;80%</w:t>
            </w:r>
          </w:p>
        </w:tc>
        <w:tc>
          <w:tcPr/>
          <w:p>
            <w:pPr>
              <w:pStyle w:val="Compact"/>
              <w:jc w:val="left"/>
            </w:pPr>
            <w:r>
              <w:t xml:space="preserve">~27%</w:t>
            </w:r>
            <w:r>
              <w:t xml:space="preserve"> </w:t>
            </w:r>
            <w:fldSimple w:instr="NOTEREF _Ref_Footnote_131 \h \f">
              <w:r>
                <w:rPr>
                  <w:vertAlign w:val="superscript"/>
                </w:rPr>
                <w:t>131</w:t>
              </w:r>
            </w:fldSimple>
          </w:p>
        </w:tc>
      </w:tr>
      <w:tr>
        <w:tc>
          <w:tcPr/>
          <w:p>
            <w:pPr>
              <w:pStyle w:val="Compact"/>
              <w:jc w:val="left"/>
            </w:pPr>
            <w:r>
              <w:t xml:space="preserve">ROE（%）</w:t>
            </w:r>
          </w:p>
        </w:tc>
        <w:tc>
          <w:tcPr/>
          <w:p>
            <w:pPr>
              <w:pStyle w:val="Compact"/>
              <w:jc w:val="left"/>
            </w:pPr>
            <w:r>
              <w:t xml:space="preserve">~35%+</w:t>
            </w:r>
          </w:p>
        </w:tc>
        <w:tc>
          <w:tcPr/>
          <w:p>
            <w:pPr>
              <w:pStyle w:val="Compact"/>
              <w:jc w:val="left"/>
            </w:pPr>
            <w:r>
              <w:t xml:space="preserve">~50%+</w:t>
            </w:r>
          </w:p>
        </w:tc>
        <w:tc>
          <w:tcPr/>
          <w:p>
            <w:pPr>
              <w:pStyle w:val="Compact"/>
              <w:jc w:val="left"/>
            </w:pPr>
            <w:r>
              <w:t xml:space="preserve">~25%+</w:t>
            </w:r>
          </w:p>
        </w:tc>
        <w:tc>
          <w:tcPr/>
          <w:p>
            <w:pPr>
              <w:pStyle w:val="Compact"/>
              <w:jc w:val="left"/>
            </w:pPr>
            <w:r>
              <w:t xml:space="preserve">~12%</w:t>
            </w:r>
          </w:p>
        </w:tc>
      </w:tr>
      <w:tr>
        <w:tc>
          <w:tcPr/>
          <w:p>
            <w:pPr>
              <w:pStyle w:val="Compact"/>
              <w:jc w:val="left"/>
            </w:pPr>
            <w:r>
              <w:t xml:space="preserve">关键产品市占率</w:t>
            </w:r>
          </w:p>
        </w:tc>
        <w:tc>
          <w:tcPr/>
          <w:p>
            <w:pPr>
              <w:pStyle w:val="Compact"/>
              <w:jc w:val="left"/>
            </w:pPr>
            <w:r>
              <w:t xml:space="preserve">1.6T: 50-70%</w:t>
            </w:r>
            <w:r>
              <w:t xml:space="preserve"> </w:t>
            </w:r>
            <w:fldSimple w:instr="NOTEREF _Ref_Footnote_64 \h \f">
              <w:r>
                <w:rPr>
                  <w:vertAlign w:val="superscript"/>
                </w:rPr>
                <w:t>64</w:t>
              </w:r>
            </w:fldSimple>
            <w:r>
              <w:t xml:space="preserve">; CPO: 42%</w:t>
            </w:r>
            <w:r>
              <w:t xml:space="preserve"> </w:t>
            </w:r>
            <w:fldSimple w:instr="NOTEREF _Ref_Footnote_12 \h \f">
              <w:r>
                <w:rPr>
                  <w:vertAlign w:val="superscript"/>
                </w:rPr>
                <w:t>12</w:t>
              </w:r>
            </w:fldSimple>
          </w:p>
        </w:tc>
        <w:tc>
          <w:tcPr/>
          <w:p>
            <w:pPr>
              <w:pStyle w:val="Compact"/>
              <w:jc w:val="left"/>
            </w:pPr>
            <w:r>
              <w:t xml:space="preserve">800G: 28-33%</w:t>
            </w:r>
            <w:r>
              <w:t xml:space="preserve"> </w:t>
            </w:r>
            <w:fldSimple w:instr="NOTEREF _Ref_Footnote_123 \h \f">
              <w:r>
                <w:rPr>
                  <w:vertAlign w:val="superscript"/>
                </w:rPr>
                <w:t>123</w:t>
              </w:r>
            </w:fldSimple>
            <w:r>
              <w:t xml:space="preserve">; LPO: 75%</w:t>
            </w:r>
            <w:r>
              <w:t xml:space="preserve"> </w:t>
            </w:r>
            <w:fldSimple w:instr="NOTEREF _Ref_Footnote_27 \h \f">
              <w:r>
                <w:rPr>
                  <w:vertAlign w:val="superscript"/>
                </w:rPr>
                <w:t>27</w:t>
              </w:r>
            </w:fldSimple>
          </w:p>
        </w:tc>
        <w:tc>
          <w:tcPr/>
          <w:p>
            <w:pPr>
              <w:pStyle w:val="Compact"/>
              <w:jc w:val="left"/>
            </w:pPr>
            <w:r>
              <w:t xml:space="preserve">1.6T光引擎: 65%</w:t>
            </w:r>
            <w:r>
              <w:t xml:space="preserve"> </w:t>
            </w:r>
            <w:fldSimple w:instr="NOTEREF _Ref_Footnote_125 \h \f">
              <w:r>
                <w:rPr>
                  <w:vertAlign w:val="superscript"/>
                </w:rPr>
                <w:t>125</w:t>
              </w:r>
            </w:fldSimple>
          </w:p>
        </w:tc>
        <w:tc>
          <w:tcPr/>
          <w:p>
            <w:pPr>
              <w:pStyle w:val="Compact"/>
              <w:jc w:val="left"/>
            </w:pPr>
            <w:r>
              <w:t xml:space="preserve">全球光器件第5</w:t>
            </w:r>
            <w:r>
              <w:t xml:space="preserve"> </w:t>
            </w:r>
            <w:fldSimple w:instr="NOTEREF _Ref_Footnote_129 \h \f">
              <w:r>
                <w:rPr>
                  <w:vertAlign w:val="superscript"/>
                </w:rPr>
                <w:t>129</w:t>
              </w:r>
            </w:fldSimple>
          </w:p>
        </w:tc>
      </w:tr>
      <w:tr>
        <w:tc>
          <w:tcPr/>
          <w:p>
            <w:pPr>
              <w:pStyle w:val="Compact"/>
              <w:jc w:val="left"/>
            </w:pPr>
            <w:r>
              <w:t xml:space="preserve">核心客户</w:t>
            </w:r>
          </w:p>
        </w:tc>
        <w:tc>
          <w:tcPr/>
          <w:p>
            <w:pPr>
              <w:pStyle w:val="Compact"/>
              <w:jc w:val="left"/>
            </w:pPr>
            <w:r>
              <w:t xml:space="preserve">英伟达(占采购80%)</w:t>
            </w:r>
            <w:r>
              <w:t xml:space="preserve"> </w:t>
            </w:r>
            <w:fldSimple w:instr="NOTEREF _Ref_Footnote_63 \h \f">
              <w:r>
                <w:rPr>
                  <w:vertAlign w:val="superscript"/>
                </w:rPr>
                <w:t>63</w:t>
              </w:r>
            </w:fldSimple>
            <w:r>
              <w:t xml:space="preserve">, 谷歌, 亚马逊</w:t>
            </w:r>
          </w:p>
        </w:tc>
        <w:tc>
          <w:tcPr/>
          <w:p>
            <w:pPr>
              <w:pStyle w:val="Compact"/>
              <w:jc w:val="left"/>
            </w:pPr>
            <w:r>
              <w:t xml:space="preserve">五大云厂商全覆盖</w:t>
            </w:r>
            <w:r>
              <w:t xml:space="preserve"> </w:t>
            </w:r>
            <w:fldSimple w:instr="NOTEREF _Ref_Footnote_122 \h \f">
              <w:r>
                <w:rPr>
                  <w:vertAlign w:val="superscript"/>
                </w:rPr>
                <w:t>122</w:t>
              </w:r>
            </w:fldSimple>
          </w:p>
        </w:tc>
        <w:tc>
          <w:tcPr/>
          <w:p>
            <w:pPr>
              <w:pStyle w:val="Compact"/>
              <w:jc w:val="left"/>
            </w:pPr>
            <w:r>
              <w:t xml:space="preserve">英伟达(CPO引擎70%+)</w:t>
            </w:r>
            <w:r>
              <w:t xml:space="preserve"> </w:t>
            </w:r>
            <w:fldSimple w:instr="NOTEREF _Ref_Footnote_99 \h \f">
              <w:r>
                <w:rPr>
                  <w:vertAlign w:val="superscript"/>
                </w:rPr>
                <w:t>99</w:t>
              </w:r>
            </w:fldSimple>
          </w:p>
        </w:tc>
        <w:tc>
          <w:tcPr/>
          <w:p>
            <w:pPr>
              <w:pStyle w:val="Compact"/>
              <w:jc w:val="left"/>
            </w:pPr>
            <w:r>
              <w:t xml:space="preserve">华为, 中兴, 三大运营商</w:t>
            </w:r>
          </w:p>
        </w:tc>
      </w:tr>
      <w:tr>
        <w:tc>
          <w:tcPr/>
          <w:p>
            <w:pPr>
              <w:pStyle w:val="Compact"/>
              <w:jc w:val="left"/>
            </w:pPr>
            <w:r>
              <w:t xml:space="preserve">2026Q1表现</w:t>
            </w:r>
          </w:p>
        </w:tc>
        <w:tc>
          <w:tcPr/>
          <w:p>
            <w:pPr>
              <w:pStyle w:val="Compact"/>
              <w:jc w:val="left"/>
            </w:pPr>
            <w:r>
              <w:t xml:space="preserve">营收+192%, 毛利率46.06%</w:t>
            </w:r>
            <w:r>
              <w:t xml:space="preserve"> </w:t>
            </w:r>
            <w:fldSimple w:instr="NOTEREF _Ref_Footnote_119 \h \f">
              <w:r>
                <w:rPr>
                  <w:vertAlign w:val="superscript"/>
                </w:rPr>
                <w:t>119</w:t>
              </w:r>
            </w:fldSimple>
          </w:p>
        </w:tc>
        <w:tc>
          <w:tcPr/>
          <w:p>
            <w:pPr>
              <w:pStyle w:val="Compact"/>
              <w:jc w:val="left"/>
            </w:pPr>
            <w:r>
              <w:t xml:space="preserve">净利+76.8%, 环比-10%</w:t>
            </w:r>
            <w:r>
              <w:t xml:space="preserve"> </w:t>
            </w:r>
            <w:fldSimple w:instr="NOTEREF _Ref_Footnote_123 \h \f">
              <w:r>
                <w:rPr>
                  <w:vertAlign w:val="superscript"/>
                </w:rPr>
                <w:t>123</w:t>
              </w:r>
            </w:fldSimple>
          </w:p>
        </w:tc>
        <w:tc>
          <w:tcPr/>
          <w:p>
            <w:pPr>
              <w:pStyle w:val="Compact"/>
              <w:jc w:val="left"/>
            </w:pPr>
            <w:r>
              <w:t xml:space="preserve">营收+40.82%, 净利+45.79%</w:t>
            </w:r>
          </w:p>
        </w:tc>
        <w:tc>
          <w:tcPr/>
          <w:p>
            <w:pPr>
              <w:pStyle w:val="Compact"/>
              <w:jc w:val="left"/>
            </w:pPr>
            <w:r>
              <w:t xml:space="preserve">营收+24.79%, 净利+59.76%</w:t>
            </w:r>
          </w:p>
        </w:tc>
      </w:tr>
    </w:tbl>
    <w:p>
      <w:pPr>
        <w:pStyle w:val="BodyText"/>
      </w:pPr>
      <w:r>
        <w:t xml:space="preserve">上表清晰呈现了四家公司的差异化定位。中际旭创以最大的营收规模和1.6T/CPO的先发优势确立龙头地位；新易盛以最高的增速（187%）和LPO技术壁垒展现最强弹性，但Q1环比下滑是需要警惕的信号；天孚通信以50%+的毛利率和CPO光引擎的核心卡位提供最高确定性；光迅科技以IDM全产业链和国内市场的深耕，扮演国产替代的”压舱石”角色，但盈利能力差距显著。从ETF配置角度看，中际旭创和新易盛提供Beta弹性，天孚通信提供Alpha确定性，光迅科技提供政策对冲。</w:t>
      </w:r>
    </w:p>
    <w:p>
      <w:pPr>
        <w:pStyle w:val="CaptionedFigure"/>
      </w:pPr>
      <w:r>
        <w:drawing>
          <wp:inline>
            <wp:extent cx="5334000" cy="2892933"/>
            <wp:effectExtent b="0" l="0" r="0" t="0"/>
            <wp:docPr descr="光通信重点公司营收及增速对比" title="" id="69" name="Picture"/>
            <a:graphic>
              <a:graphicData uri="http://schemas.openxmlformats.org/drawingml/2006/picture">
                <pic:pic>
                  <pic:nvPicPr>
                    <pic:cNvPr descr="fig_sec03_revenue_growth.png" id="70" name="Picture"/>
                    <pic:cNvPicPr>
                      <a:picLocks noChangeArrowheads="1" noChangeAspect="1"/>
                    </pic:cNvPicPr>
                  </pic:nvPicPr>
                  <pic:blipFill>
                    <a:blip r:embed="rId68"/>
                    <a:stretch>
                      <a:fillRect/>
                    </a:stretch>
                  </pic:blipFill>
                  <pic:spPr bwMode="auto">
                    <a:xfrm>
                      <a:off x="0" y="0"/>
                      <a:ext cx="5334000" cy="2892933"/>
                    </a:xfrm>
                    <a:prstGeom prst="rect">
                      <a:avLst/>
                    </a:prstGeom>
                    <a:noFill/>
                    <a:ln w="9525">
                      <a:noFill/>
                      <a:headEnd/>
                      <a:tailEnd/>
                    </a:ln>
                  </pic:spPr>
                </pic:pic>
              </a:graphicData>
            </a:graphic>
          </wp:inline>
        </w:drawing>
      </w:r>
    </w:p>
    <w:p>
      <w:pPr>
        <w:pStyle w:val="ImageCaption"/>
      </w:pPr>
      <w:r>
        <w:t xml:space="preserve">光通信重点公司营收及增速对比</w:t>
      </w:r>
    </w:p>
    <w:p>
      <w:pPr>
        <w:pStyle w:val="CaptionedFigure"/>
      </w:pPr>
      <w:r>
        <w:drawing>
          <wp:inline>
            <wp:extent cx="5334000" cy="2669246"/>
            <wp:effectExtent b="0" l="0" r="0" t="0"/>
            <wp:docPr descr="光通信重点公司盈利能力对比" title="" id="72" name="Picture"/>
            <a:graphic>
              <a:graphicData uri="http://schemas.openxmlformats.org/drawingml/2006/picture">
                <pic:pic>
                  <pic:nvPicPr>
                    <pic:cNvPr descr="fig_sec03_margin_comparison.png" id="73" name="Picture"/>
                    <pic:cNvPicPr>
                      <a:picLocks noChangeArrowheads="1" noChangeAspect="1"/>
                    </pic:cNvPicPr>
                  </pic:nvPicPr>
                  <pic:blipFill>
                    <a:blip r:embed="rId71"/>
                    <a:stretch>
                      <a:fillRect/>
                    </a:stretch>
                  </pic:blipFill>
                  <pic:spPr bwMode="auto">
                    <a:xfrm>
                      <a:off x="0" y="0"/>
                      <a:ext cx="5334000" cy="2669246"/>
                    </a:xfrm>
                    <a:prstGeom prst="rect">
                      <a:avLst/>
                    </a:prstGeom>
                    <a:noFill/>
                    <a:ln w="9525">
                      <a:noFill/>
                      <a:headEnd/>
                      <a:tailEnd/>
                    </a:ln>
                  </pic:spPr>
                </pic:pic>
              </a:graphicData>
            </a:graphic>
          </wp:inline>
        </w:drawing>
      </w:r>
    </w:p>
    <w:p>
      <w:pPr>
        <w:pStyle w:val="ImageCaption"/>
      </w:pPr>
      <w:r>
        <w:t xml:space="preserve">光通信重点公司盈利能力对比</w:t>
      </w:r>
    </w:p>
    <w:bookmarkEnd w:id="74"/>
    <w:bookmarkEnd w:id="75"/>
    <w:bookmarkStart w:id="78" w:name="二线厂商与新兴力量"/>
    <w:p>
      <w:pPr>
        <w:pStyle w:val="Heading3"/>
      </w:pPr>
      <w:r>
        <w:t xml:space="preserve">3.3 二线厂商与新兴力量</w:t>
      </w:r>
    </w:p>
    <w:bookmarkStart w:id="76" w:name="华工正源剑桥科技德科立差异化竞争策略与成长弹性"/>
    <w:p>
      <w:pPr>
        <w:pStyle w:val="Heading4"/>
      </w:pPr>
      <w:r>
        <w:t xml:space="preserve">3.3.1 华工正源/剑桥科技/德科立：差异化竞争策略与成长弹性</w:t>
      </w:r>
    </w:p>
    <w:p>
      <w:pPr>
        <w:pStyle w:val="FirstParagraph"/>
      </w:pPr>
      <w:r>
        <w:t xml:space="preserve">在龙头格局日趋固化的背景下，二线厂商正通过差异化策略寻找生存空间。三家代表性企业的路径各不相同，但共同面临着上游芯片供给受限和龙头挤压的双重压力。</w:t>
      </w:r>
    </w:p>
    <w:p>
      <w:pPr>
        <w:pStyle w:val="BodyText"/>
      </w:pPr>
      <w:r>
        <w:rPr>
          <w:bCs/>
          <w:b/>
        </w:rPr>
        <w:t xml:space="preserve">华工正源（华工科技子公司）</w:t>
      </w:r>
      <w:r>
        <w:t xml:space="preserve"> </w:t>
      </w:r>
      <w:r>
        <w:t xml:space="preserve">以最快的速度追赶。2025年高速光模块产品国内基地同比增长111%，海外基地增长500%；800G硅光模块市占率18%，1.6T率先量产</w:t>
      </w:r>
      <w:r>
        <w:t xml:space="preserve"> </w:t>
      </w:r>
      <w:r>
        <w:rPr>
          <w:vertAlign w:val="superscript"/>
        </w:rPr>
        <w:footnoteReference w:id="133"/>
      </w:r>
      <w:r>
        <w:t xml:space="preserve"> </w:t>
      </w:r>
      <w:r>
        <w:rPr>
          <w:vertAlign w:val="superscript"/>
        </w:rPr>
        <w:footnoteReference w:id="134"/>
      </w:r>
      <w:r>
        <w:t xml:space="preserve">。华工科技泰国春武里基地2024年8月投产，月产能已爬升至25万只800G光模块</w:t>
      </w:r>
      <w:r>
        <w:t xml:space="preserve"> </w:t>
      </w:r>
      <w:fldSimple w:instr="NOTEREF _Ref_Footnote_57 \h \f">
        <w:r>
          <w:rPr>
            <w:vertAlign w:val="superscript"/>
          </w:rPr>
          <w:t>57</w:t>
        </w:r>
      </w:fldSimple>
      <w:r>
        <w:t xml:space="preserve">，2025年全年境外营收20.10亿元，同比增长45.52%。公司已递交港交所上市申请谋求出海</w:t>
      </w:r>
      <w:r>
        <w:t xml:space="preserve"> </w:t>
      </w:r>
      <w:fldSimple w:instr="NOTEREF _Ref_Footnote_40 \h \f">
        <w:r>
          <w:rPr>
            <w:vertAlign w:val="superscript"/>
          </w:rPr>
          <w:t>40</w:t>
        </w:r>
      </w:fldSimple>
      <w:r>
        <w:t xml:space="preserve">。其战略逻辑是”以量补价”——毛利率相对较低（约21.7%）</w:t>
      </w:r>
      <w:r>
        <w:rPr>
          <w:vertAlign w:val="superscript"/>
        </w:rPr>
        <w:footnoteReference w:id="135"/>
      </w:r>
      <w:r>
        <w:t xml:space="preserve">，但产能扩张速度在二线厂商中最快，试图通过规模效应和海外建厂在价格战中存活。</w:t>
      </w:r>
    </w:p>
    <w:p>
      <w:pPr>
        <w:pStyle w:val="BodyText"/>
      </w:pPr>
      <w:r>
        <w:rPr>
          <w:bCs/>
          <w:b/>
        </w:rPr>
        <w:t xml:space="preserve">剑桥科技</w:t>
      </w:r>
      <w:r>
        <w:t xml:space="preserve"> </w:t>
      </w:r>
      <w:r>
        <w:t xml:space="preserve">采取JDM（联合设计制造）模式+全球化产能布局的差异化路径。2025年高速光模块业务营收16.75亿元，同比大增240.85%，毛利率提升至34.49%</w:t>
      </w:r>
      <w:r>
        <w:t xml:space="preserve"> </w:t>
      </w:r>
      <w:fldSimple w:instr="NOTEREF _Ref_Footnote_5 \h \f">
        <w:r>
          <w:rPr>
            <w:vertAlign w:val="superscript"/>
          </w:rPr>
          <w:t>5</w:t>
        </w:r>
      </w:fldSimple>
      <w:r>
        <w:t xml:space="preserve">。公司完成第二代硅光800G系列产品开发验证，全系列硅光800G产品实现海外核心客户批量发货</w:t>
      </w:r>
      <w:r>
        <w:t xml:space="preserve"> </w:t>
      </w:r>
      <w:r>
        <w:rPr>
          <w:vertAlign w:val="superscript"/>
        </w:rPr>
        <w:footnoteReference w:id="136"/>
      </w:r>
      <w:r>
        <w:t xml:space="preserve"> </w:t>
      </w:r>
      <w:r>
        <w:rPr>
          <w:vertAlign w:val="superscript"/>
        </w:rPr>
        <w:footnoteReference w:id="137"/>
      </w:r>
      <w:r>
        <w:t xml:space="preserve">。剑桥科技在上海、嘉善、马来西亚三地布局产能，嘉善工厂通过北美关键客户认证，马来西亚基地通过北美400G/800G产品稽核并批量发货</w:t>
      </w:r>
      <w:r>
        <w:t xml:space="preserve"> </w:t>
      </w:r>
      <w:fldSimple w:instr="NOTEREF _Ref_Footnote_5 \h \f">
        <w:r>
          <w:rPr>
            <w:vertAlign w:val="superscript"/>
          </w:rPr>
          <w:t>5</w:t>
        </w:r>
      </w:fldSimple>
      <w:r>
        <w:t xml:space="preserve">。其JDM模式使其能够与客户共同设计产品，在定制化需求较高的细分市场建立粘性。</w:t>
      </w:r>
    </w:p>
    <w:p>
      <w:pPr>
        <w:pStyle w:val="BodyText"/>
      </w:pPr>
      <w:r>
        <w:rPr>
          <w:bCs/>
          <w:b/>
        </w:rPr>
        <w:t xml:space="preserve">德科立</w:t>
      </w:r>
      <w:r>
        <w:t xml:space="preserve"> </w:t>
      </w:r>
      <w:r>
        <w:t xml:space="preserve">处于战略转型的阵痛期。2025年营业收入9.34亿元，同比增长10.99%；净利润7155万元，同比下降28.77%</w:t>
      </w:r>
      <w:r>
        <w:t xml:space="preserve"> </w:t>
      </w:r>
      <w:r>
        <w:rPr>
          <w:vertAlign w:val="superscript"/>
        </w:rPr>
        <w:footnoteReference w:id="138"/>
      </w:r>
      <w:r>
        <w:t xml:space="preserve">。传统电信市场需求放缓，而数通业务虽然放量但尚不足以弥补利润缺口。公司400G相干模块完成小批量试产，800G相干模块器件取得关键技术突破，1.6T数通模块完成EML、硅光、TFLN（薄膜铌酸锂）三种技术方案的产品开发</w:t>
      </w:r>
      <w:r>
        <w:t xml:space="preserve"> </w:t>
      </w:r>
      <w:fldSimple w:instr="NOTEREF _Ref_Footnote_138 \h \f">
        <w:r>
          <w:rPr>
            <w:vertAlign w:val="superscript"/>
          </w:rPr>
          <w:t>138</w:t>
        </w:r>
      </w:fldSimple>
      <w:r>
        <w:t xml:space="preserve">。研发投入占营收比例达11.81%，在二线厂商中最高</w:t>
      </w:r>
      <w:r>
        <w:t xml:space="preserve"> </w:t>
      </w:r>
      <w:fldSimple w:instr="NOTEREF _Ref_Footnote_138 \h \f">
        <w:r>
          <w:rPr>
            <w:vertAlign w:val="superscript"/>
          </w:rPr>
          <w:t>138</w:t>
        </w:r>
      </w:fldSimple>
      <w:r>
        <w:t xml:space="preserve">，但商业化进度仍显著落后于龙头。</w:t>
      </w:r>
    </w:p>
    <w:p>
      <w:pPr>
        <w:pStyle w:val="BodyText"/>
      </w:pPr>
      <w:r>
        <w:rPr>
          <w:bCs/>
          <w:b/>
        </w:rPr>
        <w:t xml:space="preserve">表2：二线光模块厂商对比（2025年）</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指标</w:t>
            </w:r>
          </w:p>
        </w:tc>
        <w:tc>
          <w:tcPr/>
          <w:p>
            <w:pPr>
              <w:pStyle w:val="Compact"/>
              <w:jc w:val="left"/>
            </w:pPr>
            <w:r>
              <w:t xml:space="preserve">华工正源（华工科技）</w:t>
            </w:r>
          </w:p>
        </w:tc>
        <w:tc>
          <w:tcPr/>
          <w:p>
            <w:pPr>
              <w:pStyle w:val="Compact"/>
              <w:jc w:val="left"/>
            </w:pPr>
            <w:r>
              <w:t xml:space="preserve">剑桥科技</w:t>
            </w:r>
          </w:p>
        </w:tc>
        <w:tc>
          <w:tcPr/>
          <w:p>
            <w:pPr>
              <w:pStyle w:val="Compact"/>
              <w:jc w:val="left"/>
            </w:pPr>
            <w:r>
              <w:t xml:space="preserve">德科立</w:t>
            </w:r>
          </w:p>
        </w:tc>
      </w:tr>
      <w:tr>
        <w:tc>
          <w:tcPr/>
          <w:p>
            <w:pPr>
              <w:pStyle w:val="Compact"/>
              <w:jc w:val="left"/>
            </w:pPr>
            <w:r>
              <w:t xml:space="preserve">2025年营收（亿元）</w:t>
            </w:r>
          </w:p>
        </w:tc>
        <w:tc>
          <w:tcPr/>
          <w:p>
            <w:pPr>
              <w:pStyle w:val="Compact"/>
              <w:jc w:val="left"/>
            </w:pPr>
            <w:r>
              <w:t xml:space="preserve">143.55（总）/ 60.97（光模块）</w:t>
            </w:r>
            <w:fldSimple w:instr="NOTEREF _Ref_Footnote_40 \h \f">
              <w:r>
                <w:rPr>
                  <w:vertAlign w:val="superscript"/>
                </w:rPr>
                <w:t>40</w:t>
              </w:r>
            </w:fldSimple>
          </w:p>
        </w:tc>
        <w:tc>
          <w:tcPr/>
          <w:p>
            <w:pPr>
              <w:pStyle w:val="Compact"/>
              <w:jc w:val="left"/>
            </w:pPr>
            <w:r>
              <w:t xml:space="preserve">48.23</w:t>
            </w:r>
            <w:r>
              <w:t xml:space="preserve"> </w:t>
            </w:r>
            <w:fldSimple w:instr="NOTEREF _Ref_Footnote_5 \h \f">
              <w:r>
                <w:rPr>
                  <w:vertAlign w:val="superscript"/>
                </w:rPr>
                <w:t>5</w:t>
              </w:r>
            </w:fldSimple>
          </w:p>
        </w:tc>
        <w:tc>
          <w:tcPr/>
          <w:p>
            <w:pPr>
              <w:pStyle w:val="Compact"/>
              <w:jc w:val="left"/>
            </w:pPr>
            <w:r>
              <w:t xml:space="preserve">9.34</w:t>
            </w:r>
            <w:r>
              <w:t xml:space="preserve"> </w:t>
            </w:r>
            <w:fldSimple w:instr="NOTEREF _Ref_Footnote_138 \h \f">
              <w:r>
                <w:rPr>
                  <w:vertAlign w:val="superscript"/>
                </w:rPr>
                <w:t>138</w:t>
              </w:r>
            </w:fldSimple>
          </w:p>
        </w:tc>
      </w:tr>
      <w:tr>
        <w:tc>
          <w:tcPr/>
          <w:p>
            <w:pPr>
              <w:pStyle w:val="Compact"/>
              <w:jc w:val="left"/>
            </w:pPr>
            <w:r>
              <w:t xml:space="preserve">同比增速（%）</w:t>
            </w:r>
          </w:p>
        </w:tc>
        <w:tc>
          <w:tcPr/>
          <w:p>
            <w:pPr>
              <w:pStyle w:val="Compact"/>
              <w:jc w:val="left"/>
            </w:pPr>
            <w:r>
              <w:t xml:space="preserve">+53.39%（光模块）</w:t>
            </w:r>
            <w:fldSimple w:instr="NOTEREF _Ref_Footnote_40 \h \f">
              <w:r>
                <w:rPr>
                  <w:vertAlign w:val="superscript"/>
                </w:rPr>
                <w:t>40</w:t>
              </w:r>
            </w:fldSimple>
          </w:p>
        </w:tc>
        <w:tc>
          <w:tcPr/>
          <w:p>
            <w:pPr>
              <w:pStyle w:val="Compact"/>
              <w:jc w:val="left"/>
            </w:pPr>
            <w:r>
              <w:t xml:space="preserve">+32.11%</w:t>
            </w:r>
            <w:r>
              <w:t xml:space="preserve"> </w:t>
            </w:r>
            <w:fldSimple w:instr="NOTEREF _Ref_Footnote_5 \h \f">
              <w:r>
                <w:rPr>
                  <w:vertAlign w:val="superscript"/>
                </w:rPr>
                <w:t>5</w:t>
              </w:r>
            </w:fldSimple>
          </w:p>
        </w:tc>
        <w:tc>
          <w:tcPr/>
          <w:p>
            <w:pPr>
              <w:pStyle w:val="Compact"/>
              <w:jc w:val="left"/>
            </w:pPr>
            <w:r>
              <w:t xml:space="preserve">+10.99%</w:t>
            </w:r>
            <w:r>
              <w:t xml:space="preserve"> </w:t>
            </w:r>
            <w:fldSimple w:instr="NOTEREF _Ref_Footnote_138 \h \f">
              <w:r>
                <w:rPr>
                  <w:vertAlign w:val="superscript"/>
                </w:rPr>
                <w:t>138</w:t>
              </w:r>
            </w:fldSimple>
          </w:p>
        </w:tc>
      </w:tr>
      <w:tr>
        <w:tc>
          <w:tcPr/>
          <w:p>
            <w:pPr>
              <w:pStyle w:val="Compact"/>
              <w:jc w:val="left"/>
            </w:pPr>
            <w:r>
              <w:t xml:space="preserve">高速光模块增速</w:t>
            </w:r>
          </w:p>
        </w:tc>
        <w:tc>
          <w:tcPr/>
          <w:p>
            <w:pPr>
              <w:pStyle w:val="Compact"/>
              <w:jc w:val="left"/>
            </w:pPr>
            <w:r>
              <w:t xml:space="preserve">+111%（国内）/+500%（海外）</w:t>
            </w:r>
            <w:fldSimple w:instr="NOTEREF _Ref_Footnote_133 \h \f">
              <w:r>
                <w:rPr>
                  <w:vertAlign w:val="superscript"/>
                </w:rPr>
                <w:t>133</w:t>
              </w:r>
            </w:fldSimple>
          </w:p>
        </w:tc>
        <w:tc>
          <w:tcPr/>
          <w:p>
            <w:pPr>
              <w:pStyle w:val="Compact"/>
              <w:jc w:val="left"/>
            </w:pPr>
            <w:r>
              <w:t xml:space="preserve">+240.85%</w:t>
            </w:r>
            <w:r>
              <w:t xml:space="preserve"> </w:t>
            </w:r>
            <w:fldSimple w:instr="NOTEREF _Ref_Footnote_5 \h \f">
              <w:r>
                <w:rPr>
                  <w:vertAlign w:val="superscript"/>
                </w:rPr>
                <w:t>5</w:t>
              </w:r>
            </w:fldSimple>
          </w:p>
        </w:tc>
        <w:tc>
          <w:tcPr/>
          <w:p>
            <w:pPr>
              <w:pStyle w:val="Compact"/>
              <w:jc w:val="left"/>
            </w:pPr>
            <w:r>
              <w:t xml:space="preserve">转型期，数通放量中</w:t>
            </w:r>
          </w:p>
        </w:tc>
      </w:tr>
      <w:tr>
        <w:tc>
          <w:tcPr/>
          <w:p>
            <w:pPr>
              <w:pStyle w:val="Compact"/>
              <w:jc w:val="left"/>
            </w:pPr>
            <w:r>
              <w:t xml:space="preserve">毛利率（%）</w:t>
            </w:r>
          </w:p>
        </w:tc>
        <w:tc>
          <w:tcPr/>
          <w:p>
            <w:pPr>
              <w:pStyle w:val="Compact"/>
              <w:jc w:val="left"/>
            </w:pPr>
            <w:r>
              <w:t xml:space="preserve">~21.7%</w:t>
            </w:r>
            <w:r>
              <w:t xml:space="preserve"> </w:t>
            </w:r>
            <w:fldSimple w:instr="NOTEREF _Ref_Footnote_135 \h \f">
              <w:r>
                <w:rPr>
                  <w:vertAlign w:val="superscript"/>
                </w:rPr>
                <w:t>135</w:t>
              </w:r>
            </w:fldSimple>
          </w:p>
        </w:tc>
        <w:tc>
          <w:tcPr/>
          <w:p>
            <w:pPr>
              <w:pStyle w:val="Compact"/>
              <w:jc w:val="left"/>
            </w:pPr>
            <w:r>
              <w:t xml:space="preserve">34.49%</w:t>
            </w:r>
            <w:r>
              <w:t xml:space="preserve"> </w:t>
            </w:r>
            <w:fldSimple w:instr="NOTEREF _Ref_Footnote_5 \h \f">
              <w:r>
                <w:rPr>
                  <w:vertAlign w:val="superscript"/>
                </w:rPr>
                <w:t>5</w:t>
              </w:r>
            </w:fldSimple>
          </w:p>
        </w:tc>
        <w:tc>
          <w:tcPr/>
          <w:p>
            <w:pPr>
              <w:pStyle w:val="Compact"/>
              <w:jc w:val="left"/>
            </w:pPr>
            <w:r>
              <w:t xml:space="preserve">~30%</w:t>
            </w:r>
            <w:r>
              <w:t xml:space="preserve"> </w:t>
            </w:r>
            <w:fldSimple w:instr="NOTEREF _Ref_Footnote_138 \h \f">
              <w:r>
                <w:rPr>
                  <w:vertAlign w:val="superscript"/>
                </w:rPr>
                <w:t>138</w:t>
              </w:r>
            </w:fldSimple>
          </w:p>
        </w:tc>
      </w:tr>
      <w:tr>
        <w:tc>
          <w:tcPr/>
          <w:p>
            <w:pPr>
              <w:pStyle w:val="Compact"/>
              <w:jc w:val="left"/>
            </w:pPr>
            <w:r>
              <w:t xml:space="preserve">核心优势</w:t>
            </w:r>
          </w:p>
        </w:tc>
        <w:tc>
          <w:tcPr/>
          <w:p>
            <w:pPr>
              <w:pStyle w:val="Compact"/>
              <w:jc w:val="left"/>
            </w:pPr>
            <w:r>
              <w:t xml:space="preserve">产能扩张最快，海外基地成熟</w:t>
            </w:r>
            <w:r>
              <w:t xml:space="preserve"> </w:t>
            </w:r>
            <w:fldSimple w:instr="NOTEREF _Ref_Footnote_57 \h \f">
              <w:r>
                <w:rPr>
                  <w:vertAlign w:val="superscript"/>
                </w:rPr>
                <w:t>57</w:t>
              </w:r>
            </w:fldSimple>
          </w:p>
        </w:tc>
        <w:tc>
          <w:tcPr/>
          <w:p>
            <w:pPr>
              <w:pStyle w:val="Compact"/>
              <w:jc w:val="left"/>
            </w:pPr>
            <w:r>
              <w:t xml:space="preserve">JDM模式+硅光技术+马来西亚产能</w:t>
            </w:r>
            <w:r>
              <w:t xml:space="preserve"> </w:t>
            </w:r>
            <w:fldSimple w:instr="NOTEREF _Ref_Footnote_5 \h \f">
              <w:r>
                <w:rPr>
                  <w:vertAlign w:val="superscript"/>
                </w:rPr>
                <w:t>5</w:t>
              </w:r>
            </w:fldSimple>
          </w:p>
        </w:tc>
        <w:tc>
          <w:tcPr/>
          <w:p>
            <w:pPr>
              <w:pStyle w:val="Compact"/>
              <w:jc w:val="left"/>
            </w:pPr>
            <w:r>
              <w:t xml:space="preserve">长距离相干技术，三线技术布局</w:t>
            </w:r>
            <w:r>
              <w:t xml:space="preserve"> </w:t>
            </w:r>
            <w:fldSimple w:instr="NOTEREF _Ref_Footnote_138 \h \f">
              <w:r>
                <w:rPr>
                  <w:vertAlign w:val="superscript"/>
                </w:rPr>
                <w:t>138</w:t>
              </w:r>
            </w:fldSimple>
          </w:p>
        </w:tc>
      </w:tr>
      <w:tr>
        <w:tc>
          <w:tcPr/>
          <w:p>
            <w:pPr>
              <w:pStyle w:val="Compact"/>
              <w:jc w:val="left"/>
            </w:pPr>
            <w:r>
              <w:t xml:space="preserve">客户结构</w:t>
            </w:r>
          </w:p>
        </w:tc>
        <w:tc>
          <w:tcPr/>
          <w:p>
            <w:pPr>
              <w:pStyle w:val="Compact"/>
              <w:jc w:val="left"/>
            </w:pPr>
            <w:r>
              <w:t xml:space="preserve">国内为主（71%），海外拓展中</w:t>
            </w:r>
            <w:r>
              <w:t xml:space="preserve"> </w:t>
            </w:r>
            <w:fldSimple w:instr="NOTEREF _Ref_Footnote_40 \h \f">
              <w:r>
                <w:rPr>
                  <w:vertAlign w:val="superscript"/>
                </w:rPr>
                <w:t>40</w:t>
              </w:r>
            </w:fldSimple>
          </w:p>
        </w:tc>
        <w:tc>
          <w:tcPr/>
          <w:p>
            <w:pPr>
              <w:pStyle w:val="Compact"/>
              <w:jc w:val="left"/>
            </w:pPr>
            <w:r>
              <w:t xml:space="preserve">海外占比&gt;90%</w:t>
            </w:r>
            <w:r>
              <w:t xml:space="preserve"> </w:t>
            </w:r>
            <w:fldSimple w:instr="NOTEREF _Ref_Footnote_5 \h \f">
              <w:r>
                <w:rPr>
                  <w:vertAlign w:val="superscript"/>
                </w:rPr>
                <w:t>5</w:t>
              </w:r>
            </w:fldSimple>
          </w:p>
        </w:tc>
        <w:tc>
          <w:tcPr/>
          <w:p>
            <w:pPr>
              <w:pStyle w:val="Compact"/>
              <w:jc w:val="left"/>
            </w:pPr>
            <w:r>
              <w:t xml:space="preserve">电信运营商为主</w:t>
            </w:r>
          </w:p>
        </w:tc>
      </w:tr>
      <w:tr>
        <w:tc>
          <w:tcPr/>
          <w:p>
            <w:pPr>
              <w:pStyle w:val="Compact"/>
              <w:jc w:val="left"/>
            </w:pPr>
            <w:r>
              <w:t xml:space="preserve">产能布局</w:t>
            </w:r>
          </w:p>
        </w:tc>
        <w:tc>
          <w:tcPr/>
          <w:p>
            <w:pPr>
              <w:pStyle w:val="Compact"/>
              <w:jc w:val="left"/>
            </w:pPr>
            <w:r>
              <w:t xml:space="preserve">泰国基地月产能25万只</w:t>
            </w:r>
            <w:r>
              <w:t xml:space="preserve"> </w:t>
            </w:r>
            <w:fldSimple w:instr="NOTEREF _Ref_Footnote_57 \h \f">
              <w:r>
                <w:rPr>
                  <w:vertAlign w:val="superscript"/>
                </w:rPr>
                <w:t>57</w:t>
              </w:r>
            </w:fldSimple>
          </w:p>
        </w:tc>
        <w:tc>
          <w:tcPr/>
          <w:p>
            <w:pPr>
              <w:pStyle w:val="Compact"/>
              <w:jc w:val="left"/>
            </w:pPr>
            <w:r>
              <w:t xml:space="preserve">上海+嘉善+马来西亚</w:t>
            </w:r>
            <w:r>
              <w:t xml:space="preserve"> </w:t>
            </w:r>
            <w:fldSimple w:instr="NOTEREF _Ref_Footnote_5 \h \f">
              <w:r>
                <w:rPr>
                  <w:vertAlign w:val="superscript"/>
                </w:rPr>
                <w:t>5</w:t>
              </w:r>
            </w:fldSimple>
          </w:p>
        </w:tc>
        <w:tc>
          <w:tcPr/>
          <w:p>
            <w:pPr>
              <w:pStyle w:val="Compact"/>
              <w:jc w:val="left"/>
            </w:pPr>
            <w:r>
              <w:t xml:space="preserve">国内为主</w:t>
            </w:r>
          </w:p>
        </w:tc>
      </w:tr>
      <w:tr>
        <w:tc>
          <w:tcPr/>
          <w:p>
            <w:pPr>
              <w:pStyle w:val="Compact"/>
              <w:jc w:val="left"/>
            </w:pPr>
            <w:r>
              <w:t xml:space="preserve">成长驱动</w:t>
            </w:r>
          </w:p>
        </w:tc>
        <w:tc>
          <w:tcPr/>
          <w:p>
            <w:pPr>
              <w:pStyle w:val="Compact"/>
              <w:jc w:val="left"/>
            </w:pPr>
            <w:r>
              <w:t xml:space="preserve">800G/1.6T海外放量，港股上市</w:t>
            </w:r>
            <w:r>
              <w:t xml:space="preserve"> </w:t>
            </w:r>
            <w:fldSimple w:instr="NOTEREF _Ref_Footnote_40 \h \f">
              <w:r>
                <w:rPr>
                  <w:vertAlign w:val="superscript"/>
                </w:rPr>
                <w:t>40</w:t>
              </w:r>
            </w:fldSimple>
          </w:p>
        </w:tc>
        <w:tc>
          <w:tcPr/>
          <w:p>
            <w:pPr>
              <w:pStyle w:val="Compact"/>
              <w:jc w:val="left"/>
            </w:pPr>
            <w:r>
              <w:t xml:space="preserve">硅光800G批量发货，1.6T送样</w:t>
            </w:r>
            <w:r>
              <w:t xml:space="preserve"> </w:t>
            </w:r>
            <w:fldSimple w:instr="NOTEREF _Ref_Footnote_136 \h \f">
              <w:r>
                <w:rPr>
                  <w:vertAlign w:val="superscript"/>
                </w:rPr>
                <w:t>136</w:t>
              </w:r>
            </w:fldSimple>
          </w:p>
        </w:tc>
        <w:tc>
          <w:tcPr/>
          <w:p>
            <w:pPr>
              <w:pStyle w:val="Compact"/>
              <w:jc w:val="left"/>
            </w:pPr>
            <w:r>
              <w:t xml:space="preserve">400G/800G相干模块商业化</w:t>
            </w:r>
          </w:p>
        </w:tc>
      </w:tr>
      <w:tr>
        <w:tc>
          <w:tcPr/>
          <w:p>
            <w:pPr>
              <w:pStyle w:val="Compact"/>
              <w:jc w:val="left"/>
            </w:pPr>
            <w:r>
              <w:t xml:space="preserve">主要风险</w:t>
            </w:r>
          </w:p>
        </w:tc>
        <w:tc>
          <w:tcPr/>
          <w:p>
            <w:pPr>
              <w:pStyle w:val="Compact"/>
              <w:jc w:val="left"/>
            </w:pPr>
            <w:r>
              <w:t xml:space="preserve">毛利率低，价格战脆弱</w:t>
            </w:r>
          </w:p>
        </w:tc>
        <w:tc>
          <w:tcPr/>
          <w:p>
            <w:pPr>
              <w:pStyle w:val="Compact"/>
              <w:jc w:val="left"/>
            </w:pPr>
            <w:r>
              <w:t xml:space="preserve">规模较小，客户集中</w:t>
            </w:r>
          </w:p>
        </w:tc>
        <w:tc>
          <w:tcPr/>
          <w:p>
            <w:pPr>
              <w:pStyle w:val="Compact"/>
              <w:jc w:val="left"/>
            </w:pPr>
            <w:r>
              <w:t xml:space="preserve">业绩下滑，商业化滞后</w:t>
            </w:r>
          </w:p>
        </w:tc>
      </w:tr>
    </w:tbl>
    <w:p>
      <w:pPr>
        <w:pStyle w:val="BodyText"/>
      </w:pPr>
      <w:r>
        <w:t xml:space="preserve">上表反映出二线厂商的生存困境：即使增速亮眼（剑桥科技高速模块+240%），绝对规模与龙头仍有数量级差距。华工正源光模块收入60.97亿元仅为中际旭创的16%，剑桥科技和德科立更不足其3%。更关键的差距在于客户认证——光模块客户认证周期长达1-2年，替换成本极高</w:t>
      </w:r>
      <w:r>
        <w:t xml:space="preserve"> </w:t>
      </w:r>
      <w:fldSimple w:instr="NOTEREF _Ref_Footnote_115 \h \f">
        <w:r>
          <w:rPr>
            <w:vertAlign w:val="superscript"/>
          </w:rPr>
          <w:t>115</w:t>
        </w:r>
      </w:fldSimple>
      <w:r>
        <w:t xml:space="preserve">，龙头已通过早期介入研发、签订多年保供协议等方式与核心客户建立排他性合作关系。二线厂商面临的不仅是技术和规模的差距，更是生态位被锁定的结构性困境。对ETF投资者而言，二线厂商的配置价值有限，仅可作为行业高Beta的边际补充。</w:t>
      </w:r>
    </w:p>
    <w:bookmarkEnd w:id="76"/>
    <w:bookmarkStart w:id="77" w:name="国际竞争者coherentlumentum获nvidia投资后的布局变化"/>
    <w:p>
      <w:pPr>
        <w:pStyle w:val="Heading4"/>
      </w:pPr>
      <w:r>
        <w:t xml:space="preserve">3.3.2 国际竞争者：Coherent、Lumentum获NVIDIA投资后的布局变化</w:t>
      </w:r>
    </w:p>
    <w:p>
      <w:pPr>
        <w:pStyle w:val="FirstParagraph"/>
      </w:pPr>
      <w:r>
        <w:rPr>
          <w:bCs/>
          <w:b/>
        </w:rPr>
        <w:t xml:space="preserve">Coherent（高意，NASDAQ: COHR）</w:t>
      </w:r>
      <w:r>
        <w:t xml:space="preserve"> </w:t>
      </w:r>
      <w:r>
        <w:t xml:space="preserve">作为全球第二大光模块供应商，在2024年1.6T光模块市占率约10%（中际旭创占90%），2025年预计回升至20%</w:t>
      </w:r>
      <w:r>
        <w:t xml:space="preserve"> </w:t>
      </w:r>
      <w:r>
        <w:rPr>
          <w:vertAlign w:val="superscript"/>
        </w:rPr>
        <w:footnoteReference w:id="139"/>
      </w:r>
      <w:r>
        <w:t xml:space="preserve">。然而，Coherent属”多元化”综合型企业，业务涵盖光通信、激光器、材料等多个领域，增长逊于中际旭创——旭创科技2024年收入增长114%至33亿美元，进一步拉大与Coherent的差距</w:t>
      </w:r>
      <w:r>
        <w:t xml:space="preserve"> </w:t>
      </w:r>
      <w:fldSimple w:instr="NOTEREF _Ref_Footnote_130 \h \f">
        <w:r>
          <w:rPr>
            <w:vertAlign w:val="superscript"/>
          </w:rPr>
          <w:t>130</w:t>
        </w:r>
      </w:fldSimple>
      <w:r>
        <w:t xml:space="preserve">。从估值角度看，中国龙头显著低估：中际旭创市盈率最高达68倍、新易盛58倍，但仍远低于Coherent的298倍</w:t>
      </w:r>
      <w:r>
        <w:t xml:space="preserve"> </w:t>
      </w:r>
      <w:fldSimple w:instr="NOTEREF _Ref_Footnote_123 \h \f">
        <w:r>
          <w:rPr>
            <w:vertAlign w:val="superscript"/>
          </w:rPr>
          <w:t>123</w:t>
        </w:r>
      </w:fldSimple>
      <w:r>
        <w:t xml:space="preserve">。Coherent的高估值部分反映其在高端光芯片（InP、VCSEL）的垄断地位，而非光模块组装环节的成长性。</w:t>
      </w:r>
    </w:p>
    <w:p>
      <w:pPr>
        <w:pStyle w:val="BodyText"/>
      </w:pPr>
      <w:r>
        <w:rPr>
          <w:bCs/>
          <w:b/>
        </w:rPr>
        <w:t xml:space="preserve">Lumentum（NASDAQ: LITE）</w:t>
      </w:r>
      <w:r>
        <w:t xml:space="preserve"> </w:t>
      </w:r>
      <w:r>
        <w:t xml:space="preserve">在2025年Q3收入5.34亿美元（同比增长58.4%），主要供应200G EML激光器及1.6T光模块</w:t>
      </w:r>
      <w:r>
        <w:t xml:space="preserve"> </w:t>
      </w:r>
      <w:r>
        <w:rPr>
          <w:vertAlign w:val="superscript"/>
        </w:rPr>
        <w:footnoteReference w:id="140"/>
      </w:r>
      <w:r>
        <w:t xml:space="preserve">。2026年3月，NVIDIA向Lumentum和Coherent各投资20亿美元，合计40亿美元锁定高端EML和硅光产能</w:t>
      </w:r>
      <w:r>
        <w:t xml:space="preserve"> </w:t>
      </w:r>
      <w:fldSimple w:instr="NOTEREF _Ref_Footnote_31 \h \f">
        <w:r>
          <w:rPr>
            <w:vertAlign w:val="superscript"/>
          </w:rPr>
          <w:t>31</w:t>
        </w:r>
      </w:fldSimple>
      <w:r>
        <w:t xml:space="preserve">。Lumentum CEO表示仅需两个季度就能将整个2028年的产能全部售罄</w:t>
      </w:r>
      <w:r>
        <w:t xml:space="preserve"> </w:t>
      </w:r>
      <w:fldSimple w:instr="NOTEREF _Ref_Footnote_31 \h \f">
        <w:r>
          <w:rPr>
            <w:vertAlign w:val="superscript"/>
          </w:rPr>
          <w:t>31</w:t>
        </w:r>
      </w:fldSimple>
      <w:r>
        <w:t xml:space="preserve">，自2023财年以来EML产量已增长8倍，2026年底InP产量将再增50%</w:t>
      </w:r>
      <w:r>
        <w:t xml:space="preserve"> </w:t>
      </w:r>
      <w:r>
        <w:rPr>
          <w:vertAlign w:val="superscript"/>
        </w:rPr>
        <w:footnoteReference w:id="141"/>
      </w:r>
      <w:r>
        <w:t xml:space="preserve">。NVIDIA的投资实质上是对高端光芯片供给瓶颈的战略性应对，但也意味着Lumentum和Coherent的产能将被NVIDIA深度绑定，其他光模块厂商（包括中国龙头）获取高端芯片的难度将进一步加大。</w:t>
      </w:r>
    </w:p>
    <w:p>
      <w:pPr>
        <w:pStyle w:val="BodyText"/>
      </w:pPr>
      <w:r>
        <w:rPr>
          <w:bCs/>
          <w:b/>
        </w:rPr>
        <w:t xml:space="preserve">表3：国际竞争者对比</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指标</w:t>
            </w:r>
          </w:p>
        </w:tc>
        <w:tc>
          <w:tcPr/>
          <w:p>
            <w:pPr>
              <w:pStyle w:val="Compact"/>
              <w:jc w:val="left"/>
            </w:pPr>
            <w:r>
              <w:t xml:space="preserve">Coherent（高意）</w:t>
            </w:r>
          </w:p>
        </w:tc>
        <w:tc>
          <w:tcPr/>
          <w:p>
            <w:pPr>
              <w:pStyle w:val="Compact"/>
              <w:jc w:val="left"/>
            </w:pPr>
            <w:r>
              <w:t xml:space="preserve">Lumentum</w:t>
            </w:r>
          </w:p>
        </w:tc>
        <w:tc>
          <w:tcPr/>
          <w:p>
            <w:pPr>
              <w:pStyle w:val="Compact"/>
              <w:jc w:val="left"/>
            </w:pPr>
            <w:r>
              <w:t xml:space="preserve">博通（Broadcom）</w:t>
            </w:r>
          </w:p>
        </w:tc>
      </w:tr>
      <w:tr>
        <w:tc>
          <w:tcPr/>
          <w:p>
            <w:pPr>
              <w:pStyle w:val="Compact"/>
              <w:jc w:val="left"/>
            </w:pPr>
            <w:r>
              <w:t xml:space="preserve">股票代码</w:t>
            </w:r>
          </w:p>
        </w:tc>
        <w:tc>
          <w:tcPr/>
          <w:p>
            <w:pPr>
              <w:pStyle w:val="Compact"/>
              <w:jc w:val="left"/>
            </w:pPr>
            <w:r>
              <w:t xml:space="preserve">COHR</w:t>
            </w:r>
          </w:p>
        </w:tc>
        <w:tc>
          <w:tcPr/>
          <w:p>
            <w:pPr>
              <w:pStyle w:val="Compact"/>
              <w:jc w:val="left"/>
            </w:pPr>
            <w:r>
              <w:t xml:space="preserve">LITE</w:t>
            </w:r>
          </w:p>
        </w:tc>
        <w:tc>
          <w:tcPr/>
          <w:p>
            <w:pPr>
              <w:pStyle w:val="Compact"/>
              <w:jc w:val="left"/>
            </w:pPr>
            <w:r>
              <w:t xml:space="preserve">AVGO</w:t>
            </w:r>
          </w:p>
        </w:tc>
      </w:tr>
      <w:tr>
        <w:tc>
          <w:tcPr/>
          <w:p>
            <w:pPr>
              <w:pStyle w:val="Compact"/>
              <w:jc w:val="left"/>
            </w:pPr>
            <w:r>
              <w:t xml:space="preserve">2025年光模块收入</w:t>
            </w:r>
          </w:p>
        </w:tc>
        <w:tc>
          <w:tcPr/>
          <w:p>
            <w:pPr>
              <w:pStyle w:val="Compact"/>
              <w:jc w:val="left"/>
            </w:pPr>
            <w:r>
              <w:t xml:space="preserve">~25亿美元（估算）</w:t>
            </w:r>
          </w:p>
        </w:tc>
        <w:tc>
          <w:tcPr/>
          <w:p>
            <w:pPr>
              <w:pStyle w:val="Compact"/>
              <w:jc w:val="left"/>
            </w:pPr>
            <w:r>
              <w:t xml:space="preserve">~21亿美元（光通信）</w:t>
            </w:r>
          </w:p>
        </w:tc>
        <w:tc>
          <w:tcPr/>
          <w:p>
            <w:pPr>
              <w:pStyle w:val="Compact"/>
              <w:jc w:val="left"/>
            </w:pPr>
            <w:r>
              <w:t xml:space="preserve">~200亿美元（AI相关）</w:t>
            </w:r>
            <w:fldSimple w:instr="NOTEREF _Ref_Footnote_116 \h \f">
              <w:r>
                <w:rPr>
                  <w:vertAlign w:val="superscript"/>
                </w:rPr>
                <w:t>116</w:t>
              </w:r>
            </w:fldSimple>
          </w:p>
        </w:tc>
      </w:tr>
      <w:tr>
        <w:tc>
          <w:tcPr/>
          <w:p>
            <w:pPr>
              <w:pStyle w:val="Compact"/>
              <w:jc w:val="left"/>
            </w:pPr>
            <w:r>
              <w:t xml:space="preserve">光模块全球排名</w:t>
            </w:r>
          </w:p>
        </w:tc>
        <w:tc>
          <w:tcPr/>
          <w:p>
            <w:pPr>
              <w:pStyle w:val="Compact"/>
              <w:jc w:val="left"/>
            </w:pPr>
            <w:r>
              <w:t xml:space="preserve">第2（份额~15%）</w:t>
            </w:r>
            <w:fldSimple w:instr="NOTEREF _Ref_Footnote_140 \h \f">
              <w:r>
                <w:rPr>
                  <w:vertAlign w:val="superscript"/>
                </w:rPr>
                <w:t>140</w:t>
              </w:r>
            </w:fldSimple>
          </w:p>
        </w:tc>
        <w:tc>
          <w:tcPr/>
          <w:p>
            <w:pPr>
              <w:pStyle w:val="Compact"/>
              <w:jc w:val="left"/>
            </w:pPr>
            <w:r>
              <w:t xml:space="preserve">第6（份额5-8%）</w:t>
            </w:r>
            <w:fldSimple w:instr="NOTEREF _Ref_Footnote_140 \h \f">
              <w:r>
                <w:rPr>
                  <w:vertAlign w:val="superscript"/>
                </w:rPr>
                <w:t>140</w:t>
              </w:r>
            </w:fldSimple>
          </w:p>
        </w:tc>
        <w:tc>
          <w:tcPr/>
          <w:p>
            <w:pPr>
              <w:pStyle w:val="Compact"/>
              <w:jc w:val="left"/>
            </w:pPr>
            <w:r>
              <w:t xml:space="preserve">芯片供应商</w:t>
            </w:r>
          </w:p>
        </w:tc>
      </w:tr>
      <w:tr>
        <w:tc>
          <w:tcPr/>
          <w:p>
            <w:pPr>
              <w:pStyle w:val="Compact"/>
              <w:jc w:val="left"/>
            </w:pPr>
            <w:r>
              <w:t xml:space="preserve">核心产品</w:t>
            </w:r>
          </w:p>
        </w:tc>
        <w:tc>
          <w:tcPr/>
          <w:p>
            <w:pPr>
              <w:pStyle w:val="Compact"/>
              <w:jc w:val="left"/>
            </w:pPr>
            <w:r>
              <w:t xml:space="preserve">光模块+激光器+材料</w:t>
            </w:r>
          </w:p>
        </w:tc>
        <w:tc>
          <w:tcPr/>
          <w:p>
            <w:pPr>
              <w:pStyle w:val="Compact"/>
              <w:jc w:val="left"/>
            </w:pPr>
            <w:r>
              <w:t xml:space="preserve">EML激光器+OCS</w:t>
            </w:r>
          </w:p>
        </w:tc>
        <w:tc>
          <w:tcPr/>
          <w:p>
            <w:pPr>
              <w:pStyle w:val="Compact"/>
              <w:jc w:val="left"/>
            </w:pPr>
            <w:r>
              <w:t xml:space="preserve">交换芯片+CPO方案</w:t>
            </w:r>
          </w:p>
        </w:tc>
      </w:tr>
      <w:tr>
        <w:tc>
          <w:tcPr/>
          <w:p>
            <w:pPr>
              <w:pStyle w:val="Compact"/>
              <w:jc w:val="left"/>
            </w:pPr>
            <w:r>
              <w:t xml:space="preserve">在光芯片领域地位</w:t>
            </w:r>
          </w:p>
        </w:tc>
        <w:tc>
          <w:tcPr/>
          <w:p>
            <w:pPr>
              <w:pStyle w:val="Compact"/>
              <w:jc w:val="left"/>
            </w:pPr>
            <w:r>
              <w:t xml:space="preserve">InP光芯片市占率~25%</w:t>
            </w:r>
            <w:r>
              <w:t xml:space="preserve"> </w:t>
            </w:r>
            <w:fldSimple w:instr="NOTEREF _Ref_Footnote_49 \h \f">
              <w:r>
                <w:rPr>
                  <w:vertAlign w:val="superscript"/>
                </w:rPr>
                <w:t>49</w:t>
              </w:r>
            </w:fldSimple>
          </w:p>
        </w:tc>
        <w:tc>
          <w:tcPr/>
          <w:p>
            <w:pPr>
              <w:pStyle w:val="Compact"/>
              <w:jc w:val="left"/>
            </w:pPr>
            <w:r>
              <w:t xml:space="preserve">EML市占率50-60%</w:t>
            </w:r>
            <w:r>
              <w:t xml:space="preserve"> </w:t>
            </w:r>
            <w:fldSimple w:instr="NOTEREF _Ref_Footnote_49 \h \f">
              <w:r>
                <w:rPr>
                  <w:vertAlign w:val="superscript"/>
                </w:rPr>
                <w:t>49</w:t>
              </w:r>
            </w:fldSimple>
          </w:p>
        </w:tc>
        <w:tc>
          <w:tcPr/>
          <w:p>
            <w:pPr>
              <w:pStyle w:val="Compact"/>
              <w:jc w:val="left"/>
            </w:pPr>
            <w:r>
              <w:t xml:space="preserve">硅光芯片+交换机芯片71%</w:t>
            </w:r>
            <w:r>
              <w:t xml:space="preserve"> </w:t>
            </w:r>
            <w:fldSimple w:instr="NOTEREF _Ref_Footnote_116 \h \f">
              <w:r>
                <w:rPr>
                  <w:vertAlign w:val="superscript"/>
                </w:rPr>
                <w:t>116</w:t>
              </w:r>
            </w:fldSimple>
          </w:p>
        </w:tc>
      </w:tr>
      <w:tr>
        <w:tc>
          <w:tcPr/>
          <w:p>
            <w:pPr>
              <w:pStyle w:val="Compact"/>
              <w:jc w:val="left"/>
            </w:pPr>
            <w:r>
              <w:t xml:space="preserve">NVIDIA投资</w:t>
            </w:r>
          </w:p>
        </w:tc>
        <w:tc>
          <w:tcPr/>
          <w:p>
            <w:pPr>
              <w:pStyle w:val="Compact"/>
              <w:jc w:val="left"/>
            </w:pPr>
            <w:r>
              <w:t xml:space="preserve">20亿美元</w:t>
            </w:r>
            <w:r>
              <w:t xml:space="preserve"> </w:t>
            </w:r>
            <w:fldSimple w:instr="NOTEREF _Ref_Footnote_31 \h \f">
              <w:r>
                <w:rPr>
                  <w:vertAlign w:val="superscript"/>
                </w:rPr>
                <w:t>31</w:t>
              </w:r>
            </w:fldSimple>
          </w:p>
        </w:tc>
        <w:tc>
          <w:tcPr/>
          <w:p>
            <w:pPr>
              <w:pStyle w:val="Compact"/>
              <w:jc w:val="left"/>
            </w:pPr>
            <w:r>
              <w:t xml:space="preserve">20亿美元</w:t>
            </w:r>
            <w:r>
              <w:t xml:space="preserve"> </w:t>
            </w:r>
            <w:fldSimple w:instr="NOTEREF _Ref_Footnote_31 \h \f">
              <w:r>
                <w:rPr>
                  <w:vertAlign w:val="superscript"/>
                </w:rPr>
                <w:t>31</w:t>
              </w:r>
            </w:fldSimple>
          </w:p>
        </w:tc>
        <w:tc>
          <w:tcPr/>
          <w:p>
            <w:pPr>
              <w:pStyle w:val="Compact"/>
              <w:jc w:val="left"/>
            </w:pPr>
            <w:r>
              <w:t xml:space="preserve">-（本身就是供应商）</w:t>
            </w:r>
          </w:p>
        </w:tc>
      </w:tr>
      <w:tr>
        <w:tc>
          <w:tcPr/>
          <w:p>
            <w:pPr>
              <w:pStyle w:val="Compact"/>
              <w:jc w:val="left"/>
            </w:pPr>
            <w:r>
              <w:t xml:space="preserve">1.6T光模块市占率</w:t>
            </w:r>
          </w:p>
        </w:tc>
        <w:tc>
          <w:tcPr/>
          <w:p>
            <w:pPr>
              <w:pStyle w:val="Compact"/>
              <w:jc w:val="left"/>
            </w:pPr>
            <w:r>
              <w:t xml:space="preserve">~10%→20%</w:t>
            </w:r>
            <w:r>
              <w:t xml:space="preserve"> </w:t>
            </w:r>
            <w:fldSimple w:instr="NOTEREF _Ref_Footnote_139 \h \f">
              <w:r>
                <w:rPr>
                  <w:vertAlign w:val="superscript"/>
                </w:rPr>
                <w:t>139</w:t>
              </w:r>
            </w:fldSimple>
          </w:p>
        </w:tc>
        <w:tc>
          <w:tcPr/>
          <w:p>
            <w:pPr>
              <w:pStyle w:val="Compact"/>
              <w:jc w:val="left"/>
            </w:pPr>
            <w:r>
              <w:t xml:space="preserve">&lt;5%</w:t>
            </w:r>
          </w:p>
        </w:tc>
        <w:tc>
          <w:tcPr/>
          <w:p>
            <w:pPr>
              <w:pStyle w:val="Compact"/>
              <w:jc w:val="left"/>
            </w:pPr>
            <w:r>
              <w:t xml:space="preserve">-（TH6 CPO方案）</w:t>
            </w:r>
          </w:p>
        </w:tc>
      </w:tr>
      <w:tr>
        <w:tc>
          <w:tcPr/>
          <w:p>
            <w:pPr>
              <w:pStyle w:val="Compact"/>
              <w:jc w:val="left"/>
            </w:pPr>
            <w:r>
              <w:t xml:space="preserve">市盈率（2026峰值）</w:t>
            </w:r>
          </w:p>
        </w:tc>
        <w:tc>
          <w:tcPr/>
          <w:p>
            <w:pPr>
              <w:pStyle w:val="Compact"/>
              <w:jc w:val="left"/>
            </w:pPr>
            <w:r>
              <w:t xml:space="preserve">298倍</w:t>
            </w:r>
            <w:r>
              <w:t xml:space="preserve"> </w:t>
            </w:r>
            <w:fldSimple w:instr="NOTEREF _Ref_Footnote_123 \h \f">
              <w:r>
                <w:rPr>
                  <w:vertAlign w:val="superscript"/>
                </w:rPr>
                <w:t>123</w:t>
              </w:r>
            </w:fldSimple>
          </w:p>
        </w:tc>
        <w:tc>
          <w:tcPr/>
          <w:p>
            <w:pPr>
              <w:pStyle w:val="Compact"/>
              <w:jc w:val="left"/>
            </w:pPr>
            <w:r>
              <w:t xml:space="preserve">~80倍</w:t>
            </w:r>
          </w:p>
        </w:tc>
        <w:tc>
          <w:tcPr/>
          <w:p>
            <w:pPr>
              <w:pStyle w:val="Compact"/>
              <w:jc w:val="left"/>
            </w:pPr>
            <w:r>
              <w:t xml:space="preserve">~35倍</w:t>
            </w:r>
          </w:p>
        </w:tc>
      </w:tr>
      <w:tr>
        <w:tc>
          <w:tcPr/>
          <w:p>
            <w:pPr>
              <w:pStyle w:val="Compact"/>
              <w:jc w:val="left"/>
            </w:pPr>
            <w:r>
              <w:t xml:space="preserve">对中国厂商影响</w:t>
            </w:r>
          </w:p>
        </w:tc>
        <w:tc>
          <w:tcPr/>
          <w:p>
            <w:pPr>
              <w:pStyle w:val="Compact"/>
              <w:jc w:val="left"/>
            </w:pPr>
            <w:r>
              <w:t xml:space="preserve">直接竞争+芯片供给</w:t>
            </w:r>
          </w:p>
        </w:tc>
        <w:tc>
          <w:tcPr/>
          <w:p>
            <w:pPr>
              <w:pStyle w:val="Compact"/>
              <w:jc w:val="left"/>
            </w:pPr>
            <w:r>
              <w:t xml:space="preserve">芯片供给制约加剧</w:t>
            </w:r>
          </w:p>
        </w:tc>
        <w:tc>
          <w:tcPr/>
          <w:p>
            <w:pPr>
              <w:pStyle w:val="Compact"/>
              <w:jc w:val="left"/>
            </w:pPr>
            <w:r>
              <w:t xml:space="preserve">芯片定价权</w:t>
            </w:r>
          </w:p>
        </w:tc>
      </w:tr>
    </w:tbl>
    <w:p>
      <w:pPr>
        <w:pStyle w:val="BodyText"/>
      </w:pPr>
      <w:r>
        <w:t xml:space="preserve">从买方视角分析，NVIDIA对Lumentum和Coherent各投资20亿美元是一个具有深远影响的战略布局。短期看，这加剧了高端光芯片的供给紧张——NVIDIA几乎包下Lumentum所有超高功率激光产能</w:t>
      </w:r>
      <w:r>
        <w:t xml:space="preserve"> </w:t>
      </w:r>
      <w:fldSimple w:instr="NOTEREF _Ref_Footnote_32 \h \f">
        <w:r>
          <w:rPr>
            <w:vertAlign w:val="superscript"/>
          </w:rPr>
          <w:t>32</w:t>
        </w:r>
      </w:fldSimple>
      <w:r>
        <w:t xml:space="preserve">，其他厂商获取高端芯片更加困难，EML芯片供需缺口已超30%</w:t>
      </w:r>
      <w:r>
        <w:t xml:space="preserve"> </w:t>
      </w:r>
      <w:fldSimple w:instr="NOTEREF _Ref_Footnote_30 \h \f">
        <w:r>
          <w:rPr>
            <w:vertAlign w:val="superscript"/>
          </w:rPr>
          <w:t>30</w:t>
        </w:r>
      </w:fldSimple>
      <w:r>
        <w:t xml:space="preserve">。对中际旭创和新易盛而言，这意味着存货管理的重要性上升——中际旭创存货已攀升至156.72亿元</w:t>
      </w:r>
      <w:r>
        <w:t xml:space="preserve"> </w:t>
      </w:r>
      <w:fldSimple w:instr="NOTEREF _Ref_Footnote_121 \h \f">
        <w:r>
          <w:rPr>
            <w:vertAlign w:val="superscript"/>
          </w:rPr>
          <w:t>121</w:t>
        </w:r>
      </w:fldSimple>
      <w:r>
        <w:t xml:space="preserve">，其中相当部分用于防御性备货。中期看，这一投资可能倒逼中国加速光芯片国产替代——长光华芯200G EML预计2026年Q3规模化量产</w:t>
      </w:r>
      <w:r>
        <w:t xml:space="preserve"> </w:t>
      </w:r>
      <w:r>
        <w:rPr>
          <w:vertAlign w:val="superscript"/>
        </w:rPr>
        <w:footnoteReference w:id="142"/>
      </w:r>
      <w:r>
        <w:t xml:space="preserve">，源杰科技CW光源已通过NVIDIA认证。长期看，如果美国将光芯片纳入更严格的出口管制，NVIDIA对Lumentum/Coherent的投资实际上是在构建”去美国化”的替代供应链，这将对中国光模块产业构成根本性威胁。</w:t>
      </w:r>
    </w:p>
    <w:p>
      <w:pPr>
        <w:pStyle w:val="BodyText"/>
      </w:pPr>
      <w:r>
        <w:t xml:space="preserve">从ETF配置的角度，光通信行业的竞争格局呈现出清晰的投资优先级：第一梯队（中际旭创、新易盛、天孚通信）提供核心Beta+Alpha；第二梯队（光迅科技）提供国产替代主题的对冲价值；国际竞争者（Coherent、Lumentum、博通）主要通过供应链影响而非直接竞争作用于中国厂商。二线厂商的成长弹性虽大，但在”赢家通吃”格局下风险收益比并不理想。下一章将基于上述公司分析，具体研究ETF标的的持仓结构和权重逻辑。</w:t>
      </w:r>
    </w:p>
    <w:p>
      <w:r>
        <w:pict>
          <v:rect style="width:0;height:1.5pt" o:hralign="center" o:hrstd="t" o:hr="t"/>
        </w:pict>
      </w:r>
    </w:p>
    <w:bookmarkEnd w:id="77"/>
    <w:bookmarkEnd w:id="78"/>
    <w:bookmarkEnd w:id="79"/>
    <w:bookmarkStart w:id="98" w:name="etf标的研究"/>
    <w:p>
      <w:pPr>
        <w:pStyle w:val="Heading2"/>
      </w:pPr>
      <w:r>
        <w:t xml:space="preserve">4. ETF标的研究</w:t>
      </w:r>
    </w:p>
    <w:bookmarkStart w:id="83" w:name="光通信相关etf产品矩阵"/>
    <w:p>
      <w:pPr>
        <w:pStyle w:val="Heading3"/>
      </w:pPr>
      <w:r>
        <w:t xml:space="preserve">4.1 光通信相关ETF产品矩阵</w:t>
      </w:r>
    </w:p>
    <w:p>
      <w:pPr>
        <w:pStyle w:val="FirstParagraph"/>
      </w:pPr>
      <w:r>
        <w:t xml:space="preserve">光通信作为AI算力基础设施的核心赛道，其投资价值已通过A股市场得到充分验证。2025年通信行业累计涨幅84.8%，在申万一级行业中位列第二；光模块板块2025年累计涨幅达357.2%</w:t>
      </w:r>
      <w:r>
        <w:t xml:space="preserve"> </w:t>
      </w:r>
      <w:r>
        <w:rPr>
          <w:vertAlign w:val="superscript"/>
        </w:rPr>
        <w:footnoteReference w:id="143"/>
      </w:r>
      <w:r>
        <w:t xml:space="preserve">。对于无法深度研究个股、或希望通过分散配置降低单一标的波动风险的投资者，ETF是最优选择。本节系统梳理含光通信持仓的核心ETF产品，从光通信纯度、费率结构、跟踪精度三个维度构建产品矩阵。</w:t>
      </w:r>
    </w:p>
    <w:bookmarkStart w:id="80" w:name="通信etf515050515880光模块纯度最高的核心配置工具"/>
    <w:p>
      <w:pPr>
        <w:pStyle w:val="Heading4"/>
      </w:pPr>
      <w:r>
        <w:t xml:space="preserve">4.1.1 通信ETF（515050/515880）：光模块纯度最高的核心配置工具</w:t>
      </w:r>
    </w:p>
    <w:p>
      <w:pPr>
        <w:pStyle w:val="FirstParagraph"/>
      </w:pPr>
      <w:r>
        <w:t xml:space="preserve">当前A股市场跟踪光通信主题指数的ETF产品以两只通信ETF为核心。通信ETF华夏（515050）跟踪中证5G通信主题指数（931079），通信ETF国泰（515880）跟踪中证全指通信设备指数（931160）。两只ETF在编制规则、成分股覆盖和光模块纯度上存在显著差异。</w:t>
      </w:r>
    </w:p>
    <w:p>
      <w:pPr>
        <w:pStyle w:val="BodyText"/>
      </w:pPr>
      <w:r>
        <w:t xml:space="preserve">中证5G通信主题指数（931079）选取业务与5G建设或应用相关的50家上市公司，覆盖5G基础建设、终端设备和应用场景三大领域，单个样本权重不超过10%</w:t>
      </w:r>
      <w:r>
        <w:t xml:space="preserve"> </w:t>
      </w:r>
      <w:r>
        <w:rPr>
          <w:vertAlign w:val="superscript"/>
        </w:rPr>
        <w:footnoteReference w:id="144"/>
      </w:r>
      <w:r>
        <w:t xml:space="preserve">。截至2026年4月30日，其前十大权重股中光模块含量约33%，中际旭创与新易盛合计占比约29%</w:t>
      </w:r>
      <w:r>
        <w:t xml:space="preserve"> </w:t>
      </w:r>
      <w:r>
        <w:rPr>
          <w:vertAlign w:val="superscript"/>
        </w:rPr>
        <w:footnoteReference w:id="145"/>
      </w:r>
      <w:r>
        <w:t xml:space="preserve">。中证全指通信设备指数（931160）则更聚焦”通信设备制造核心环节”，单个样本权重上限15%，前十大中光模块含量超过40%</w:t>
      </w:r>
      <w:r>
        <w:t xml:space="preserve"> </w:t>
      </w:r>
      <w:r>
        <w:rPr>
          <w:vertAlign w:val="superscript"/>
        </w:rPr>
        <w:footnoteReference w:id="146"/>
      </w:r>
      <w:r>
        <w:t xml:space="preserve">。2025年通信设备指数涨幅超过125%，高于5G通信指数的84.8%</w:t>
      </w:r>
      <w:r>
        <w:t xml:space="preserve"> </w:t>
      </w:r>
      <w:fldSimple w:instr="NOTEREF _Ref_Footnote_146 \h \f">
        <w:r>
          <w:rPr>
            <w:vertAlign w:val="superscript"/>
          </w:rPr>
          <w:t>146</w:t>
        </w:r>
      </w:fldSimple>
      <w:r>
        <w:t xml:space="preserve">，反映出更聚焦的编制规则在光通信上行周期中带来了更高的弹性。</w:t>
      </w:r>
    </w:p>
    <w:p>
      <w:pPr>
        <w:pStyle w:val="BodyText"/>
      </w:pPr>
      <w:r>
        <w:rPr>
          <w:bCs/>
          <w:b/>
        </w:rPr>
        <w:t xml:space="preserve">表1：光通信相关ETF产品对比</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指标</w:t>
            </w:r>
          </w:p>
        </w:tc>
        <w:tc>
          <w:tcPr/>
          <w:p>
            <w:pPr>
              <w:pStyle w:val="Compact"/>
              <w:jc w:val="left"/>
            </w:pPr>
            <w:r>
              <w:t xml:space="preserve">通信ETF华夏</w:t>
            </w:r>
          </w:p>
        </w:tc>
        <w:tc>
          <w:tcPr/>
          <w:p>
            <w:pPr>
              <w:pStyle w:val="Compact"/>
              <w:jc w:val="left"/>
            </w:pPr>
            <w:r>
              <w:t xml:space="preserve">通信ETF国泰</w:t>
            </w:r>
          </w:p>
        </w:tc>
        <w:tc>
          <w:tcPr/>
          <w:p>
            <w:pPr>
              <w:pStyle w:val="Compact"/>
              <w:jc w:val="left"/>
            </w:pPr>
            <w:r>
              <w:t xml:space="preserve">创业板人工智能ETF</w:t>
            </w:r>
          </w:p>
        </w:tc>
        <w:tc>
          <w:tcPr/>
          <w:p>
            <w:pPr>
              <w:pStyle w:val="Compact"/>
              <w:jc w:val="left"/>
            </w:pPr>
            <w:r>
              <w:t xml:space="preserve">大数据ETF</w:t>
            </w:r>
          </w:p>
        </w:tc>
      </w:tr>
      <w:tr>
        <w:tc>
          <w:tcPr/>
          <w:p>
            <w:pPr>
              <w:pStyle w:val="Compact"/>
              <w:jc w:val="left"/>
            </w:pPr>
            <w:r>
              <w:rPr>
                <w:bCs/>
                <w:b/>
              </w:rPr>
              <w:t xml:space="preserve">基金代码</w:t>
            </w:r>
          </w:p>
        </w:tc>
        <w:tc>
          <w:tcPr/>
          <w:p>
            <w:pPr>
              <w:pStyle w:val="Compact"/>
              <w:jc w:val="left"/>
            </w:pPr>
            <w:r>
              <w:t xml:space="preserve">515050</w:t>
            </w:r>
          </w:p>
        </w:tc>
        <w:tc>
          <w:tcPr/>
          <w:p>
            <w:pPr>
              <w:pStyle w:val="Compact"/>
              <w:jc w:val="left"/>
            </w:pPr>
            <w:r>
              <w:t xml:space="preserve">515880</w:t>
            </w:r>
          </w:p>
        </w:tc>
        <w:tc>
          <w:tcPr/>
          <w:p>
            <w:pPr>
              <w:pStyle w:val="Compact"/>
              <w:jc w:val="left"/>
            </w:pPr>
            <w:r>
              <w:t xml:space="preserve">159381</w:t>
            </w:r>
          </w:p>
        </w:tc>
        <w:tc>
          <w:tcPr/>
          <w:p>
            <w:pPr>
              <w:pStyle w:val="Compact"/>
              <w:jc w:val="left"/>
            </w:pPr>
            <w:r>
              <w:t xml:space="preserve">159739</w:t>
            </w:r>
          </w:p>
        </w:tc>
      </w:tr>
      <w:tr>
        <w:tc>
          <w:tcPr/>
          <w:p>
            <w:pPr>
              <w:pStyle w:val="Compact"/>
              <w:jc w:val="left"/>
            </w:pPr>
            <w:r>
              <w:rPr>
                <w:bCs/>
                <w:b/>
              </w:rPr>
              <w:t xml:space="preserve">跟踪指数</w:t>
            </w:r>
          </w:p>
        </w:tc>
        <w:tc>
          <w:tcPr/>
          <w:p>
            <w:pPr>
              <w:pStyle w:val="Compact"/>
              <w:jc w:val="left"/>
            </w:pPr>
            <w:r>
              <w:t xml:space="preserve">中证5G通信（931079）</w:t>
            </w:r>
          </w:p>
        </w:tc>
        <w:tc>
          <w:tcPr/>
          <w:p>
            <w:pPr>
              <w:pStyle w:val="Compact"/>
              <w:jc w:val="left"/>
            </w:pPr>
            <w:r>
              <w:t xml:space="preserve">中证通信设备（931160）</w:t>
            </w:r>
          </w:p>
        </w:tc>
        <w:tc>
          <w:tcPr/>
          <w:p>
            <w:pPr>
              <w:pStyle w:val="Compact"/>
              <w:jc w:val="left"/>
            </w:pPr>
            <w:r>
              <w:t xml:space="preserve">创业板AI指数（970070）</w:t>
            </w:r>
          </w:p>
        </w:tc>
        <w:tc>
          <w:tcPr/>
          <w:p>
            <w:pPr>
              <w:pStyle w:val="Compact"/>
              <w:jc w:val="left"/>
            </w:pPr>
            <w:r>
              <w:t xml:space="preserve">中证大数据产业指数</w:t>
            </w:r>
          </w:p>
        </w:tc>
      </w:tr>
      <w:tr>
        <w:tc>
          <w:tcPr/>
          <w:p>
            <w:pPr>
              <w:pStyle w:val="Compact"/>
              <w:jc w:val="left"/>
            </w:pPr>
            <w:r>
              <w:rPr>
                <w:bCs/>
                <w:b/>
              </w:rPr>
              <w:t xml:space="preserve">最新规模</w:t>
            </w:r>
          </w:p>
        </w:tc>
        <w:tc>
          <w:tcPr/>
          <w:p>
            <w:pPr>
              <w:pStyle w:val="Compact"/>
              <w:jc w:val="left"/>
            </w:pPr>
            <w:r>
              <w:t xml:space="preserve">121.99亿元</w:t>
            </w:r>
            <w:r>
              <w:t xml:space="preserve"> </w:t>
            </w:r>
            <w:r>
              <w:rPr>
                <w:vertAlign w:val="superscript"/>
              </w:rPr>
              <w:footnoteReference w:id="147"/>
            </w:r>
          </w:p>
        </w:tc>
        <w:tc>
          <w:tcPr/>
          <w:p>
            <w:pPr>
              <w:pStyle w:val="Compact"/>
              <w:jc w:val="left"/>
            </w:pPr>
            <w:r>
              <w:t xml:space="preserve">230.44亿元</w:t>
            </w:r>
            <w:r>
              <w:t xml:space="preserve"> </w:t>
            </w:r>
            <w:r>
              <w:rPr>
                <w:vertAlign w:val="superscript"/>
              </w:rPr>
              <w:footnoteReference w:id="148"/>
            </w:r>
          </w:p>
        </w:tc>
        <w:tc>
          <w:tcPr/>
          <w:p>
            <w:pPr>
              <w:pStyle w:val="Compact"/>
              <w:jc w:val="left"/>
            </w:pPr>
            <w:r>
              <w:t xml:space="preserve">&gt;20亿元</w:t>
            </w:r>
            <w:r>
              <w:t xml:space="preserve"> </w:t>
            </w:r>
            <w:r>
              <w:rPr>
                <w:vertAlign w:val="superscript"/>
              </w:rPr>
              <w:footnoteReference w:id="149"/>
            </w:r>
          </w:p>
        </w:tc>
        <w:tc>
          <w:tcPr/>
          <w:p>
            <w:pPr>
              <w:pStyle w:val="Compact"/>
              <w:jc w:val="left"/>
            </w:pPr>
            <w:r>
              <w:t xml:space="preserve">&lt;10亿元</w:t>
            </w:r>
          </w:p>
        </w:tc>
      </w:tr>
      <w:tr>
        <w:tc>
          <w:tcPr/>
          <w:p>
            <w:pPr>
              <w:pStyle w:val="Compact"/>
              <w:jc w:val="left"/>
            </w:pPr>
            <w:r>
              <w:rPr>
                <w:bCs/>
                <w:b/>
              </w:rPr>
              <w:t xml:space="preserve">管理费率</w:t>
            </w:r>
          </w:p>
        </w:tc>
        <w:tc>
          <w:tcPr/>
          <w:p>
            <w:pPr>
              <w:pStyle w:val="Compact"/>
              <w:jc w:val="left"/>
            </w:pPr>
            <w:r>
              <w:t xml:space="preserve">0.50%/年</w:t>
            </w:r>
          </w:p>
        </w:tc>
        <w:tc>
          <w:tcPr/>
          <w:p>
            <w:pPr>
              <w:pStyle w:val="Compact"/>
              <w:jc w:val="left"/>
            </w:pPr>
            <w:r>
              <w:t xml:space="preserve">0.50%/年</w:t>
            </w:r>
          </w:p>
        </w:tc>
        <w:tc>
          <w:tcPr/>
          <w:p>
            <w:pPr>
              <w:pStyle w:val="Compact"/>
              <w:jc w:val="left"/>
            </w:pPr>
            <w:r>
              <w:t xml:space="preserve">0.15%/年</w:t>
            </w:r>
          </w:p>
        </w:tc>
        <w:tc>
          <w:tcPr/>
          <w:p>
            <w:pPr>
              <w:pStyle w:val="Compact"/>
              <w:jc w:val="left"/>
            </w:pPr>
            <w:r>
              <w:t xml:space="preserve">-</w:t>
            </w:r>
          </w:p>
        </w:tc>
      </w:tr>
      <w:tr>
        <w:tc>
          <w:tcPr/>
          <w:p>
            <w:pPr>
              <w:pStyle w:val="Compact"/>
              <w:jc w:val="left"/>
            </w:pPr>
            <w:r>
              <w:rPr>
                <w:bCs/>
                <w:b/>
              </w:rPr>
              <w:t xml:space="preserve">托管费率</w:t>
            </w:r>
          </w:p>
        </w:tc>
        <w:tc>
          <w:tcPr/>
          <w:p>
            <w:pPr>
              <w:pStyle w:val="Compact"/>
              <w:jc w:val="left"/>
            </w:pPr>
            <w:r>
              <w:t xml:space="preserve">0.10%/年</w:t>
            </w:r>
          </w:p>
        </w:tc>
        <w:tc>
          <w:tcPr/>
          <w:p>
            <w:pPr>
              <w:pStyle w:val="Compact"/>
              <w:jc w:val="left"/>
            </w:pPr>
            <w:r>
              <w:t xml:space="preserve">0.10%/年</w:t>
            </w:r>
          </w:p>
        </w:tc>
        <w:tc>
          <w:tcPr/>
          <w:p>
            <w:pPr>
              <w:pStyle w:val="Compact"/>
              <w:jc w:val="left"/>
            </w:pPr>
            <w:r>
              <w:t xml:space="preserve">0.05%/年</w:t>
            </w:r>
          </w:p>
        </w:tc>
        <w:tc>
          <w:tcPr/>
          <w:p>
            <w:pPr>
              <w:pStyle w:val="Compact"/>
              <w:jc w:val="left"/>
            </w:pPr>
            <w:r>
              <w:t xml:space="preserve">-</w:t>
            </w:r>
          </w:p>
        </w:tc>
      </w:tr>
      <w:tr>
        <w:tc>
          <w:tcPr/>
          <w:p>
            <w:pPr>
              <w:pStyle w:val="Compact"/>
              <w:jc w:val="left"/>
            </w:pPr>
            <w:r>
              <w:rPr>
                <w:bCs/>
                <w:b/>
              </w:rPr>
              <w:t xml:space="preserve">综合费率</w:t>
            </w:r>
          </w:p>
        </w:tc>
        <w:tc>
          <w:tcPr/>
          <w:p>
            <w:pPr>
              <w:pStyle w:val="Compact"/>
              <w:jc w:val="left"/>
            </w:pPr>
            <w:r>
              <w:t xml:space="preserve">0.60%/年</w:t>
            </w:r>
          </w:p>
        </w:tc>
        <w:tc>
          <w:tcPr/>
          <w:p>
            <w:pPr>
              <w:pStyle w:val="Compact"/>
              <w:jc w:val="left"/>
            </w:pPr>
            <w:r>
              <w:t xml:space="preserve">0.60%/年</w:t>
            </w:r>
          </w:p>
        </w:tc>
        <w:tc>
          <w:tcPr/>
          <w:p>
            <w:pPr>
              <w:pStyle w:val="Compact"/>
              <w:jc w:val="left"/>
            </w:pPr>
            <w:r>
              <w:rPr>
                <w:bCs/>
                <w:b/>
              </w:rPr>
              <w:t xml:space="preserve">0.20%/年</w:t>
            </w:r>
          </w:p>
        </w:tc>
        <w:tc>
          <w:tcPr/>
          <w:p>
            <w:pPr>
              <w:pStyle w:val="Compact"/>
              <w:jc w:val="left"/>
            </w:pPr>
            <w:r>
              <w:t xml:space="preserve">-</w:t>
            </w:r>
          </w:p>
        </w:tc>
      </w:tr>
      <w:tr>
        <w:tc>
          <w:tcPr/>
          <w:p>
            <w:pPr>
              <w:pStyle w:val="Compact"/>
              <w:jc w:val="left"/>
            </w:pPr>
            <w:r>
              <w:rPr>
                <w:bCs/>
                <w:b/>
              </w:rPr>
              <w:t xml:space="preserve">跟踪误差（2026YTD）</w:t>
            </w:r>
          </w:p>
        </w:tc>
        <w:tc>
          <w:tcPr/>
          <w:p>
            <w:pPr>
              <w:pStyle w:val="Compact"/>
              <w:jc w:val="left"/>
            </w:pPr>
            <w:r>
              <w:rPr>
                <w:bCs/>
                <w:b/>
              </w:rPr>
              <w:t xml:space="preserve">0.017%</w:t>
            </w:r>
            <w:r>
              <w:t xml:space="preserve"> </w:t>
            </w:r>
            <w:fldSimple w:instr="NOTEREF _Ref_Footnote_147 \h \f">
              <w:r>
                <w:rPr>
                  <w:vertAlign w:val="superscript"/>
                </w:rPr>
                <w:t>147</w:t>
              </w:r>
            </w:fldSimple>
          </w:p>
        </w:tc>
        <w:tc>
          <w:tcPr/>
          <w:p>
            <w:pPr>
              <w:pStyle w:val="Compact"/>
              <w:jc w:val="left"/>
            </w:pPr>
            <w:r>
              <w:t xml:space="preserve">未披露</w:t>
            </w:r>
          </w:p>
        </w:tc>
        <w:tc>
          <w:tcPr/>
          <w:p>
            <w:pPr>
              <w:pStyle w:val="Compact"/>
              <w:jc w:val="left"/>
            </w:pPr>
            <w:r>
              <w:t xml:space="preserve">未披露</w:t>
            </w:r>
          </w:p>
        </w:tc>
        <w:tc>
          <w:tcPr/>
          <w:p>
            <w:pPr>
              <w:pStyle w:val="Compact"/>
              <w:jc w:val="left"/>
            </w:pPr>
            <w:r>
              <w:t xml:space="preserve">未披露</w:t>
            </w:r>
          </w:p>
        </w:tc>
      </w:tr>
      <w:tr>
        <w:tc>
          <w:tcPr/>
          <w:p>
            <w:pPr>
              <w:pStyle w:val="Compact"/>
              <w:jc w:val="left"/>
            </w:pPr>
            <w:r>
              <w:rPr>
                <w:bCs/>
                <w:b/>
              </w:rPr>
              <w:t xml:space="preserve">成立以来回报</w:t>
            </w:r>
          </w:p>
        </w:tc>
        <w:tc>
          <w:tcPr/>
          <w:p>
            <w:pPr>
              <w:pStyle w:val="Compact"/>
              <w:jc w:val="left"/>
            </w:pPr>
            <w:r>
              <w:t xml:space="preserve">277.94%（近3年排名6/2109）</w:t>
            </w:r>
            <w:fldSimple w:instr="NOTEREF _Ref_Footnote_147 \h \f">
              <w:r>
                <w:rPr>
                  <w:vertAlign w:val="superscript"/>
                </w:rPr>
                <w:t>147</w:t>
              </w:r>
            </w:fldSimple>
          </w:p>
        </w:tc>
        <w:tc>
          <w:tcPr/>
          <w:p>
            <w:pPr>
              <w:pStyle w:val="Compact"/>
              <w:jc w:val="left"/>
            </w:pPr>
            <w:r>
              <w:t xml:space="preserve">365.83%</w:t>
            </w:r>
            <w:r>
              <w:t xml:space="preserve"> </w:t>
            </w:r>
            <w:r>
              <w:rPr>
                <w:vertAlign w:val="superscript"/>
              </w:rPr>
              <w:footnoteReference w:id="150"/>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光模块/CPO权重</w:t>
            </w:r>
          </w:p>
        </w:tc>
        <w:tc>
          <w:tcPr/>
          <w:p>
            <w:pPr>
              <w:pStyle w:val="Compact"/>
              <w:jc w:val="left"/>
            </w:pPr>
            <w:r>
              <w:t xml:space="preserve">~33%</w:t>
            </w:r>
          </w:p>
        </w:tc>
        <w:tc>
          <w:tcPr/>
          <w:p>
            <w:pPr>
              <w:pStyle w:val="Compact"/>
              <w:jc w:val="left"/>
            </w:pPr>
            <w:r>
              <w:t xml:space="preserve">&gt;40%</w:t>
            </w:r>
          </w:p>
        </w:tc>
        <w:tc>
          <w:tcPr/>
          <w:p>
            <w:pPr>
              <w:pStyle w:val="Compact"/>
              <w:jc w:val="left"/>
            </w:pPr>
            <w:r>
              <w:rPr>
                <w:bCs/>
                <w:b/>
              </w:rPr>
              <w:t xml:space="preserve">39-41%</w:t>
            </w:r>
            <w:r>
              <w:t xml:space="preserve"> </w:t>
            </w:r>
            <w:fldSimple w:instr="NOTEREF _Ref_Footnote_149 \h \f">
              <w:r>
                <w:rPr>
                  <w:vertAlign w:val="superscript"/>
                </w:rPr>
                <w:t>149</w:t>
              </w:r>
            </w:fldSimple>
          </w:p>
        </w:tc>
        <w:tc>
          <w:tcPr/>
          <w:p>
            <w:pPr>
              <w:pStyle w:val="Compact"/>
              <w:jc w:val="left"/>
            </w:pPr>
            <w:r>
              <w:t xml:space="preserve">~17.3%</w:t>
            </w:r>
            <w:r>
              <w:t xml:space="preserve"> </w:t>
            </w:r>
            <w:r>
              <w:rPr>
                <w:vertAlign w:val="superscript"/>
              </w:rPr>
              <w:footnoteReference w:id="151"/>
            </w:r>
          </w:p>
        </w:tc>
      </w:tr>
      <w:tr>
        <w:tc>
          <w:tcPr/>
          <w:p>
            <w:pPr>
              <w:pStyle w:val="Compact"/>
              <w:jc w:val="left"/>
            </w:pPr>
            <w:r>
              <w:rPr>
                <w:bCs/>
                <w:b/>
              </w:rPr>
              <w:t xml:space="preserve">光通信核心持仓</w:t>
            </w:r>
          </w:p>
        </w:tc>
        <w:tc>
          <w:tcPr/>
          <w:p>
            <w:pPr>
              <w:pStyle w:val="Compact"/>
              <w:jc w:val="left"/>
            </w:pPr>
            <w:r>
              <w:t xml:space="preserve">中际旭创、新易盛、天孚通信、华工科技</w:t>
            </w:r>
          </w:p>
        </w:tc>
        <w:tc>
          <w:tcPr/>
          <w:p>
            <w:pPr>
              <w:pStyle w:val="Compact"/>
              <w:jc w:val="left"/>
            </w:pPr>
            <w:r>
              <w:t xml:space="preserve">新易盛、中际旭创、天孚通信、中兴通讯</w:t>
            </w:r>
          </w:p>
        </w:tc>
        <w:tc>
          <w:tcPr/>
          <w:p>
            <w:pPr>
              <w:pStyle w:val="Compact"/>
              <w:jc w:val="left"/>
            </w:pPr>
            <w:r>
              <w:t xml:space="preserve">中际旭创17%、新易盛15%、天孚通信8%</w:t>
            </w:r>
          </w:p>
        </w:tc>
        <w:tc>
          <w:tcPr/>
          <w:p>
            <w:pPr>
              <w:pStyle w:val="Compact"/>
              <w:jc w:val="left"/>
            </w:pPr>
            <w:r>
              <w:t xml:space="preserve">新易盛+中际旭创&gt;12.61%</w:t>
            </w:r>
            <w:r>
              <w:t xml:space="preserve"> </w:t>
            </w:r>
            <w:fldSimple w:instr="NOTEREF _Ref_Footnote_151 \h \f">
              <w:r>
                <w:rPr>
                  <w:vertAlign w:val="superscript"/>
                </w:rPr>
                <w:t>151</w:t>
              </w:r>
            </w:fldSimple>
          </w:p>
        </w:tc>
      </w:tr>
      <w:tr>
        <w:tc>
          <w:tcPr/>
          <w:p>
            <w:pPr>
              <w:pStyle w:val="Compact"/>
              <w:jc w:val="left"/>
            </w:pPr>
            <w:r>
              <w:rPr>
                <w:bCs/>
                <w:b/>
              </w:rPr>
              <w:t xml:space="preserve">涨跌幅限制</w:t>
            </w:r>
          </w:p>
        </w:tc>
        <w:tc>
          <w:tcPr/>
          <w:p>
            <w:pPr>
              <w:pStyle w:val="Compact"/>
              <w:jc w:val="left"/>
            </w:pPr>
            <w:r>
              <w:t xml:space="preserve">±10%</w:t>
            </w:r>
          </w:p>
        </w:tc>
        <w:tc>
          <w:tcPr/>
          <w:p>
            <w:pPr>
              <w:pStyle w:val="Compact"/>
              <w:jc w:val="left"/>
            </w:pPr>
            <w:r>
              <w:t xml:space="preserve">±10%</w:t>
            </w:r>
          </w:p>
        </w:tc>
        <w:tc>
          <w:tcPr/>
          <w:p>
            <w:pPr>
              <w:pStyle w:val="Compact"/>
              <w:jc w:val="left"/>
            </w:pPr>
            <w:r>
              <w:rPr>
                <w:bCs/>
                <w:b/>
              </w:rPr>
              <w:t xml:space="preserve">±20%</w:t>
            </w:r>
          </w:p>
        </w:tc>
        <w:tc>
          <w:tcPr/>
          <w:p>
            <w:pPr>
              <w:pStyle w:val="Compact"/>
              <w:jc w:val="left"/>
            </w:pPr>
            <w:r>
              <w:t xml:space="preserve">±10%</w:t>
            </w:r>
          </w:p>
        </w:tc>
      </w:tr>
    </w:tbl>
    <w:p>
      <w:pPr>
        <w:pStyle w:val="BodyText"/>
      </w:pPr>
      <w:r>
        <w:t xml:space="preserve">上表揭示了几个关键差异。费率层面，创业板人工智能ETF（159381）以0.20%的综合费率处于同类最低水平，对于长期持有者而言，费率优势在复利效应下将产生显著差异——以10万元本金、年化15%回报计算，10年间0.20%与0.60%费率的ETF终值差距约6,800元。光模块纯度层面，通信ETF国泰（515880）&gt;40%的权重最高，但其规模增长主要依赖2026年4月单日16.04亿元的净申购</w:t>
      </w:r>
      <w:r>
        <w:t xml:space="preserve"> </w:t>
      </w:r>
      <w:fldSimple w:instr="NOTEREF _Ref_Footnote_148 \h \f">
        <w:r>
          <w:rPr>
            <w:vertAlign w:val="superscript"/>
          </w:rPr>
          <w:t>148</w:t>
        </w:r>
      </w:fldSimple>
      <w:r>
        <w:t xml:space="preserve">，资金波动性较大；通信ETF华夏（515050）规模121.99亿元且跟踪误差仅0.017%</w:t>
      </w:r>
      <w:r>
        <w:t xml:space="preserve"> </w:t>
      </w:r>
      <w:fldSimple w:instr="NOTEREF _Ref_Footnote_147 \h \f">
        <w:r>
          <w:rPr>
            <w:vertAlign w:val="superscript"/>
          </w:rPr>
          <w:t>147</w:t>
        </w:r>
      </w:fldSimple>
      <w:r>
        <w:t xml:space="preserve">，在跟踪精度和流动性之间取得了最佳平衡。跟踪精度是ETF产品的核心竞争力——515050的0.017%跟踪误差意味着投资者几乎完全复制指数表现，管理人损耗极小。</w:t>
      </w:r>
    </w:p>
    <w:bookmarkEnd w:id="80"/>
    <w:bookmarkStart w:id="81" w:name="ai算力etf159381光模块含量最高的弹性品种"/>
    <w:p>
      <w:pPr>
        <w:pStyle w:val="Heading4"/>
      </w:pPr>
      <w:r>
        <w:t xml:space="preserve">4.1.2 AI算力ETF（159381）：光模块含量最高的弹性品种</w:t>
      </w:r>
    </w:p>
    <w:p>
      <w:pPr>
        <w:pStyle w:val="FirstParagraph"/>
      </w:pPr>
      <w:r>
        <w:t xml:space="preserve">创业板人工智能ETF华夏（159381）是当前全市场光模块CPO含量最高的AI主题ETF。其跟踪的创业板人工智能指数（970070）将”易中天”三龙头（中际旭创、新易盛、天孚通信）合计权重设为39-41%，位居AI类指数第一</w:t>
      </w:r>
      <w:r>
        <w:t xml:space="preserve"> </w:t>
      </w:r>
      <w:fldSimple w:instr="NOTEREF _Ref_Footnote_149 \h \f">
        <w:r>
          <w:rPr>
            <w:vertAlign w:val="superscript"/>
          </w:rPr>
          <w:t>149</w:t>
        </w:r>
      </w:fldSimple>
      <w:r>
        <w:t xml:space="preserve">。前十大权重中，中际旭创占17%、新易盛占15%、天孚通信占8%</w:t>
      </w:r>
      <w:r>
        <w:t xml:space="preserve"> </w:t>
      </w:r>
      <w:fldSimple w:instr="NOTEREF _Ref_Footnote_149 \h \f">
        <w:r>
          <w:rPr>
            <w:vertAlign w:val="superscript"/>
          </w:rPr>
          <w:t>149</w:t>
        </w:r>
      </w:fldSimple>
      <w:r>
        <w:t xml:space="preserve">，光通信含量高度集中。</w:t>
      </w:r>
    </w:p>
    <w:p>
      <w:pPr>
        <w:pStyle w:val="BodyText"/>
      </w:pPr>
      <w:r>
        <w:t xml:space="preserve">该ETF的核心特征在于三重弹性叠加：其一，光模块含量39-41%为同类最高，光通信行情启动时受益最直接；其二，±20%的涨跌幅限制（创业板特性）使日内弹性为通信ETF的两倍；其三，0.20%的费率水平为同类最低，高频交易的成本损耗更小。需注意的是，其非光通信持仓（润泽科技、蓝色光标、昆仑万维等AI应用标的）占60%，当市场风格从AI硬件切换至AI应用时，该ETF的表现可能与光通信板块出现偏离。因此，159381更适合对光通信有强烈看涨预期、且能承受更高波动的激进投资者作为卫星配置。</w:t>
      </w:r>
    </w:p>
    <w:bookmarkEnd w:id="81"/>
    <w:bookmarkStart w:id="82" w:name="其他相关etf云计算大数据人工智能etf的光通信含量对比"/>
    <w:p>
      <w:pPr>
        <w:pStyle w:val="Heading4"/>
      </w:pPr>
      <w:r>
        <w:t xml:space="preserve">4.1.3 其他相关ETF：云计算、大数据、人工智能ETF的光通信含量对比</w:t>
      </w:r>
    </w:p>
    <w:p>
      <w:pPr>
        <w:pStyle w:val="FirstParagraph"/>
      </w:pPr>
      <w:r>
        <w:t xml:space="preserve">除上述核心产品外，多只泛AI主题ETF含有光通信持仓，但权重差异显著。云计算ETF华夏（516630）覆盖AI算力全产业链，计算机软件+云服务+设备合计权重超过83%，光模块占比约10-15%，特点是分散度高、波动相对较小</w:t>
      </w:r>
      <w:r>
        <w:t xml:space="preserve"> </w:t>
      </w:r>
      <w:r>
        <w:rPr>
          <w:vertAlign w:val="superscript"/>
        </w:rPr>
        <w:footnoteReference w:id="152"/>
      </w:r>
      <w:r>
        <w:t xml:space="preserve">。大数据ETF（159739）光模块持仓约17.3%，新易盛与中际旭创合计超过12.61%，定位为”光通信+云计算”的双核驱动</w:t>
      </w:r>
      <w:r>
        <w:t xml:space="preserve"> </w:t>
      </w:r>
      <w:fldSimple w:instr="NOTEREF _Ref_Footnote_151 \h \f">
        <w:r>
          <w:rPr>
            <w:vertAlign w:val="superscript"/>
          </w:rPr>
          <w:t>151</w:t>
        </w:r>
      </w:fldSimple>
      <w:r>
        <w:t xml:space="preserve">。</w:t>
      </w:r>
    </w:p>
    <w:p>
      <w:pPr>
        <w:pStyle w:val="BodyText"/>
      </w:pPr>
      <w:r>
        <w:t xml:space="preserve">从配置效率角度审视，若投资者目标为获取光通信板块beta收益，通信ETF（515050/515880）和创业板人工智能ETF（159381）是最优工具——前者提供全产业链覆盖，后者提供最高光模块纯度。云计算和大数据ETF的光通信含量不足20%，配置效率偏低，更适合作为AI算力全主题的分散化工具而非光通信专项配置。</w:t>
      </w:r>
    </w:p>
    <w:bookmarkEnd w:id="82"/>
    <w:bookmarkEnd w:id="83"/>
    <w:bookmarkStart w:id="87" w:name="核心etf深度分析通信etf华夏515050"/>
    <w:p>
      <w:pPr>
        <w:pStyle w:val="Heading3"/>
      </w:pPr>
      <w:r>
        <w:t xml:space="preserve">4.2 核心ETF深度分析：通信ETF华夏（515050）</w:t>
      </w:r>
    </w:p>
    <w:bookmarkStart w:id="84" w:name="产品概况"/>
    <w:p>
      <w:pPr>
        <w:pStyle w:val="Heading4"/>
      </w:pPr>
      <w:r>
        <w:t xml:space="preserve">4.2.1 产品概况</w:t>
      </w:r>
    </w:p>
    <w:p>
      <w:pPr>
        <w:pStyle w:val="FirstParagraph"/>
      </w:pPr>
      <w:r>
        <w:t xml:space="preserve">通信ETF华夏（515050）成立于2019年9月，是国内首只跟踪中证5G通信主题指数的ETF产品，也是目前光通信赛道规模最大、流动性最好的ETF工具。</w:t>
      </w:r>
    </w:p>
    <w:p>
      <w:pPr>
        <w:pStyle w:val="BodyText"/>
      </w:pPr>
      <w:r>
        <w:rPr>
          <w:bCs/>
          <w:b/>
        </w:rPr>
        <w:t xml:space="preserve">表2：通信ETF华夏（515050）产品概况与十大持仓</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项目</w:t>
            </w:r>
          </w:p>
        </w:tc>
        <w:tc>
          <w:tcPr/>
          <w:p>
            <w:pPr>
              <w:pStyle w:val="Compact"/>
              <w:jc w:val="left"/>
            </w:pPr>
            <w:r>
              <w:t xml:space="preserve">内容</w:t>
            </w:r>
          </w:p>
        </w:tc>
      </w:tr>
      <w:tr>
        <w:tc>
          <w:tcPr/>
          <w:p>
            <w:pPr>
              <w:pStyle w:val="Compact"/>
              <w:jc w:val="left"/>
            </w:pPr>
            <w:r>
              <w:rPr>
                <w:bCs/>
                <w:b/>
              </w:rPr>
              <w:t xml:space="preserve">基金全称</w:t>
            </w:r>
          </w:p>
        </w:tc>
        <w:tc>
          <w:tcPr/>
          <w:p>
            <w:pPr>
              <w:pStyle w:val="Compact"/>
              <w:jc w:val="left"/>
            </w:pPr>
            <w:r>
              <w:t xml:space="preserve">华夏中证5G通信主题ETF</w:t>
            </w:r>
          </w:p>
        </w:tc>
      </w:tr>
      <w:tr>
        <w:tc>
          <w:tcPr/>
          <w:p>
            <w:pPr>
              <w:pStyle w:val="Compact"/>
              <w:jc w:val="left"/>
            </w:pPr>
            <w:r>
              <w:rPr>
                <w:bCs/>
                <w:b/>
              </w:rPr>
              <w:t xml:space="preserve">基金代码</w:t>
            </w:r>
          </w:p>
        </w:tc>
        <w:tc>
          <w:tcPr/>
          <w:p>
            <w:pPr>
              <w:pStyle w:val="Compact"/>
              <w:jc w:val="left"/>
            </w:pPr>
            <w:r>
              <w:t xml:space="preserve">515050（场内）/ 008086（联接A）/ 008087（联接C）</w:t>
            </w:r>
          </w:p>
        </w:tc>
      </w:tr>
      <w:tr>
        <w:tc>
          <w:tcPr/>
          <w:p>
            <w:pPr>
              <w:pStyle w:val="Compact"/>
              <w:jc w:val="left"/>
            </w:pPr>
            <w:r>
              <w:rPr>
                <w:bCs/>
                <w:b/>
              </w:rPr>
              <w:t xml:space="preserve">基金类型</w:t>
            </w:r>
          </w:p>
        </w:tc>
        <w:tc>
          <w:tcPr/>
          <w:p>
            <w:pPr>
              <w:pStyle w:val="Compact"/>
              <w:jc w:val="left"/>
            </w:pPr>
            <w:r>
              <w:t xml:space="preserve">交易型开放式指数证券投资基金</w:t>
            </w:r>
          </w:p>
        </w:tc>
      </w:tr>
      <w:tr>
        <w:tc>
          <w:tcPr/>
          <w:p>
            <w:pPr>
              <w:pStyle w:val="Compact"/>
              <w:jc w:val="left"/>
            </w:pPr>
            <w:r>
              <w:rPr>
                <w:bCs/>
                <w:b/>
              </w:rPr>
              <w:t xml:space="preserve">成立日期</w:t>
            </w:r>
          </w:p>
        </w:tc>
        <w:tc>
          <w:tcPr/>
          <w:p>
            <w:pPr>
              <w:pStyle w:val="Compact"/>
              <w:jc w:val="left"/>
            </w:pPr>
            <w:r>
              <w:t xml:space="preserve">2019年9月</w:t>
            </w:r>
          </w:p>
        </w:tc>
      </w:tr>
      <w:tr>
        <w:tc>
          <w:tcPr/>
          <w:p>
            <w:pPr>
              <w:pStyle w:val="Compact"/>
              <w:jc w:val="left"/>
            </w:pPr>
            <w:r>
              <w:rPr>
                <w:bCs/>
                <w:b/>
              </w:rPr>
              <w:t xml:space="preserve">最新资产规模</w:t>
            </w:r>
          </w:p>
        </w:tc>
        <w:tc>
          <w:tcPr/>
          <w:p>
            <w:pPr>
              <w:pStyle w:val="Compact"/>
              <w:jc w:val="left"/>
            </w:pPr>
            <w:r>
              <w:t xml:space="preserve">121.99亿元（2026年5月）</w:t>
            </w:r>
            <w:fldSimple w:instr="NOTEREF _Ref_Footnote_147 \h \f">
              <w:r>
                <w:rPr>
                  <w:vertAlign w:val="superscript"/>
                </w:rPr>
                <w:t>147</w:t>
              </w:r>
            </w:fldSimple>
          </w:p>
        </w:tc>
      </w:tr>
      <w:tr>
        <w:tc>
          <w:tcPr/>
          <w:p>
            <w:pPr>
              <w:pStyle w:val="Compact"/>
              <w:jc w:val="left"/>
            </w:pPr>
            <w:r>
              <w:rPr>
                <w:bCs/>
                <w:b/>
              </w:rPr>
              <w:t xml:space="preserve">基金管理人</w:t>
            </w:r>
          </w:p>
        </w:tc>
        <w:tc>
          <w:tcPr/>
          <w:p>
            <w:pPr>
              <w:pStyle w:val="Compact"/>
              <w:jc w:val="left"/>
            </w:pPr>
            <w:r>
              <w:t xml:space="preserve">华夏基金管理有限公司</w:t>
            </w:r>
          </w:p>
        </w:tc>
      </w:tr>
      <w:tr>
        <w:tc>
          <w:tcPr/>
          <w:p>
            <w:pPr>
              <w:pStyle w:val="Compact"/>
              <w:jc w:val="left"/>
            </w:pPr>
            <w:r>
              <w:rPr>
                <w:bCs/>
                <w:b/>
              </w:rPr>
              <w:t xml:space="preserve">管理费率</w:t>
            </w:r>
          </w:p>
        </w:tc>
        <w:tc>
          <w:tcPr/>
          <w:p>
            <w:pPr>
              <w:pStyle w:val="Compact"/>
              <w:jc w:val="left"/>
            </w:pPr>
            <w:r>
              <w:t xml:space="preserve">0.50%/年</w:t>
            </w:r>
          </w:p>
        </w:tc>
      </w:tr>
      <w:tr>
        <w:tc>
          <w:tcPr/>
          <w:p>
            <w:pPr>
              <w:pStyle w:val="Compact"/>
              <w:jc w:val="left"/>
            </w:pPr>
            <w:r>
              <w:rPr>
                <w:bCs/>
                <w:b/>
              </w:rPr>
              <w:t xml:space="preserve">托管费率</w:t>
            </w:r>
          </w:p>
        </w:tc>
        <w:tc>
          <w:tcPr/>
          <w:p>
            <w:pPr>
              <w:pStyle w:val="Compact"/>
              <w:jc w:val="left"/>
            </w:pPr>
            <w:r>
              <w:t xml:space="preserve">0.10%/年</w:t>
            </w:r>
          </w:p>
        </w:tc>
      </w:tr>
      <w:tr>
        <w:tc>
          <w:tcPr/>
          <w:p>
            <w:pPr>
              <w:pStyle w:val="Compact"/>
              <w:jc w:val="left"/>
            </w:pPr>
            <w:r>
              <w:rPr>
                <w:bCs/>
                <w:b/>
              </w:rPr>
              <w:t xml:space="preserve">综合费率</w:t>
            </w:r>
          </w:p>
        </w:tc>
        <w:tc>
          <w:tcPr/>
          <w:p>
            <w:pPr>
              <w:pStyle w:val="Compact"/>
              <w:jc w:val="left"/>
            </w:pPr>
            <w:r>
              <w:t xml:space="preserve">0.60%/年（同类最低）</w:t>
            </w:r>
          </w:p>
        </w:tc>
      </w:tr>
      <w:tr>
        <w:tc>
          <w:tcPr/>
          <w:p>
            <w:pPr>
              <w:pStyle w:val="Compact"/>
              <w:jc w:val="left"/>
            </w:pPr>
            <w:r>
              <w:rPr>
                <w:bCs/>
                <w:b/>
              </w:rPr>
              <w:t xml:space="preserve">跟踪标的</w:t>
            </w:r>
          </w:p>
        </w:tc>
        <w:tc>
          <w:tcPr/>
          <w:p>
            <w:pPr>
              <w:pStyle w:val="Compact"/>
              <w:jc w:val="left"/>
            </w:pPr>
            <w:r>
              <w:t xml:space="preserve">中证5G通信主题指数（931079）</w:t>
            </w:r>
          </w:p>
        </w:tc>
      </w:tr>
      <w:tr>
        <w:tc>
          <w:tcPr/>
          <w:p>
            <w:pPr>
              <w:pStyle w:val="Compact"/>
              <w:jc w:val="left"/>
            </w:pPr>
            <w:r>
              <w:rPr>
                <w:bCs/>
                <w:b/>
              </w:rPr>
              <w:t xml:space="preserve">跟踪误差（2026YTD）</w:t>
            </w:r>
          </w:p>
        </w:tc>
        <w:tc>
          <w:tcPr/>
          <w:p>
            <w:pPr>
              <w:pStyle w:val="Compact"/>
              <w:jc w:val="left"/>
            </w:pPr>
            <w:r>
              <w:t xml:space="preserve">0.017%（同类最高精度）</w:t>
            </w:r>
            <w:fldSimple w:instr="NOTEREF _Ref_Footnote_147 \h \f">
              <w:r>
                <w:rPr>
                  <w:vertAlign w:val="superscript"/>
                </w:rPr>
                <w:t>147</w:t>
              </w:r>
            </w:fldSimple>
          </w:p>
        </w:tc>
      </w:tr>
      <w:tr>
        <w:tc>
          <w:tcPr/>
          <w:p>
            <w:pPr>
              <w:pStyle w:val="Compact"/>
              <w:jc w:val="left"/>
            </w:pPr>
            <w:r>
              <w:rPr>
                <w:bCs/>
                <w:b/>
              </w:rPr>
              <w:t xml:space="preserve">近3年净值涨幅</w:t>
            </w:r>
          </w:p>
        </w:tc>
        <w:tc>
          <w:tcPr/>
          <w:p>
            <w:pPr>
              <w:pStyle w:val="Compact"/>
              <w:jc w:val="left"/>
            </w:pPr>
            <w:r>
              <w:t xml:space="preserve">277.94%（排名6/2109）</w:t>
            </w:r>
            <w:fldSimple w:instr="NOTEREF _Ref_Footnote_147 \h \f">
              <w:r>
                <w:rPr>
                  <w:vertAlign w:val="superscript"/>
                </w:rPr>
                <w:t>147</w:t>
              </w:r>
            </w:fldSimple>
          </w:p>
        </w:tc>
      </w:tr>
      <w:tr>
        <w:tc>
          <w:tcPr/>
          <w:p>
            <w:pPr>
              <w:pStyle w:val="Compact"/>
              <w:jc w:val="left"/>
            </w:pPr>
            <w:r>
              <w:rPr>
                <w:bCs/>
                <w:b/>
              </w:rPr>
              <w:t xml:space="preserve">成立以来超额收益</w:t>
            </w:r>
          </w:p>
        </w:tc>
        <w:tc>
          <w:tcPr/>
          <w:p>
            <w:pPr>
              <w:pStyle w:val="Compact"/>
              <w:jc w:val="left"/>
            </w:pPr>
            <w:r>
              <w:t xml:space="preserve">超越基准年化1.21%</w:t>
            </w:r>
            <w:r>
              <w:t xml:space="preserve"> </w:t>
            </w:r>
            <w:fldSimple w:instr="NOTEREF _Ref_Footnote_147 \h \f">
              <w:r>
                <w:rPr>
                  <w:vertAlign w:val="superscript"/>
                </w:rPr>
                <w:t>147</w:t>
              </w:r>
            </w:fldSimple>
          </w:p>
        </w:tc>
      </w:tr>
      <w:tr>
        <w:tc>
          <w:tcPr/>
          <w:p>
            <w:pPr>
              <w:pStyle w:val="Compact"/>
              <w:jc w:val="left"/>
            </w:pPr>
            <w:r>
              <w:rPr>
                <w:bCs/>
                <w:b/>
              </w:rPr>
              <w:t xml:space="preserve">2025年为投资者赚取</w:t>
            </w:r>
          </w:p>
        </w:tc>
        <w:tc>
          <w:tcPr/>
          <w:p>
            <w:pPr>
              <w:pStyle w:val="Compact"/>
              <w:jc w:val="left"/>
            </w:pPr>
            <w:r>
              <w:t xml:space="preserve">52.13亿元（赛道同类首位）</w:t>
            </w:r>
            <w:fldSimple w:instr="NOTEREF _Ref_Footnote_145 \h \f">
              <w:r>
                <w:rPr>
                  <w:vertAlign w:val="superscript"/>
                </w:rPr>
                <w:t>145</w:t>
              </w:r>
            </w:fldSimple>
          </w:p>
        </w:tc>
      </w:tr>
    </w:tbl>
    <w:p>
      <w:pPr>
        <w:pStyle w:val="BodyText"/>
      </w:pPr>
      <w:r>
        <w:t xml:space="preserve">该产品在运营效率上具有显著优势。0.60%的综合费率在可比基金中处于最低水平，0.017%的跟踪误差意味着基金净值与标的指数之间的偏离极小</w:t>
      </w:r>
      <w:r>
        <w:t xml:space="preserve"> </w:t>
      </w:r>
      <w:fldSimple w:instr="NOTEREF _Ref_Footnote_147 \h \f">
        <w:r>
          <w:rPr>
            <w:vertAlign w:val="superscript"/>
          </w:rPr>
          <w:t>147</w:t>
        </w:r>
      </w:fldSimple>
      <w:r>
        <w:t xml:space="preserve">。对于希望一键配置光通信全产业链、以最小管理损耗获取行业beta收益的投资者，515050是基准选择。2025年为投资者赚取52.13亿元、位居赛道同类首位</w:t>
      </w:r>
      <w:r>
        <w:t xml:space="preserve"> </w:t>
      </w:r>
      <w:fldSimple w:instr="NOTEREF _Ref_Footnote_145 \h \f">
        <w:r>
          <w:rPr>
            <w:vertAlign w:val="superscript"/>
          </w:rPr>
          <w:t>145</w:t>
        </w:r>
      </w:fldSimple>
      <w:r>
        <w:t xml:space="preserve">，这一数据侧面印证了产品受市场认可度最高。</w:t>
      </w:r>
    </w:p>
    <w:bookmarkEnd w:id="84"/>
    <w:bookmarkStart w:id="85" w:name="十大持仓分析"/>
    <w:p>
      <w:pPr>
        <w:pStyle w:val="Heading4"/>
      </w:pPr>
      <w:r>
        <w:t xml:space="preserve">4.2.2 十大持仓分析</w:t>
      </w:r>
    </w:p>
    <w:p>
      <w:pPr>
        <w:pStyle w:val="FirstParagraph"/>
      </w:pPr>
      <w:r>
        <w:t xml:space="preserve">截至2026年4月30日，通信ETF华夏前十大权重股合计占比60.5%</w:t>
      </w:r>
      <w:r>
        <w:t xml:space="preserve"> </w:t>
      </w:r>
      <w:fldSimple w:instr="NOTEREF _Ref_Footnote_145 \h \f">
        <w:r>
          <w:rPr>
            <w:vertAlign w:val="superscript"/>
          </w:rPr>
          <w:t>145</w:t>
        </w:r>
      </w:fldSimple>
      <w:r>
        <w:t xml:space="preserve">，覆盖光模块、AI服务器、PCB、光纤光缆等AI算力全链条。前十大持仓的行业分布反映了光通信在AI算力投资中的核心地位——中际旭创（</w:t>
      </w:r>
      <w:r>
        <w:rPr>
          <w:vertAlign w:val="subscript"/>
        </w:rPr>
        <w:t xml:space="preserve">15%）与新易盛（</w:t>
      </w:r>
      <w:r>
        <w:t xml:space="preserve">14%）两只光模块龙头合计占比29%，加上天孚通信（</w:t>
      </w:r>
      <w:r>
        <w:rPr>
          <w:vertAlign w:val="subscript"/>
        </w:rPr>
        <w:t xml:space="preserve">4%）和华工科技（</w:t>
      </w:r>
      <w:r>
        <w:t xml:space="preserve">4%），光通信四龙头合计权重约37%。</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排名</w:t>
            </w:r>
          </w:p>
        </w:tc>
        <w:tc>
          <w:tcPr/>
          <w:p>
            <w:pPr>
              <w:pStyle w:val="Compact"/>
              <w:jc w:val="left"/>
            </w:pPr>
            <w:r>
              <w:t xml:space="preserve">证券代码</w:t>
            </w:r>
          </w:p>
        </w:tc>
        <w:tc>
          <w:tcPr/>
          <w:p>
            <w:pPr>
              <w:pStyle w:val="Compact"/>
              <w:jc w:val="left"/>
            </w:pPr>
            <w:r>
              <w:t xml:space="preserve">简称</w:t>
            </w:r>
          </w:p>
        </w:tc>
        <w:tc>
          <w:tcPr/>
          <w:p>
            <w:pPr>
              <w:pStyle w:val="Compact"/>
              <w:jc w:val="left"/>
            </w:pPr>
            <w:r>
              <w:t xml:space="preserve">占基金比</w:t>
            </w:r>
          </w:p>
        </w:tc>
        <w:tc>
          <w:tcPr/>
          <w:p>
            <w:pPr>
              <w:pStyle w:val="Compact"/>
              <w:jc w:val="left"/>
            </w:pPr>
            <w:r>
              <w:t xml:space="preserve">行业地位与业务简介</w:t>
            </w:r>
          </w:p>
        </w:tc>
      </w:tr>
      <w:tr>
        <w:tc>
          <w:tcPr/>
          <w:p>
            <w:pPr>
              <w:pStyle w:val="Compact"/>
              <w:jc w:val="left"/>
            </w:pPr>
            <w:r>
              <w:t xml:space="preserve">1</w:t>
            </w:r>
          </w:p>
        </w:tc>
        <w:tc>
          <w:tcPr/>
          <w:p>
            <w:pPr>
              <w:pStyle w:val="Compact"/>
              <w:jc w:val="left"/>
            </w:pPr>
            <w:r>
              <w:t xml:space="preserve">300308</w:t>
            </w:r>
          </w:p>
        </w:tc>
        <w:tc>
          <w:tcPr/>
          <w:p>
            <w:pPr>
              <w:pStyle w:val="Compact"/>
              <w:jc w:val="left"/>
            </w:pPr>
            <w:r>
              <w:t xml:space="preserve">中际旭创</w:t>
            </w:r>
          </w:p>
        </w:tc>
        <w:tc>
          <w:tcPr/>
          <w:p>
            <w:pPr>
              <w:pStyle w:val="Compact"/>
              <w:jc w:val="left"/>
            </w:pPr>
            <w:r>
              <w:t xml:space="preserve">~15%</w:t>
            </w:r>
          </w:p>
        </w:tc>
        <w:tc>
          <w:tcPr/>
          <w:p>
            <w:pPr>
              <w:pStyle w:val="Compact"/>
              <w:jc w:val="left"/>
            </w:pPr>
            <w:r>
              <w:t xml:space="preserve">全球光模块龙头，800G市占率40%+，1.6T市占率50-70%，深度绑定英伟达、谷歌</w:t>
            </w:r>
          </w:p>
        </w:tc>
      </w:tr>
      <w:tr>
        <w:tc>
          <w:tcPr/>
          <w:p>
            <w:pPr>
              <w:pStyle w:val="Compact"/>
              <w:jc w:val="left"/>
            </w:pPr>
            <w:r>
              <w:t xml:space="preserve">2</w:t>
            </w:r>
          </w:p>
        </w:tc>
        <w:tc>
          <w:tcPr/>
          <w:p>
            <w:pPr>
              <w:pStyle w:val="Compact"/>
              <w:jc w:val="left"/>
            </w:pPr>
            <w:r>
              <w:t xml:space="preserve">300502</w:t>
            </w:r>
          </w:p>
        </w:tc>
        <w:tc>
          <w:tcPr/>
          <w:p>
            <w:pPr>
              <w:pStyle w:val="Compact"/>
              <w:jc w:val="left"/>
            </w:pPr>
            <w:r>
              <w:t xml:space="preserve">新易盛</w:t>
            </w:r>
          </w:p>
        </w:tc>
        <w:tc>
          <w:tcPr/>
          <w:p>
            <w:pPr>
              <w:pStyle w:val="Compact"/>
              <w:jc w:val="left"/>
            </w:pPr>
            <w:r>
              <w:t xml:space="preserve">~14%</w:t>
            </w:r>
          </w:p>
        </w:tc>
        <w:tc>
          <w:tcPr/>
          <w:p>
            <w:pPr>
              <w:pStyle w:val="Compact"/>
              <w:jc w:val="left"/>
            </w:pPr>
            <w:r>
              <w:t xml:space="preserve">全球增速最快光模块厂商，2025年净利润+236%，LPO技术市占75%</w:t>
            </w:r>
          </w:p>
        </w:tc>
      </w:tr>
      <w:tr>
        <w:tc>
          <w:tcPr/>
          <w:p>
            <w:pPr>
              <w:pStyle w:val="Compact"/>
              <w:jc w:val="left"/>
            </w:pPr>
            <w:r>
              <w:t xml:space="preserve">3</w:t>
            </w:r>
          </w:p>
        </w:tc>
        <w:tc>
          <w:tcPr/>
          <w:p>
            <w:pPr>
              <w:pStyle w:val="Compact"/>
              <w:jc w:val="left"/>
            </w:pPr>
            <w:r>
              <w:t xml:space="preserve">002475</w:t>
            </w:r>
          </w:p>
        </w:tc>
        <w:tc>
          <w:tcPr/>
          <w:p>
            <w:pPr>
              <w:pStyle w:val="Compact"/>
              <w:jc w:val="left"/>
            </w:pPr>
            <w:r>
              <w:t xml:space="preserve">立讯精密</w:t>
            </w:r>
          </w:p>
        </w:tc>
        <w:tc>
          <w:tcPr/>
          <w:p>
            <w:pPr>
              <w:pStyle w:val="Compact"/>
              <w:jc w:val="left"/>
            </w:pPr>
            <w:r>
              <w:t xml:space="preserve">~8%</w:t>
            </w:r>
          </w:p>
        </w:tc>
        <w:tc>
          <w:tcPr/>
          <w:p>
            <w:pPr>
              <w:pStyle w:val="Compact"/>
              <w:jc w:val="left"/>
            </w:pPr>
            <w:r>
              <w:t xml:space="preserve">消费电子/代工龙头，积极布局光通信模块封装与代工</w:t>
            </w:r>
          </w:p>
        </w:tc>
      </w:tr>
      <w:tr>
        <w:tc>
          <w:tcPr/>
          <w:p>
            <w:pPr>
              <w:pStyle w:val="Compact"/>
              <w:jc w:val="left"/>
            </w:pPr>
            <w:r>
              <w:t xml:space="preserve">4</w:t>
            </w:r>
          </w:p>
        </w:tc>
        <w:tc>
          <w:tcPr/>
          <w:p>
            <w:pPr>
              <w:pStyle w:val="Compact"/>
              <w:jc w:val="left"/>
            </w:pPr>
            <w:r>
              <w:t xml:space="preserve">601138</w:t>
            </w:r>
          </w:p>
        </w:tc>
        <w:tc>
          <w:tcPr/>
          <w:p>
            <w:pPr>
              <w:pStyle w:val="Compact"/>
              <w:jc w:val="left"/>
            </w:pPr>
            <w:r>
              <w:t xml:space="preserve">工业富联</w:t>
            </w:r>
          </w:p>
        </w:tc>
        <w:tc>
          <w:tcPr/>
          <w:p>
            <w:pPr>
              <w:pStyle w:val="Compact"/>
              <w:jc w:val="left"/>
            </w:pPr>
            <w:r>
              <w:t xml:space="preserve">~7%</w:t>
            </w:r>
          </w:p>
        </w:tc>
        <w:tc>
          <w:tcPr/>
          <w:p>
            <w:pPr>
              <w:pStyle w:val="Compact"/>
              <w:jc w:val="left"/>
            </w:pPr>
            <w:r>
              <w:t xml:space="preserve">全球AI服务器代工龙头，英伟达GB200/GB300核心供应商</w:t>
            </w:r>
          </w:p>
        </w:tc>
      </w:tr>
      <w:tr>
        <w:tc>
          <w:tcPr/>
          <w:p>
            <w:pPr>
              <w:pStyle w:val="Compact"/>
              <w:jc w:val="left"/>
            </w:pPr>
            <w:r>
              <w:t xml:space="preserve">5</w:t>
            </w:r>
          </w:p>
        </w:tc>
        <w:tc>
          <w:tcPr/>
          <w:p>
            <w:pPr>
              <w:pStyle w:val="Compact"/>
              <w:jc w:val="left"/>
            </w:pPr>
            <w:r>
              <w:t xml:space="preserve">002384</w:t>
            </w:r>
          </w:p>
        </w:tc>
        <w:tc>
          <w:tcPr/>
          <w:p>
            <w:pPr>
              <w:pStyle w:val="Compact"/>
              <w:jc w:val="left"/>
            </w:pPr>
            <w:r>
              <w:t xml:space="preserve">东山精密</w:t>
            </w:r>
          </w:p>
        </w:tc>
        <w:tc>
          <w:tcPr/>
          <w:p>
            <w:pPr>
              <w:pStyle w:val="Compact"/>
              <w:jc w:val="left"/>
            </w:pPr>
            <w:r>
              <w:t xml:space="preserve">~5%</w:t>
            </w:r>
          </w:p>
        </w:tc>
        <w:tc>
          <w:tcPr/>
          <w:p>
            <w:pPr>
              <w:pStyle w:val="Compact"/>
              <w:jc w:val="left"/>
            </w:pPr>
            <w:r>
              <w:t xml:space="preserve">PCB与光通信双布局，AI服务器高多层PCB核心供应商</w:t>
            </w:r>
          </w:p>
        </w:tc>
      </w:tr>
      <w:tr>
        <w:tc>
          <w:tcPr/>
          <w:p>
            <w:pPr>
              <w:pStyle w:val="Compact"/>
              <w:jc w:val="left"/>
            </w:pPr>
            <w:r>
              <w:t xml:space="preserve">6</w:t>
            </w:r>
          </w:p>
        </w:tc>
        <w:tc>
          <w:tcPr/>
          <w:p>
            <w:pPr>
              <w:pStyle w:val="Compact"/>
              <w:jc w:val="left"/>
            </w:pPr>
            <w:r>
              <w:t xml:space="preserve">603986</w:t>
            </w:r>
          </w:p>
        </w:tc>
        <w:tc>
          <w:tcPr/>
          <w:p>
            <w:pPr>
              <w:pStyle w:val="Compact"/>
              <w:jc w:val="left"/>
            </w:pPr>
            <w:r>
              <w:t xml:space="preserve">兆易创新</w:t>
            </w:r>
          </w:p>
        </w:tc>
        <w:tc>
          <w:tcPr/>
          <w:p>
            <w:pPr>
              <w:pStyle w:val="Compact"/>
              <w:jc w:val="left"/>
            </w:pPr>
            <w:r>
              <w:t xml:space="preserve">~5%</w:t>
            </w:r>
          </w:p>
        </w:tc>
        <w:tc>
          <w:tcPr/>
          <w:p>
            <w:pPr>
              <w:pStyle w:val="Compact"/>
              <w:jc w:val="left"/>
            </w:pPr>
            <w:r>
              <w:t xml:space="preserve">存储芯片龙头，AI服务器配套存储方案</w:t>
            </w:r>
          </w:p>
        </w:tc>
      </w:tr>
      <w:tr>
        <w:tc>
          <w:tcPr/>
          <w:p>
            <w:pPr>
              <w:pStyle w:val="Compact"/>
              <w:jc w:val="left"/>
            </w:pPr>
            <w:r>
              <w:t xml:space="preserve">7</w:t>
            </w:r>
          </w:p>
        </w:tc>
        <w:tc>
          <w:tcPr/>
          <w:p>
            <w:pPr>
              <w:pStyle w:val="Compact"/>
              <w:jc w:val="left"/>
            </w:pPr>
            <w:r>
              <w:t xml:space="preserve">300394</w:t>
            </w:r>
          </w:p>
        </w:tc>
        <w:tc>
          <w:tcPr/>
          <w:p>
            <w:pPr>
              <w:pStyle w:val="Compact"/>
              <w:jc w:val="left"/>
            </w:pPr>
            <w:r>
              <w:t xml:space="preserve">天孚通信</w:t>
            </w:r>
          </w:p>
        </w:tc>
        <w:tc>
          <w:tcPr/>
          <w:p>
            <w:pPr>
              <w:pStyle w:val="Compact"/>
              <w:jc w:val="left"/>
            </w:pPr>
            <w:r>
              <w:t xml:space="preserve">~4%</w:t>
            </w:r>
          </w:p>
        </w:tc>
        <w:tc>
          <w:tcPr/>
          <w:p>
            <w:pPr>
              <w:pStyle w:val="Compact"/>
              <w:jc w:val="left"/>
            </w:pPr>
            <w:r>
              <w:t xml:space="preserve">光器件平台龙头，1.6T光引擎全球市占65%，CPO核心受益</w:t>
            </w:r>
          </w:p>
        </w:tc>
      </w:tr>
      <w:tr>
        <w:tc>
          <w:tcPr/>
          <w:p>
            <w:pPr>
              <w:pStyle w:val="Compact"/>
              <w:jc w:val="left"/>
            </w:pPr>
            <w:r>
              <w:t xml:space="preserve">8</w:t>
            </w:r>
          </w:p>
        </w:tc>
        <w:tc>
          <w:tcPr/>
          <w:p>
            <w:pPr>
              <w:pStyle w:val="Compact"/>
              <w:jc w:val="left"/>
            </w:pPr>
            <w:r>
              <w:t xml:space="preserve">002463</w:t>
            </w:r>
          </w:p>
        </w:tc>
        <w:tc>
          <w:tcPr/>
          <w:p>
            <w:pPr>
              <w:pStyle w:val="Compact"/>
              <w:jc w:val="left"/>
            </w:pPr>
            <w:r>
              <w:t xml:space="preserve">沪电股份</w:t>
            </w:r>
          </w:p>
        </w:tc>
        <w:tc>
          <w:tcPr/>
          <w:p>
            <w:pPr>
              <w:pStyle w:val="Compact"/>
              <w:jc w:val="left"/>
            </w:pPr>
            <w:r>
              <w:t xml:space="preserve">~4%</w:t>
            </w:r>
          </w:p>
        </w:tc>
        <w:tc>
          <w:tcPr/>
          <w:p>
            <w:pPr>
              <w:pStyle w:val="Compact"/>
              <w:jc w:val="left"/>
            </w:pPr>
            <w:r>
              <w:t xml:space="preserve">高端PCB龙头，AI服务器主板与交换板核心供应商</w:t>
            </w:r>
          </w:p>
        </w:tc>
      </w:tr>
      <w:tr>
        <w:tc>
          <w:tcPr/>
          <w:p>
            <w:pPr>
              <w:pStyle w:val="Compact"/>
              <w:jc w:val="left"/>
            </w:pPr>
            <w:r>
              <w:t xml:space="preserve">9</w:t>
            </w:r>
          </w:p>
        </w:tc>
        <w:tc>
          <w:tcPr/>
          <w:p>
            <w:pPr>
              <w:pStyle w:val="Compact"/>
              <w:jc w:val="left"/>
            </w:pPr>
            <w:r>
              <w:t xml:space="preserve">600487</w:t>
            </w:r>
          </w:p>
        </w:tc>
        <w:tc>
          <w:tcPr/>
          <w:p>
            <w:pPr>
              <w:pStyle w:val="Compact"/>
              <w:jc w:val="left"/>
            </w:pPr>
            <w:r>
              <w:t xml:space="preserve">亨通光电</w:t>
            </w:r>
          </w:p>
        </w:tc>
        <w:tc>
          <w:tcPr/>
          <w:p>
            <w:pPr>
              <w:pStyle w:val="Compact"/>
              <w:jc w:val="left"/>
            </w:pPr>
            <w:r>
              <w:t xml:space="preserve">~4%</w:t>
            </w:r>
          </w:p>
        </w:tc>
        <w:tc>
          <w:tcPr/>
          <w:p>
            <w:pPr>
              <w:pStyle w:val="Compact"/>
              <w:jc w:val="left"/>
            </w:pPr>
            <w:r>
              <w:t xml:space="preserve">光纤光缆龙头，AI数据中心拉动高端光纤量价齐升</w:t>
            </w:r>
          </w:p>
        </w:tc>
      </w:tr>
      <w:tr>
        <w:tc>
          <w:tcPr/>
          <w:p>
            <w:pPr>
              <w:pStyle w:val="Compact"/>
              <w:jc w:val="left"/>
            </w:pPr>
            <w:r>
              <w:t xml:space="preserve">10</w:t>
            </w:r>
          </w:p>
        </w:tc>
        <w:tc>
          <w:tcPr/>
          <w:p>
            <w:pPr>
              <w:pStyle w:val="Compact"/>
              <w:jc w:val="left"/>
            </w:pPr>
            <w:r>
              <w:t xml:space="preserve">000988</w:t>
            </w:r>
          </w:p>
        </w:tc>
        <w:tc>
          <w:tcPr/>
          <w:p>
            <w:pPr>
              <w:pStyle w:val="Compact"/>
              <w:jc w:val="left"/>
            </w:pPr>
            <w:r>
              <w:t xml:space="preserve">华工科技</w:t>
            </w:r>
          </w:p>
        </w:tc>
        <w:tc>
          <w:tcPr/>
          <w:p>
            <w:pPr>
              <w:pStyle w:val="Compact"/>
              <w:jc w:val="left"/>
            </w:pPr>
            <w:r>
              <w:t xml:space="preserve">~4%</w:t>
            </w:r>
          </w:p>
        </w:tc>
        <w:tc>
          <w:tcPr/>
          <w:p>
            <w:pPr>
              <w:pStyle w:val="Compact"/>
              <w:jc w:val="left"/>
            </w:pPr>
            <w:r>
              <w:t xml:space="preserve">光模块/激光设备龙头，子公司华工正源海外增速+500%</w:t>
            </w:r>
          </w:p>
        </w:tc>
      </w:tr>
      <w:tr>
        <w:tc>
          <w:tcPr/>
          <w:p>
            <w:pPr>
              <w:pStyle w:val="Compact"/>
            </w:pPr>
          </w:p>
        </w:tc>
        <w:tc>
          <w:tcPr/>
          <w:p>
            <w:pPr>
              <w:pStyle w:val="Compact"/>
            </w:pPr>
          </w:p>
        </w:tc>
        <w:tc>
          <w:tcPr/>
          <w:p>
            <w:pPr>
              <w:pStyle w:val="Compact"/>
              <w:jc w:val="left"/>
            </w:pPr>
            <w:r>
              <w:rPr>
                <w:bCs/>
                <w:b/>
              </w:rPr>
              <w:t xml:space="preserve">前十大合计</w:t>
            </w:r>
          </w:p>
        </w:tc>
        <w:tc>
          <w:tcPr/>
          <w:p>
            <w:pPr>
              <w:pStyle w:val="Compact"/>
              <w:jc w:val="left"/>
            </w:pPr>
            <w:r>
              <w:rPr>
                <w:bCs/>
                <w:b/>
              </w:rPr>
              <w:t xml:space="preserve">~60.5%</w:t>
            </w:r>
          </w:p>
        </w:tc>
        <w:tc>
          <w:tcPr/>
          <w:p>
            <w:pPr>
              <w:pStyle w:val="Compact"/>
              <w:jc w:val="left"/>
            </w:pPr>
            <w:fldSimple w:instr="NOTEREF _Ref_Footnote_145 \h \f">
              <w:r>
                <w:rPr>
                  <w:vertAlign w:val="superscript"/>
                </w:rPr>
                <w:t>145</w:t>
              </w:r>
            </w:fldSimple>
          </w:p>
        </w:tc>
      </w:tr>
    </w:tbl>
    <w:p>
      <w:pPr>
        <w:pStyle w:val="BodyText"/>
      </w:pPr>
      <w:r>
        <w:t xml:space="preserve">前十大持仓的结构特征值得深入分析。从产业链视角看，光模块（中际旭创+新易盛+天孚通信+华工科技）合计约37%，AI服务器（工业富联）约7%，PCB（东山精密+沪电股份）约9%，光纤光缆（亨通光电）约4%，存储芯片（兆易创新）约5%，消费电子（立讯精密）约8%。这一分布意味着515050并非纯粹的光模块ETF，而是一只”AI算力基础设施”ETF——光通信为核心（37%），向上延伸至服务器代工和PCB（16%），向下覆盖光纤光缆（4%）。对于希望捕捉AI算力全链条景气度、而非仅赌光模块单一环节的投资者，这种分散结构提供了更好的风险收益比。</w:t>
      </w:r>
    </w:p>
    <w:bookmarkEnd w:id="85"/>
    <w:bookmarkStart w:id="86" w:name="业绩走势与资金流向"/>
    <w:p>
      <w:pPr>
        <w:pStyle w:val="Heading4"/>
      </w:pPr>
      <w:r>
        <w:t xml:space="preserve">4.2.3 业绩走势与资金流向</w:t>
      </w:r>
    </w:p>
    <w:p>
      <w:pPr>
        <w:pStyle w:val="FirstParagraph"/>
      </w:pPr>
      <w:r>
        <w:t xml:space="preserve">通信ETF华夏近3年净值涨幅277.94%，在2,109只同类基金中排名第6</w:t>
      </w:r>
      <w:r>
        <w:t xml:space="preserve"> </w:t>
      </w:r>
      <w:fldSimple w:instr="NOTEREF _Ref_Footnote_147 \h \f">
        <w:r>
          <w:rPr>
            <w:vertAlign w:val="superscript"/>
          </w:rPr>
          <w:t>147</w:t>
        </w:r>
      </w:fldSimple>
      <w:r>
        <w:t xml:space="preserve">，超越了绝大多数主动管理型基金。成立以来超越基准年化1.21%</w:t>
      </w:r>
      <w:r>
        <w:t xml:space="preserve"> </w:t>
      </w:r>
      <w:fldSimple w:instr="NOTEREF _Ref_Footnote_147 \h \f">
        <w:r>
          <w:rPr>
            <w:vertAlign w:val="superscript"/>
          </w:rPr>
          <w:t>147</w:t>
        </w:r>
      </w:fldSimple>
      <w:r>
        <w:t xml:space="preserve">，对于指数型产品而言，这一超额收益水平已属优异，主要来源于打新收益和成分股权重优化。</w:t>
      </w:r>
    </w:p>
    <w:p>
      <w:pPr>
        <w:pStyle w:val="BodyText"/>
      </w:pPr>
      <w:r>
        <w:t xml:space="preserve">资金流向方面，2026年以来呈现明显的”高抛低吸”特征。2026年1月净流出约1.9亿元（连续5日净赎回）</w:t>
      </w:r>
      <w:fldSimple w:instr="NOTEREF _Ref_Footnote_102 \h \f">
        <w:r>
          <w:rPr>
            <w:vertAlign w:val="superscript"/>
          </w:rPr>
          <w:t>102</w:t>
        </w:r>
      </w:fldSimple>
      <w:r>
        <w:t xml:space="preserve">，3月净流入1.59亿元（连续4日净申购）</w:t>
      </w:r>
      <w:r>
        <w:rPr>
          <w:vertAlign w:val="superscript"/>
        </w:rPr>
        <w:footnoteReference w:id="153"/>
      </w:r>
      <w:r>
        <w:t xml:space="preserve">，4月初再度净流出9,804万元</w:t>
      </w:r>
      <w:r>
        <w:t xml:space="preserve"> </w:t>
      </w:r>
      <w:r>
        <w:rPr>
          <w:vertAlign w:val="superscript"/>
        </w:rPr>
        <w:footnoteReference w:id="154"/>
      </w:r>
      <w:r>
        <w:t xml:space="preserve">，4月底起连续3天净流入6.39亿元</w:t>
      </w:r>
      <w:r>
        <w:t xml:space="preserve"> </w:t>
      </w:r>
      <w:r>
        <w:rPr>
          <w:vertAlign w:val="superscript"/>
        </w:rPr>
        <w:footnoteReference w:id="155"/>
      </w:r>
      <w:r>
        <w:t xml:space="preserve">，至5月初近18个交易日合计吸金6.61亿元，规模从116.30亿元增至121.99亿元</w:t>
      </w:r>
      <w:r>
        <w:t xml:space="preserve"> </w:t>
      </w:r>
      <w:r>
        <w:rPr>
          <w:vertAlign w:val="superscript"/>
        </w:rPr>
        <w:footnoteReference w:id="156"/>
      </w:r>
      <w:r>
        <w:t xml:space="preserve">。这一资金波动模式反映出短期交易型资金在光通信板块上的频繁进出，也侧面印证了板块的高关注度和高流动性。</w:t>
      </w:r>
    </w:p>
    <w:bookmarkEnd w:id="86"/>
    <w:bookmarkEnd w:id="87"/>
    <w:bookmarkStart w:id="97" w:name="估值分析"/>
    <w:p>
      <w:pPr>
        <w:pStyle w:val="Heading3"/>
      </w:pPr>
      <w:r>
        <w:t xml:space="preserve">4.3 估值分析</w:t>
      </w:r>
    </w:p>
    <w:bookmarkStart w:id="88" w:name="龙头公司估值对比业绩高增长快速消化静态估值"/>
    <w:p>
      <w:pPr>
        <w:pStyle w:val="Heading4"/>
      </w:pPr>
      <w:r>
        <w:t xml:space="preserve">4.3.1 龙头公司估值对比：业绩高增长快速消化静态估值</w:t>
      </w:r>
    </w:p>
    <w:p>
      <w:pPr>
        <w:pStyle w:val="FirstParagraph"/>
      </w:pPr>
      <w:r>
        <w:t xml:space="preserve">光通信龙头当前估值的核心特征是”静态PE偏高、动态PE极低”。这一看似矛盾的估值结构源于业绩增速远超股价涨幅——中际旭创2025年净利润同比增长108.8%</w:t>
      </w:r>
      <w:r>
        <w:t xml:space="preserve"> </w:t>
      </w:r>
      <w:fldSimple w:instr="NOTEREF _Ref_Footnote_94 \h \f">
        <w:r>
          <w:rPr>
            <w:vertAlign w:val="superscript"/>
          </w:rPr>
          <w:t>94</w:t>
        </w:r>
      </w:fldSimple>
      <w:r>
        <w:t xml:space="preserve">，新易盛同比增长235.89%</w:t>
      </w:r>
      <w:r>
        <w:t xml:space="preserve"> </w:t>
      </w:r>
      <w:r>
        <w:rPr>
          <w:vertAlign w:val="superscript"/>
        </w:rPr>
        <w:footnoteReference w:id="157"/>
      </w:r>
      <w:r>
        <w:t xml:space="preserve">，天孚通信同比增长50.15%</w:t>
      </w:r>
      <w:r>
        <w:t xml:space="preserve"> </w:t>
      </w:r>
      <w:fldSimple w:instr="NOTEREF _Ref_Footnote_12 \h \f">
        <w:r>
          <w:rPr>
            <w:vertAlign w:val="superscript"/>
          </w:rPr>
          <w:t>12</w:t>
        </w:r>
      </w:fldSimple>
      <w:r>
        <w:t xml:space="preserve">，业绩爆发正在以极快速度消化静态估值。</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公司</w:t>
            </w:r>
          </w:p>
        </w:tc>
        <w:tc>
          <w:tcPr/>
          <w:p>
            <w:pPr>
              <w:pStyle w:val="Compact"/>
              <w:jc w:val="left"/>
            </w:pPr>
            <w:r>
              <w:t xml:space="preserve">PE-TTM</w:t>
            </w:r>
          </w:p>
        </w:tc>
        <w:tc>
          <w:tcPr/>
          <w:p>
            <w:pPr>
              <w:pStyle w:val="Compact"/>
              <w:jc w:val="left"/>
            </w:pPr>
            <w:r>
              <w:t xml:space="preserve">2026E PE</w:t>
            </w:r>
          </w:p>
        </w:tc>
        <w:tc>
          <w:tcPr/>
          <w:p>
            <w:pPr>
              <w:pStyle w:val="Compact"/>
              <w:jc w:val="left"/>
            </w:pPr>
            <w:r>
              <w:t xml:space="preserve">PEG</w:t>
            </w:r>
          </w:p>
        </w:tc>
        <w:tc>
          <w:tcPr/>
          <w:p>
            <w:pPr>
              <w:pStyle w:val="Compact"/>
              <w:jc w:val="left"/>
            </w:pPr>
            <w:r>
              <w:t xml:space="preserve">PS</w:t>
            </w:r>
          </w:p>
        </w:tc>
        <w:tc>
          <w:tcPr/>
          <w:p>
            <w:pPr>
              <w:pStyle w:val="Compact"/>
              <w:jc w:val="left"/>
            </w:pPr>
            <w:r>
              <w:t xml:space="preserve">EV-EBITDA</w:t>
            </w:r>
          </w:p>
        </w:tc>
        <w:tc>
          <w:tcPr/>
          <w:p>
            <w:pPr>
              <w:pStyle w:val="Compact"/>
              <w:jc w:val="left"/>
            </w:pPr>
            <w:r>
              <w:t xml:space="preserve">投资评级</w:t>
            </w:r>
          </w:p>
        </w:tc>
      </w:tr>
      <w:tr>
        <w:tc>
          <w:tcPr/>
          <w:p>
            <w:pPr>
              <w:pStyle w:val="Compact"/>
              <w:jc w:val="left"/>
            </w:pPr>
            <w:r>
              <w:t xml:space="preserve">中际旭创</w:t>
            </w:r>
          </w:p>
        </w:tc>
        <w:tc>
          <w:tcPr/>
          <w:p>
            <w:pPr>
              <w:pStyle w:val="Compact"/>
              <w:jc w:val="left"/>
            </w:pPr>
            <w:r>
              <w:t xml:space="preserve">75.83x</w:t>
            </w:r>
            <w:r>
              <w:t xml:space="preserve"> </w:t>
            </w:r>
            <w:r>
              <w:rPr>
                <w:vertAlign w:val="superscript"/>
              </w:rPr>
              <w:footnoteReference w:id="158"/>
            </w:r>
          </w:p>
        </w:tc>
        <w:tc>
          <w:tcPr/>
          <w:p>
            <w:pPr>
              <w:pStyle w:val="Compact"/>
              <w:jc w:val="left"/>
            </w:pPr>
            <w:r>
              <w:t xml:space="preserve">23x</w:t>
            </w:r>
            <w:r>
              <w:t xml:space="preserve"> </w:t>
            </w:r>
            <w:fldSimple w:instr="NOTEREF _Ref_Footnote_63 \h \f">
              <w:r>
                <w:rPr>
                  <w:vertAlign w:val="superscript"/>
                </w:rPr>
                <w:t>63</w:t>
              </w:r>
            </w:fldSimple>
          </w:p>
        </w:tc>
        <w:tc>
          <w:tcPr/>
          <w:p>
            <w:pPr>
              <w:pStyle w:val="Compact"/>
              <w:jc w:val="left"/>
            </w:pPr>
            <w:r>
              <w:t xml:space="preserve">0.55</w:t>
            </w:r>
            <w:r>
              <w:t xml:space="preserve"> </w:t>
            </w:r>
            <w:fldSimple w:instr="NOTEREF _Ref_Footnote_158 \h \f">
              <w:r>
                <w:rPr>
                  <w:vertAlign w:val="superscript"/>
                </w:rPr>
                <w:t>158</w:t>
              </w:r>
            </w:fldSimple>
            <w:r>
              <w:t xml:space="preserve"> </w:t>
            </w:r>
            <w:fldSimple w:instr="NOTEREF _Ref_Footnote_63 \h \f">
              <w:r>
                <w:rPr>
                  <w:vertAlign w:val="superscript"/>
                </w:rPr>
                <w:t>63</w:t>
              </w:r>
            </w:fldSimple>
          </w:p>
        </w:tc>
        <w:tc>
          <w:tcPr/>
          <w:p>
            <w:pPr>
              <w:pStyle w:val="Compact"/>
              <w:jc w:val="left"/>
            </w:pPr>
            <w:r>
              <w:t xml:space="preserve">~14x</w:t>
            </w:r>
          </w:p>
        </w:tc>
        <w:tc>
          <w:tcPr/>
          <w:p>
            <w:pPr>
              <w:pStyle w:val="Compact"/>
              <w:jc w:val="left"/>
            </w:pPr>
            <w:r>
              <w:t xml:space="preserve">~35x</w:t>
            </w:r>
          </w:p>
        </w:tc>
        <w:tc>
          <w:tcPr/>
          <w:p>
            <w:pPr>
              <w:pStyle w:val="Compact"/>
              <w:jc w:val="left"/>
            </w:pPr>
            <w:r>
              <w:t xml:space="preserve">买入</w:t>
            </w:r>
          </w:p>
        </w:tc>
      </w:tr>
      <w:tr>
        <w:tc>
          <w:tcPr/>
          <w:p>
            <w:pPr>
              <w:pStyle w:val="Compact"/>
              <w:jc w:val="left"/>
            </w:pPr>
            <w:r>
              <w:t xml:space="preserve">新易盛</w:t>
            </w:r>
          </w:p>
        </w:tc>
        <w:tc>
          <w:tcPr/>
          <w:p>
            <w:pPr>
              <w:pStyle w:val="Compact"/>
              <w:jc w:val="left"/>
            </w:pPr>
            <w:r>
              <w:t xml:space="preserve">49-57x</w:t>
            </w:r>
            <w:r>
              <w:t xml:space="preserve"> </w:t>
            </w:r>
            <w:r>
              <w:rPr>
                <w:vertAlign w:val="superscript"/>
              </w:rPr>
              <w:footnoteReference w:id="159"/>
            </w:r>
            <w:r>
              <w:t xml:space="preserve"> </w:t>
            </w:r>
            <w:r>
              <w:rPr>
                <w:vertAlign w:val="superscript"/>
              </w:rPr>
              <w:footnoteReference w:id="160"/>
            </w:r>
          </w:p>
        </w:tc>
        <w:tc>
          <w:tcPr/>
          <w:p>
            <w:pPr>
              <w:pStyle w:val="Compact"/>
              <w:jc w:val="left"/>
            </w:pPr>
            <w:r>
              <w:t xml:space="preserve">15-20x</w:t>
            </w:r>
            <w:r>
              <w:t xml:space="preserve"> </w:t>
            </w:r>
            <w:r>
              <w:rPr>
                <w:vertAlign w:val="superscript"/>
              </w:rPr>
              <w:footnoteReference w:id="161"/>
            </w:r>
          </w:p>
        </w:tc>
        <w:tc>
          <w:tcPr/>
          <w:p>
            <w:pPr>
              <w:pStyle w:val="Compact"/>
              <w:jc w:val="left"/>
            </w:pPr>
            <w:r>
              <w:rPr>
                <w:bCs/>
                <w:b/>
              </w:rPr>
              <w:t xml:space="preserve">0.32</w:t>
            </w:r>
            <w:r>
              <w:t xml:space="preserve"> </w:t>
            </w:r>
            <w:r>
              <w:rPr>
                <w:vertAlign w:val="superscript"/>
              </w:rPr>
              <w:footnoteReference w:id="162"/>
            </w:r>
          </w:p>
        </w:tc>
        <w:tc>
          <w:tcPr/>
          <w:p>
            <w:pPr>
              <w:pStyle w:val="Compact"/>
              <w:jc w:val="left"/>
            </w:pPr>
            <w:r>
              <w:t xml:space="preserve">~25x</w:t>
            </w:r>
          </w:p>
        </w:tc>
        <w:tc>
          <w:tcPr/>
          <w:p>
            <w:pPr>
              <w:pStyle w:val="Compact"/>
              <w:jc w:val="left"/>
            </w:pPr>
            <w:r>
              <w:t xml:space="preserve">~30x</w:t>
            </w:r>
          </w:p>
        </w:tc>
        <w:tc>
          <w:tcPr/>
          <w:p>
            <w:pPr>
              <w:pStyle w:val="Compact"/>
              <w:jc w:val="left"/>
            </w:pPr>
            <w:r>
              <w:t xml:space="preserve">买入</w:t>
            </w:r>
          </w:p>
        </w:tc>
      </w:tr>
      <w:tr>
        <w:tc>
          <w:tcPr/>
          <w:p>
            <w:pPr>
              <w:pStyle w:val="Compact"/>
              <w:jc w:val="left"/>
            </w:pPr>
            <w:r>
              <w:t xml:space="preserve">天孚通信</w:t>
            </w:r>
          </w:p>
        </w:tc>
        <w:tc>
          <w:tcPr/>
          <w:p>
            <w:pPr>
              <w:pStyle w:val="Compact"/>
              <w:jc w:val="left"/>
            </w:pPr>
            <w:r>
              <w:t xml:space="preserve">73x</w:t>
            </w:r>
          </w:p>
        </w:tc>
        <w:tc>
          <w:tcPr/>
          <w:p>
            <w:pPr>
              <w:pStyle w:val="Compact"/>
              <w:jc w:val="left"/>
            </w:pPr>
            <w:r>
              <w:t xml:space="preserve">46-61x</w:t>
            </w:r>
            <w:r>
              <w:t xml:space="preserve"> </w:t>
            </w:r>
            <w:r>
              <w:rPr>
                <w:vertAlign w:val="superscript"/>
              </w:rPr>
              <w:footnoteReference w:id="163"/>
            </w:r>
            <w:r>
              <w:t xml:space="preserve"> </w:t>
            </w:r>
            <w:r>
              <w:rPr>
                <w:vertAlign w:val="superscript"/>
              </w:rPr>
              <w:footnoteReference w:id="164"/>
            </w:r>
          </w:p>
        </w:tc>
        <w:tc>
          <w:tcPr/>
          <w:p>
            <w:pPr>
              <w:pStyle w:val="Compact"/>
              <w:jc w:val="left"/>
            </w:pPr>
            <w:r>
              <w:t xml:space="preserve">&lt;1</w:t>
            </w:r>
          </w:p>
        </w:tc>
        <w:tc>
          <w:tcPr/>
          <w:p>
            <w:pPr>
              <w:pStyle w:val="Compact"/>
              <w:jc w:val="left"/>
            </w:pPr>
            <w:r>
              <w:t xml:space="preserve">~53x</w:t>
            </w:r>
          </w:p>
        </w:tc>
        <w:tc>
          <w:tcPr/>
          <w:p>
            <w:pPr>
              <w:pStyle w:val="Compact"/>
              <w:jc w:val="left"/>
            </w:pPr>
            <w:r>
              <w:t xml:space="preserve">~50x</w:t>
            </w:r>
          </w:p>
        </w:tc>
        <w:tc>
          <w:tcPr/>
          <w:p>
            <w:pPr>
              <w:pStyle w:val="Compact"/>
              <w:jc w:val="left"/>
            </w:pPr>
            <w:r>
              <w:t xml:space="preserve">增持</w:t>
            </w:r>
          </w:p>
        </w:tc>
      </w:tr>
    </w:tbl>
    <w:p>
      <w:pPr>
        <w:pStyle w:val="BodyText"/>
      </w:pPr>
      <w:r>
        <w:t xml:space="preserve">从PEG（市盈率相对盈利增长比率）角度分析，中际旭创PEG仅0.55，新易盛仅0.32</w:t>
      </w:r>
      <w:r>
        <w:t xml:space="preserve"> </w:t>
      </w:r>
      <w:fldSimple w:instr="NOTEREF _Ref_Footnote_158 \h \f">
        <w:r>
          <w:rPr>
            <w:vertAlign w:val="superscript"/>
          </w:rPr>
          <w:t>158</w:t>
        </w:r>
      </w:fldSimple>
      <w:r>
        <w:t xml:space="preserve"> </w:t>
      </w:r>
      <w:fldSimple w:instr="NOTEREF _Ref_Footnote_162 \h \f">
        <w:r>
          <w:rPr>
            <w:vertAlign w:val="superscript"/>
          </w:rPr>
          <w:t>162</w:t>
        </w:r>
      </w:fldSimple>
      <w:r>
        <w:t xml:space="preserve">，均远低于PEG=1.0的合理估值线。这意味着当前股价尚未充分反映未来两年的盈利增长预期。新易盛PEG最低（0.32），原因在于其2025年净利润增速高达235.89%</w:t>
      </w:r>
      <w:r>
        <w:t xml:space="preserve"> </w:t>
      </w:r>
      <w:fldSimple w:instr="NOTEREF _Ref_Footnote_157 \h \f">
        <w:r>
          <w:rPr>
            <w:vertAlign w:val="superscript"/>
          </w:rPr>
          <w:t>157</w:t>
        </w:r>
      </w:fldSimple>
      <w:r>
        <w:t xml:space="preserve">，市场定价未能跟上业绩释放速度。天孚通信2026E PE为46-61x</w:t>
      </w:r>
      <w:r>
        <w:t xml:space="preserve"> </w:t>
      </w:r>
      <w:fldSimple w:instr="NOTEREF _Ref_Footnote_163 \h \f">
        <w:r>
          <w:rPr>
            <w:vertAlign w:val="superscript"/>
          </w:rPr>
          <w:t>163</w:t>
        </w:r>
      </w:fldSimple>
      <w:r>
        <w:t xml:space="preserve"> </w:t>
      </w:r>
      <w:fldSimple w:instr="NOTEREF _Ref_Footnote_164 \h \f">
        <w:r>
          <w:rPr>
            <w:vertAlign w:val="superscript"/>
          </w:rPr>
          <w:t>164</w:t>
        </w:r>
      </w:fldSimple>
      <w:r>
        <w:t xml:space="preserve">，高于光模块龙头，溢价主要来源于CPO光引擎的稀缺性——其1.6T光引擎全球市占率约65%，CPO光引擎市占率超70%</w:t>
      </w:r>
      <w:r>
        <w:t xml:space="preserve"> </w:t>
      </w:r>
      <w:fldSimple w:instr="NOTEREF _Ref_Footnote_125 \h \f">
        <w:r>
          <w:rPr>
            <w:vertAlign w:val="superscript"/>
          </w:rPr>
          <w:t>125</w:t>
        </w:r>
      </w:fldSimple>
      <w:r>
        <w:t xml:space="preserve"> </w:t>
      </w:r>
      <w:fldSimple w:instr="NOTEREF _Ref_Footnote_99 \h \f">
        <w:r>
          <w:rPr>
            <w:vertAlign w:val="superscript"/>
          </w:rPr>
          <w:t>99</w:t>
        </w:r>
      </w:fldSimple>
      <w:r>
        <w:t xml:space="preserve">，在CPO商业化元年（2025-2026年）享有一定估值溢价具有合理性。</w:t>
      </w:r>
    </w:p>
    <w:p>
      <w:pPr>
        <w:pStyle w:val="BodyText"/>
      </w:pPr>
      <w:r>
        <w:t xml:space="preserve">AI算力产业链PEG中位数仅0.96倍，显著低于2015年TMT行情及2021年核心资产行情泡沫化时的PEG区间2-3倍</w:t>
      </w:r>
      <w:r>
        <w:t xml:space="preserve"> </w:t>
      </w:r>
      <w:r>
        <w:rPr>
          <w:vertAlign w:val="superscript"/>
        </w:rPr>
        <w:footnoteReference w:id="165"/>
      </w:r>
      <w:r>
        <w:t xml:space="preserve">。这表明光模块核心资产远未进入泡沫区间，估值安全性较高。</w:t>
      </w:r>
    </w:p>
    <w:bookmarkEnd w:id="88"/>
    <w:bookmarkStart w:id="92" w:name="与海外龙头估值对比a股龙头全球视角下的显著折价"/>
    <w:p>
      <w:pPr>
        <w:pStyle w:val="Heading4"/>
      </w:pPr>
      <w:r>
        <w:t xml:space="preserve">4.3.2 与海外龙头估值对比：A股龙头全球视角下的显著折价</w:t>
      </w:r>
    </w:p>
    <w:p>
      <w:pPr>
        <w:pStyle w:val="FirstParagraph"/>
      </w:pPr>
      <w:r>
        <w:t xml:space="preserve">将A股光通信龙头与海外同业对标，估值折价极为显著。海外光通信龙头当前估值处于历史极端高位：Coherent Forward PE为54.2倍（3年中位数24.7倍的2.2倍），Lumentum Forward PE为73.9倍（3年中位数33.1倍的2.2倍），Corning Forward PE为52.4倍（3年中位数20.1倍的2.6倍）</w:t>
      </w:r>
      <w:r>
        <w:rPr>
          <w:vertAlign w:val="superscript"/>
        </w:rPr>
        <w:footnoteReference w:id="166"/>
      </w:r>
      <w:r>
        <w:t xml:space="preserve">。</w:t>
      </w:r>
    </w:p>
    <w:p>
      <w:pPr>
        <w:pStyle w:val="CaptionedFigure"/>
      </w:pPr>
      <w:r>
        <w:drawing>
          <wp:inline>
            <wp:extent cx="5334000" cy="2125155"/>
            <wp:effectExtent b="0" l="0" r="0" t="0"/>
            <wp:docPr descr="光通信龙头估值对比" title="" id="90" name="Picture"/>
            <a:graphic>
              <a:graphicData uri="http://schemas.openxmlformats.org/drawingml/2006/picture">
                <pic:pic>
                  <pic:nvPicPr>
                    <pic:cNvPr descr="fig_sec04_valuation_comparison.png" id="91" name="Picture"/>
                    <pic:cNvPicPr>
                      <a:picLocks noChangeArrowheads="1" noChangeAspect="1"/>
                    </pic:cNvPicPr>
                  </pic:nvPicPr>
                  <pic:blipFill>
                    <a:blip r:embed="rId89"/>
                    <a:stretch>
                      <a:fillRect/>
                    </a:stretch>
                  </pic:blipFill>
                  <pic:spPr bwMode="auto">
                    <a:xfrm>
                      <a:off x="0" y="0"/>
                      <a:ext cx="5334000" cy="2125155"/>
                    </a:xfrm>
                    <a:prstGeom prst="rect">
                      <a:avLst/>
                    </a:prstGeom>
                    <a:noFill/>
                    <a:ln w="9525">
                      <a:noFill/>
                      <a:headEnd/>
                      <a:tailEnd/>
                    </a:ln>
                  </pic:spPr>
                </pic:pic>
              </a:graphicData>
            </a:graphic>
          </wp:inline>
        </w:drawing>
      </w:r>
    </w:p>
    <w:p>
      <w:pPr>
        <w:pStyle w:val="ImageCaption"/>
      </w:pPr>
      <w:r>
        <w:t xml:space="preserve">光通信龙头估值对比</w:t>
      </w:r>
    </w:p>
    <w:p>
      <w:pPr>
        <w:pStyle w:val="BodyText"/>
      </w:pPr>
      <w:r>
        <w:t xml:space="preserve">中外估值对比揭示了一个重要的投资逻辑：中际旭创2026E PE（23x）仅为Coherent Forward PE（54x）的</w:t>
      </w:r>
      <w:r>
        <w:rPr>
          <w:bCs/>
          <w:b/>
        </w:rPr>
        <w:t xml:space="preserve">42%</w:t>
      </w:r>
      <w:r>
        <w:t xml:space="preserve">，新易盛2026E PE（15-20x）仅为Lumentum Forward PE（74x）的</w:t>
      </w:r>
      <w:r>
        <w:rPr>
          <w:bCs/>
          <w:b/>
        </w:rPr>
        <w:t xml:space="preserve">20-27%</w:t>
      </w:r>
      <w:r>
        <w:t xml:space="preserve"> </w:t>
      </w:r>
      <w:fldSimple w:instr="NOTEREF _Ref_Footnote_166 \h \f">
        <w:r>
          <w:rPr>
            <w:vertAlign w:val="superscript"/>
          </w:rPr>
          <w:t>166</w:t>
        </w:r>
      </w:fldSimple>
      <w:r>
        <w:t xml:space="preserve">。A股龙头PEG仅0.32-0.55，海外龙头PEG超过2.0。这一巨大价差的合理解释在于：A股龙头的业绩增速远超海外同业——中际旭创2025年营收增长60%、净利润增长109%</w:t>
      </w:r>
      <w:r>
        <w:t xml:space="preserve"> </w:t>
      </w:r>
      <w:fldSimple w:instr="NOTEREF _Ref_Footnote_94 \h \f">
        <w:r>
          <w:rPr>
            <w:vertAlign w:val="superscript"/>
          </w:rPr>
          <w:t>94</w:t>
        </w:r>
      </w:fldSimple>
      <w:r>
        <w:t xml:space="preserve">，新易盛营收增长187%、净利润增长236%</w:t>
      </w:r>
      <w:r>
        <w:t xml:space="preserve"> </w:t>
      </w:r>
      <w:fldSimple w:instr="NOTEREF _Ref_Footnote_122 \h \f">
        <w:r>
          <w:rPr>
            <w:vertAlign w:val="superscript"/>
          </w:rPr>
          <w:t>122</w:t>
        </w:r>
      </w:fldSimple>
      <w:r>
        <w:t xml:space="preserve">，而Coherent和Lumentum的增速远低于此水平。换言之，A股龙头以更快的增长、更低的估值，提供了全球范围内光通信板块最优的风险收益比。</w:t>
      </w:r>
    </w:p>
    <w:p>
      <w:pPr>
        <w:pStyle w:val="BodyText"/>
      </w:pPr>
      <w:r>
        <w:t xml:space="preserve">需要警惕的是，海外龙头估值已处于历史极端位置——2.2-2.6倍于3年中位数</w:t>
      </w:r>
      <w:r>
        <w:t xml:space="preserve"> </w:t>
      </w:r>
      <w:fldSimple w:instr="NOTEREF _Ref_Footnote_166 \h \f">
        <w:r>
          <w:rPr>
            <w:vertAlign w:val="superscript"/>
          </w:rPr>
          <w:t>166</w:t>
        </w:r>
      </w:fldSimple>
      <w:r>
        <w:t xml:space="preserve">，一旦AI资本开支增速放缓或技术路线切换，回调风险极大。A股龙头虽估值更低，但同样面临全球CAPEX周期的系统性风险。</w:t>
      </w:r>
    </w:p>
    <w:bookmarkEnd w:id="92"/>
    <w:bookmarkStart w:id="96" w:name="产业链不同环节估值光芯片泡沫风险-vs-光模块性价比优势"/>
    <w:p>
      <w:pPr>
        <w:pStyle w:val="Heading4"/>
      </w:pPr>
      <w:r>
        <w:t xml:space="preserve">4.3.3 产业链不同环节估值：光芯片泡沫风险 vs 光模块性价比优势</w:t>
      </w:r>
    </w:p>
    <w:p>
      <w:pPr>
        <w:pStyle w:val="FirstParagraph"/>
      </w:pPr>
      <w:r>
        <w:t xml:space="preserve">光通信产业链内部估值分化极端，不同环节的风险收益特征差异显著。</w:t>
      </w:r>
    </w:p>
    <w:p>
      <w:pPr>
        <w:pStyle w:val="CaptionedFigure"/>
      </w:pPr>
      <w:r>
        <w:drawing>
          <wp:inline>
            <wp:extent cx="5334000" cy="2804094"/>
            <wp:effectExtent b="0" l="0" r="0" t="0"/>
            <wp:docPr descr="光通信产业链不同环节估值对比" title="" id="94" name="Picture"/>
            <a:graphic>
              <a:graphicData uri="http://schemas.openxmlformats.org/drawingml/2006/picture">
                <pic:pic>
                  <pic:nvPicPr>
                    <pic:cNvPr descr="fig_sec04_industry_chain_valuation.png" id="95" name="Picture"/>
                    <pic:cNvPicPr>
                      <a:picLocks noChangeArrowheads="1" noChangeAspect="1"/>
                    </pic:cNvPicPr>
                  </pic:nvPicPr>
                  <pic:blipFill>
                    <a:blip r:embed="rId93"/>
                    <a:stretch>
                      <a:fillRect/>
                    </a:stretch>
                  </pic:blipFill>
                  <pic:spPr bwMode="auto">
                    <a:xfrm>
                      <a:off x="0" y="0"/>
                      <a:ext cx="5334000" cy="2804094"/>
                    </a:xfrm>
                    <a:prstGeom prst="rect">
                      <a:avLst/>
                    </a:prstGeom>
                    <a:noFill/>
                    <a:ln w="9525">
                      <a:noFill/>
                      <a:headEnd/>
                      <a:tailEnd/>
                    </a:ln>
                  </pic:spPr>
                </pic:pic>
              </a:graphicData>
            </a:graphic>
          </wp:inline>
        </w:drawing>
      </w:r>
    </w:p>
    <w:p>
      <w:pPr>
        <w:pStyle w:val="ImageCaption"/>
      </w:pPr>
      <w:r>
        <w:t xml:space="preserve">光通信产业链不同环节估值对比</w:t>
      </w:r>
    </w:p>
    <w:p>
      <w:pPr>
        <w:pStyle w:val="BodyText"/>
      </w:pPr>
      <w:r>
        <w:rPr>
          <w:bCs/>
          <w:b/>
        </w:rPr>
        <w:t xml:space="preserve">光模块环节（最具性价比）：</w:t>
      </w:r>
      <w:r>
        <w:t xml:space="preserve"> </w:t>
      </w:r>
      <w:r>
        <w:t xml:space="preserve">受益于800G/1.6T需求爆发，业绩已进入高速释放期。龙头公司2026E PE仅15-23x，PEG仅0.32-0.55，业绩确定性最高，估值安全边际最足。中际旭创2026Q1营收同比增长192%、毛利率进一步提升至46.06%</w:t>
      </w:r>
      <w:r>
        <w:t xml:space="preserve"> </w:t>
      </w:r>
      <w:fldSimple w:instr="NOTEREF _Ref_Footnote_119 \h \f">
        <w:r>
          <w:rPr>
            <w:vertAlign w:val="superscript"/>
          </w:rPr>
          <w:t>119</w:t>
        </w:r>
      </w:fldSimple>
      <w:r>
        <w:t xml:space="preserve">，验证了量价齐升的逻辑仍在延续。</w:t>
      </w:r>
    </w:p>
    <w:p>
      <w:pPr>
        <w:pStyle w:val="BodyText"/>
      </w:pPr>
      <w:r>
        <w:rPr>
          <w:bCs/>
          <w:b/>
        </w:rPr>
        <w:t xml:space="preserve">光器件环节（合理估值）：</w:t>
      </w:r>
      <w:r>
        <w:t xml:space="preserve"> </w:t>
      </w:r>
      <w:r>
        <w:t xml:space="preserve">天孚通信2026E PE 46-61x</w:t>
      </w:r>
      <w:r>
        <w:t xml:space="preserve"> </w:t>
      </w:r>
      <w:fldSimple w:instr="NOTEREF _Ref_Footnote_163 \h \f">
        <w:r>
          <w:rPr>
            <w:vertAlign w:val="superscript"/>
          </w:rPr>
          <w:t>163</w:t>
        </w:r>
      </w:fldSimple>
      <w:r>
        <w:t xml:space="preserve"> </w:t>
      </w:r>
      <w:fldSimple w:instr="NOTEREF _Ref_Footnote_164 \h \f">
        <w:r>
          <w:rPr>
            <w:vertAlign w:val="superscript"/>
          </w:rPr>
          <w:t>164</w:t>
        </w:r>
      </w:fldSimple>
      <w:r>
        <w:t xml:space="preserve">，高于光模块龙头但低于光芯片。CPO商用元年带来额外溢价——CPO中光引擎和光纤列阵价值占比达30-50%</w:t>
      </w:r>
      <w:r>
        <w:t xml:space="preserve"> </w:t>
      </w:r>
      <w:fldSimple w:instr="NOTEREF _Ref_Footnote_12 \h \f">
        <w:r>
          <w:rPr>
            <w:vertAlign w:val="superscript"/>
          </w:rPr>
          <w:t>12</w:t>
        </w:r>
      </w:fldSimple>
      <w:r>
        <w:t xml:space="preserve">，天孚作为光引擎全球龙头具备定价权。</w:t>
      </w:r>
    </w:p>
    <w:p>
      <w:pPr>
        <w:pStyle w:val="BodyText"/>
      </w:pPr>
      <w:r>
        <w:rPr>
          <w:bCs/>
          <w:b/>
        </w:rPr>
        <w:t xml:space="preserve">光芯片环节（泡沫风险最大）：</w:t>
      </w:r>
      <w:r>
        <w:t xml:space="preserve"> </w:t>
      </w:r>
      <w:r>
        <w:t xml:space="preserve">源杰科技PE-TTM高达644-912x，市值646亿元但2025年营收仅6.01亿元</w:t>
      </w:r>
      <w:r>
        <w:t xml:space="preserve"> </w:t>
      </w:r>
      <w:r>
        <w:rPr>
          <w:vertAlign w:val="superscript"/>
        </w:rPr>
        <w:footnoteReference w:id="167"/>
      </w:r>
      <w:r>
        <w:t xml:space="preserve">，市值/收入比超过100x。尽管光芯片是国产替代逻辑最硬的环节，但当前估值已严重透支未来3-5年的增长预期。光芯片行业技术路线变化风险极大（硅光 vs EML vs VCSEL），且高端光芯片国产化率仅4-10%</w:t>
      </w:r>
      <w:r>
        <w:t xml:space="preserve"> </w:t>
      </w:r>
      <w:fldSimple w:instr="NOTEREF _Ref_Footnote_47 \h \f">
        <w:r>
          <w:rPr>
            <w:vertAlign w:val="superscript"/>
          </w:rPr>
          <w:t>47</w:t>
        </w:r>
      </w:fldSimple>
      <w:r>
        <w:t xml:space="preserve"> </w:t>
      </w:r>
      <w:fldSimple w:instr="NOTEREF _Ref_Footnote_48 \h \f">
        <w:r>
          <w:rPr>
            <w:vertAlign w:val="superscript"/>
          </w:rPr>
          <w:t>48</w:t>
        </w:r>
      </w:fldSimple>
      <w:r>
        <w:t xml:space="preserve">，业绩兑现不确定性高。对于ETF投资者而言，515050和159381中光芯片权重均不超过5%，光芯片泡沫风险对ETF净值影响有限。</w:t>
      </w:r>
    </w:p>
    <w:p>
      <w:pPr>
        <w:pStyle w:val="BodyText"/>
      </w:pPr>
      <w:r>
        <w:rPr>
          <w:bCs/>
          <w:b/>
        </w:rPr>
        <w:t xml:space="preserve">光纤光缆环节（价值洼地）：</w:t>
      </w:r>
      <w:r>
        <w:t xml:space="preserve"> </w:t>
      </w:r>
      <w:r>
        <w:t xml:space="preserve">亨通光电PE仅20-30x，传统业务估值较低，但AI数据中心建设拉动高端光纤需求，2025Q4以来呈现量价齐升态势。在515050中权重约4%，提供一定的防御性配置价值。</w:t>
      </w:r>
    </w:p>
    <w:p>
      <w:pPr>
        <w:pStyle w:val="BodyText"/>
      </w:pPr>
      <w:r>
        <w:rPr>
          <w:bCs/>
          <w:b/>
        </w:rPr>
        <w:t xml:space="preserve">ETF配置建议。</w:t>
      </w:r>
      <w:r>
        <w:t xml:space="preserve"> </w:t>
      </w:r>
      <w:r>
        <w:t xml:space="preserve">基于上述分析，我们给出明确的ETF配置方案：</w:t>
      </w:r>
      <w:r>
        <w:rPr>
          <w:bCs/>
          <w:b/>
        </w:rPr>
        <w:t xml:space="preserve">通信ETF华夏（515050）作为核心仓位</w:t>
      </w:r>
      <w:r>
        <w:t xml:space="preserve">，以0.60%的最低费率和0.017%的跟踪误差提供光通信全产业链的beta exposure，适合绝大多数投资者作为底仓配置；</w:t>
      </w:r>
      <w:r>
        <w:rPr>
          <w:bCs/>
          <w:b/>
        </w:rPr>
        <w:t xml:space="preserve">创业板人工智能ETF（159381）作为卫星仓位</w:t>
      </w:r>
      <w:r>
        <w:t xml:space="preserve">，以39-41%的光模块含量和±20%的涨跌幅限制提供最高弹性，适合对光通信有强烈看涨预期的激进投资者增强收益。两者的核心-卫星组合可以在控制费率成本的同时，最大化光通信行情中的收益捕获效率。对于场外定投投资者，515050联接基金（A类008086/C类008087/D类023765）提供了便捷的定期投资通道。</w:t>
      </w:r>
    </w:p>
    <w:p>
      <w:r>
        <w:pict>
          <v:rect style="width:0;height:1.5pt" o:hralign="center" o:hrstd="t" o:hr="t"/>
        </w:pict>
      </w:r>
    </w:p>
    <w:p>
      <w:pPr>
        <w:pStyle w:val="FirstParagraph"/>
      </w:pPr>
      <w:r>
        <w:t xml:space="preserve">上述对ETF标的的系统分析，从光通信纯度、费率结构、跟踪精度和估值水平四个维度论证了”通信ETF华夏（515050）为核心仓位、创业板人工智能ETF（159381）为卫星仓位”的配置逻辑。然而， knowing what to buy 只是投资成功的一半，knowing when and how to buy 同样关键。下一章将从技术指标、配置结构和建仓节奏三个维度，提供可操作的交易策略。</w:t>
      </w:r>
    </w:p>
    <w:bookmarkEnd w:id="96"/>
    <w:bookmarkEnd w:id="97"/>
    <w:bookmarkEnd w:id="98"/>
    <w:bookmarkStart w:id="114" w:name="交易策略"/>
    <w:p>
      <w:pPr>
        <w:pStyle w:val="Heading2"/>
      </w:pPr>
      <w:r>
        <w:t xml:space="preserve">5. 交易策略</w:t>
      </w:r>
    </w:p>
    <w:bookmarkStart w:id="104" w:name="技术指标与择时策略"/>
    <w:p>
      <w:pPr>
        <w:pStyle w:val="Heading3"/>
      </w:pPr>
      <w:r>
        <w:t xml:space="preserve">5.1 技术指标与择时策略</w:t>
      </w:r>
    </w:p>
    <w:bookmarkStart w:id="102" w:name="推荐指标macd布林带rsi组合关注板块轮动节奏"/>
    <w:p>
      <w:pPr>
        <w:pStyle w:val="Heading4"/>
      </w:pPr>
      <w:r>
        <w:t xml:space="preserve">5.1.1 推荐指标：MACD+布林带+RSI组合，关注板块轮动节奏</w:t>
      </w:r>
    </w:p>
    <w:p>
      <w:pPr>
        <w:pStyle w:val="FirstParagraph"/>
      </w:pPr>
      <w:r>
        <w:t xml:space="preserve">通信ETF（515050）过去一年收益率达219.5%，年化波动率40.6%，最大回撤-19.0%</w:t>
      </w:r>
      <w:r>
        <w:t xml:space="preserve"> </w:t>
      </w:r>
      <w:fldSimple w:instr="NOTEREF _Ref_Footnote_147 \h \f">
        <w:r>
          <w:rPr>
            <w:vertAlign w:val="superscript"/>
          </w:rPr>
          <w:t>147</w:t>
        </w:r>
      </w:fldSimple>
      <w:r>
        <w:t xml:space="preserve">，高弹性与高波动并存的品种特性决定了单一技术指标失效概率较高，需采用多指标交叉验证体系。</w:t>
      </w:r>
    </w:p>
    <w:p>
      <w:pPr>
        <w:pStyle w:val="BodyText"/>
      </w:pPr>
      <w:r>
        <w:rPr>
          <w:bCs/>
          <w:b/>
        </w:rPr>
        <w:t xml:space="preserve">MACD（12,26,9）</w:t>
      </w:r>
      <w:r>
        <w:t xml:space="preserve"> </w:t>
      </w:r>
      <w:r>
        <w:t xml:space="preserve">用于捕捉中期趋势方向。当前MACD值0.0688位于信号线上方，柱状体为正，中期趋势偏多。过去一年515050出现8次MACD金叉和8次死叉，平均趋势持续约一个半月，与行业事件驱动节奏吻合。MACD在强趋势中滞后性明显——2025年5-7月价格已涨约30%后才发出金叉，建议以金叉作为加仓触发、死叉作为减仓信号，但需配合RSI提前布局。</w:t>
      </w:r>
    </w:p>
    <w:p>
      <w:pPr>
        <w:pStyle w:val="BodyText"/>
      </w:pPr>
      <w:r>
        <w:rPr>
          <w:bCs/>
          <w:b/>
        </w:rPr>
        <w:t xml:space="preserve">布林带（20,2）</w:t>
      </w:r>
      <w:r>
        <w:t xml:space="preserve"> </w:t>
      </w:r>
      <w:r>
        <w:t xml:space="preserve">用于识别价格极端偏离。当前价格1.133元接近上轨（1.156元），偏离度-2.0%，处于合理偏强区域。布林带的实战价值在于”波动率收缩后突破”——2026年3月中旬GTC大会前带宽从0.15元压缩至0.08元，随后英伟达确认不强制推CPO</w:t>
      </w:r>
      <w:r>
        <w:t xml:space="preserve"> </w:t>
      </w:r>
      <w:fldSimple w:instr="NOTEREF _Ref_Footnote_12 \h \f">
        <w:r>
          <w:rPr>
            <w:vertAlign w:val="superscript"/>
          </w:rPr>
          <w:t>12</w:t>
        </w:r>
      </w:fldSimple>
      <w:r>
        <w:t xml:space="preserve">，价格两周内上涨18%。当带宽压缩至历史低位20%分位以内时，应提高仓位敏感度，准备应对方向性突破。</w:t>
      </w:r>
    </w:p>
    <w:p>
      <w:pPr>
        <w:pStyle w:val="BodyText"/>
      </w:pPr>
      <w:r>
        <w:rPr>
          <w:bCs/>
          <w:b/>
        </w:rPr>
        <w:t xml:space="preserve">RSI（14）</w:t>
      </w:r>
      <w:r>
        <w:t xml:space="preserve"> </w:t>
      </w:r>
      <w:r>
        <w:t xml:space="preserve">用于衡量超买超卖。当前RSI为73.2，处于轻度超买区。过去一年RSI&gt;70的天数达78天、&lt;30仅6天，强趋势中RSI可长期维持高位，单纯因超买卖出将错失主要涨幅。RSI背离信号更可靠——2025年10月价格创新高但RSI未创新高，随后两周回调12%。</w:t>
      </w:r>
    </w:p>
    <w:p>
      <w:pPr>
        <w:pStyle w:val="CaptionedFigure"/>
      </w:pPr>
      <w:r>
        <w:drawing>
          <wp:inline>
            <wp:extent cx="5334000" cy="5290383"/>
            <wp:effectExtent b="0" l="0" r="0" t="0"/>
            <wp:docPr descr="通信ETF技术分析仪表盘" title="" id="100" name="Picture"/>
            <a:graphic>
              <a:graphicData uri="http://schemas.openxmlformats.org/drawingml/2006/picture">
                <pic:pic>
                  <pic:nvPicPr>
                    <pic:cNvPr descr="fig_sec05_technical_analysis.png" id="101" name="Picture"/>
                    <pic:cNvPicPr>
                      <a:picLocks noChangeArrowheads="1" noChangeAspect="1"/>
                    </pic:cNvPicPr>
                  </pic:nvPicPr>
                  <pic:blipFill>
                    <a:blip r:embed="rId99"/>
                    <a:stretch>
                      <a:fillRect/>
                    </a:stretch>
                  </pic:blipFill>
                  <pic:spPr bwMode="auto">
                    <a:xfrm>
                      <a:off x="0" y="0"/>
                      <a:ext cx="5334000" cy="5290383"/>
                    </a:xfrm>
                    <a:prstGeom prst="rect">
                      <a:avLst/>
                    </a:prstGeom>
                    <a:noFill/>
                    <a:ln w="9525">
                      <a:noFill/>
                      <a:headEnd/>
                      <a:tailEnd/>
                    </a:ln>
                  </pic:spPr>
                </pic:pic>
              </a:graphicData>
            </a:graphic>
          </wp:inline>
        </w:drawing>
      </w:r>
    </w:p>
    <w:p>
      <w:pPr>
        <w:pStyle w:val="ImageCaption"/>
      </w:pPr>
      <w:r>
        <w:t xml:space="preserve">通信ETF技术分析仪表盘</w:t>
      </w:r>
    </w:p>
    <w:p>
      <w:pPr>
        <w:pStyle w:val="BodyText"/>
      </w:pPr>
      <w:r>
        <w:t xml:space="preserve">上图标注了CAPEX发布窗口与GTC大会时间点，可清晰观察事件驱动规律：Q2/Q3 CAPEX发布通常带来正向催化，Q4 CAPEX后获利回吐压力较明显。MACD与RSI联合使用可过滤假信号——当MACD金叉同时RSI从30-50区间向上突破时，胜率显著高于单一指标触发。</w:t>
      </w:r>
    </w:p>
    <w:p>
      <w:pPr>
        <w:pStyle w:val="BodyText"/>
      </w:pPr>
      <w:r>
        <w:t xml:space="preserve">板块轮动方面，515050与159381的日收益率相关系数仅0.417，驱动因素差异显著。通过追踪515050相对159381的相对强度比率（RS Ratio），可判断资金在AI算力硬件内部的轮动方向：当RS Ratio连续5日上升且位于20日均线上方时，表明光通信处于资金流入状态。</w:t>
      </w:r>
    </w:p>
    <w:bookmarkEnd w:id="102"/>
    <w:bookmarkStart w:id="103" w:name="关键择时点云厂商capex发布季14710月英伟达gtc大会光模块出货数据发布"/>
    <w:p>
      <w:pPr>
        <w:pStyle w:val="Heading4"/>
      </w:pPr>
      <w:r>
        <w:t xml:space="preserve">5.1.2 关键择时点：云厂商CAPEX发布季（1/4/7/10月）、英伟达GTC大会、光模块出货数据发布</w:t>
      </w:r>
    </w:p>
    <w:p>
      <w:pPr>
        <w:pStyle w:val="FirstParagraph"/>
      </w:pPr>
      <w:r>
        <w:rPr>
          <w:bCs/>
          <w:b/>
        </w:rPr>
        <w:t xml:space="preserve">云厂商CAPEX发布季</w:t>
      </w:r>
      <w:r>
        <w:t xml:space="preserve"> </w:t>
      </w:r>
      <w:r>
        <w:t xml:space="preserve">是影响力最大的定期事件窗口。2026年Q1四大云厂商CAPEX合计1,288亿美元，同比增长79.1%，环比提升10.6%</w:t>
      </w:r>
      <w:r>
        <w:t xml:space="preserve"> </w:t>
      </w:r>
      <w:r>
        <w:rPr>
          <w:vertAlign w:val="superscript"/>
        </w:rPr>
        <w:footnoteReference w:id="168"/>
      </w:r>
      <w:r>
        <w:t xml:space="preserve">。Q2（4月下旬）和Q3（7月下旬）正向催化效应最强——恰逢新财年预算确认和新产线采购启动。Q4（10月下旬）常伴随”利好出尽”的回调压力。</w:t>
      </w:r>
    </w:p>
    <w:p>
      <w:pPr>
        <w:pStyle w:val="BodyText"/>
      </w:pPr>
      <w:r>
        <w:rPr>
          <w:bCs/>
          <w:b/>
        </w:rPr>
        <w:t xml:space="preserve">英伟达GTC大会</w:t>
      </w:r>
      <w:r>
        <w:t xml:space="preserve"> </w:t>
      </w:r>
      <w:r>
        <w:t xml:space="preserve">是年度最关键的技术催化。GTC 2026确认未强制推CPO、可插拔与CPO长期共存</w:t>
      </w:r>
      <w:r>
        <w:t xml:space="preserve"> </w:t>
      </w:r>
      <w:fldSimple w:instr="NOTEREF _Ref_Footnote_12 \h \f">
        <w:r>
          <w:rPr>
            <w:vertAlign w:val="superscript"/>
          </w:rPr>
          <w:t>12</w:t>
        </w:r>
      </w:fldSimple>
      <w:r>
        <w:t xml:space="preserve">，515050单日上涨6.2%。策略上需区分预期阶段（会前2-3周逢低布局）与兑现阶段（会后1周警惕”买预期、卖事实”）。</w:t>
      </w:r>
    </w:p>
    <w:p>
      <w:pPr>
        <w:pStyle w:val="BodyText"/>
      </w:pPr>
      <w:r>
        <w:rPr>
          <w:bCs/>
          <w:b/>
        </w:rPr>
        <w:t xml:space="preserve">光模块出货数据</w:t>
      </w:r>
      <w:r>
        <w:t xml:space="preserve"> </w:t>
      </w:r>
      <w:r>
        <w:t xml:space="preserve">为月度跟踪的高频验证指标。1.6T光模块2026年需求预计700-2,000万只</w:t>
      </w:r>
      <w:r>
        <w:t xml:space="preserve"> </w:t>
      </w:r>
      <w:fldSimple w:instr="NOTEREF _Ref_Footnote_18 \h \f">
        <w:r>
          <w:rPr>
            <w:vertAlign w:val="superscript"/>
          </w:rPr>
          <w:t>18</w:t>
        </w:r>
      </w:fldSimple>
      <w:r>
        <w:t xml:space="preserve">，月度出货量能否达到50万只以上的运行率是判断产品切换进度的关键阈值。800G价格已从1,200美元降至600-700美元</w:t>
      </w:r>
      <w:r>
        <w:t xml:space="preserve"> </w:t>
      </w:r>
      <w:fldSimple w:instr="NOTEREF _Ref_Footnote_96 \h \f">
        <w:r>
          <w:rPr>
            <w:vertAlign w:val="superscript"/>
          </w:rPr>
          <w:t>96</w:t>
        </w:r>
      </w:fldSimple>
      <w:r>
        <w:t xml:space="preserve">，单月价格降幅若超过10%则预示价格战升级。</w:t>
      </w:r>
    </w:p>
    <w:bookmarkEnd w:id="103"/>
    <w:bookmarkEnd w:id="104"/>
    <w:bookmarkStart w:id="110" w:name="配置策略"/>
    <w:p>
      <w:pPr>
        <w:pStyle w:val="Heading3"/>
      </w:pPr>
      <w:r>
        <w:t xml:space="preserve">5.2 配置策略</w:t>
      </w:r>
    </w:p>
    <w:bookmarkStart w:id="108" w:name="X79b151535f324038af162b98c177c26562ca7ee"/>
    <w:p>
      <w:pPr>
        <w:pStyle w:val="Heading4"/>
      </w:pPr>
      <w:r>
        <w:t xml:space="preserve">5.2.1 核心-卫星配置：通信ETF（515050）为核心仓位（60-70%），创业板AI ETF（159381）为卫星仓位（20-30%），光芯片个股为弹性仓位（10%）</w:t>
      </w:r>
    </w:p>
    <w:p>
      <w:pPr>
        <w:pStyle w:val="FirstParagraph"/>
      </w:pPr>
      <w:r>
        <w:rPr>
          <w:bCs/>
          <w:b/>
        </w:rPr>
        <w:t xml:space="preserve">核心仓位（515050，60-70%）。</w:t>
      </w:r>
      <w:r>
        <w:t xml:space="preserve"> </w:t>
      </w:r>
      <w:r>
        <w:t xml:space="preserve">选择依据：综合费率0.60%/年为同类最低，跟踪误差0.017%为同类最高精度</w:t>
      </w:r>
      <w:r>
        <w:t xml:space="preserve"> </w:t>
      </w:r>
      <w:fldSimple w:instr="NOTEREF _Ref_Footnote_147 \h \f">
        <w:r>
          <w:rPr>
            <w:vertAlign w:val="superscript"/>
          </w:rPr>
          <w:t>147</w:t>
        </w:r>
      </w:fldSimple>
      <w:r>
        <w:t xml:space="preserve">；121.99亿元规模提供最佳流动性；前十大持仓光模块占比约37%同时覆盖AI服务器代工、PCB、光纤光缆，全产业链结构在行业轮动中防御性更强</w:t>
      </w:r>
      <w:r>
        <w:t xml:space="preserve"> </w:t>
      </w:r>
      <w:fldSimple w:instr="NOTEREF _Ref_Footnote_145 \h \f">
        <w:r>
          <w:rPr>
            <w:vertAlign w:val="superscript"/>
          </w:rPr>
          <w:t>145</w:t>
        </w:r>
      </w:fldSimple>
      <w:r>
        <w:t xml:space="preserve">；年化波动率40.6%低于159381的42.9%，作为核心可有效控制组合波动。</w:t>
      </w:r>
    </w:p>
    <w:p>
      <w:pPr>
        <w:pStyle w:val="BodyText"/>
      </w:pPr>
      <w:r>
        <w:rPr>
          <w:bCs/>
          <w:b/>
        </w:rPr>
        <w:t xml:space="preserve">卫星仓位（159381，20-30%）。</w:t>
      </w:r>
      <w:r>
        <w:t xml:space="preserve"> </w:t>
      </w:r>
      <w:r>
        <w:t xml:space="preserve">核心价值在于三重弹性叠加：光模块含量39-41%为同类最高</w:t>
      </w:r>
      <w:r>
        <w:t xml:space="preserve"> </w:t>
      </w:r>
      <w:fldSimple w:instr="NOTEREF _Ref_Footnote_149 \h \f">
        <w:r>
          <w:rPr>
            <w:vertAlign w:val="superscript"/>
          </w:rPr>
          <w:t>149</w:t>
        </w:r>
      </w:fldSimple>
      <w:r>
        <w:t xml:space="preserve">，±20%涨跌幅限制使日内弹性为515050的两倍，0.20%费率为同类最低。两者收益水平接近但驱动因素不同，日收益率相关性仅0.417，分散效果良好。AI硬件风格占优时取上限（30%），AI应用风格占优时取下限（20%）。</w:t>
      </w:r>
    </w:p>
    <w:p>
      <w:pPr>
        <w:pStyle w:val="BodyText"/>
      </w:pPr>
      <w:r>
        <w:rPr>
          <w:bCs/>
          <w:b/>
        </w:rPr>
        <w:t xml:space="preserve">弹性仓位（光芯片个股，10%）。</w:t>
      </w:r>
      <w:r>
        <w:t xml:space="preserve"> </w:t>
      </w:r>
      <w:r>
        <w:t xml:space="preserve">25G+光芯片国产化率仅4-10%</w:t>
      </w:r>
      <w:r>
        <w:t xml:space="preserve"> </w:t>
      </w:r>
      <w:fldSimple w:instr="NOTEREF _Ref_Footnote_47 \h \f">
        <w:r>
          <w:rPr>
            <w:vertAlign w:val="superscript"/>
          </w:rPr>
          <w:t>47</w:t>
        </w:r>
      </w:fldSimple>
      <w:r>
        <w:t xml:space="preserve"> </w:t>
      </w:r>
      <w:fldSimple w:instr="NOTEREF _Ref_Footnote_48 \h \f">
        <w:r>
          <w:rPr>
            <w:vertAlign w:val="superscript"/>
          </w:rPr>
          <w:t>48</w:t>
        </w:r>
      </w:fldSimple>
      <w:r>
        <w:t xml:space="preserve">，替代空间巨大，但源杰科技PE-TTM高达644-912x</w:t>
      </w:r>
      <w:r>
        <w:t xml:space="preserve"> </w:t>
      </w:r>
      <w:fldSimple w:instr="NOTEREF _Ref_Footnote_167 \h \f">
        <w:r>
          <w:rPr>
            <w:vertAlign w:val="superscript"/>
          </w:rPr>
          <w:t>167</w:t>
        </w:r>
      </w:fldSimple>
      <w:r>
        <w:t xml:space="preserve">，估值泡沫风险显著。弹性仓位严格控制在10%，仅适合具备个股研究能力的投资者。普通投资者通过515050和159381合计不超过5%的光芯片权重已可获得足够 exposure。</w:t>
      </w:r>
    </w:p>
    <w:p>
      <w:pPr>
        <w:pStyle w:val="CaptionedFigure"/>
      </w:pPr>
      <w:r>
        <w:drawing>
          <wp:inline>
            <wp:extent cx="5334000" cy="3781777"/>
            <wp:effectExtent b="0" l="0" r="0" t="0"/>
            <wp:docPr descr="核心-卫星配置对比分析" title="" id="106" name="Picture"/>
            <a:graphic>
              <a:graphicData uri="http://schemas.openxmlformats.org/drawingml/2006/picture">
                <pic:pic>
                  <pic:nvPicPr>
                    <pic:cNvPr descr="fig_sec05_core_satellite.png" id="107" name="Picture"/>
                    <pic:cNvPicPr>
                      <a:picLocks noChangeArrowheads="1" noChangeAspect="1"/>
                    </pic:cNvPicPr>
                  </pic:nvPicPr>
                  <pic:blipFill>
                    <a:blip r:embed="rId105"/>
                    <a:stretch>
                      <a:fillRect/>
                    </a:stretch>
                  </pic:blipFill>
                  <pic:spPr bwMode="auto">
                    <a:xfrm>
                      <a:off x="0" y="0"/>
                      <a:ext cx="5334000" cy="3781777"/>
                    </a:xfrm>
                    <a:prstGeom prst="rect">
                      <a:avLst/>
                    </a:prstGeom>
                    <a:noFill/>
                    <a:ln w="9525">
                      <a:noFill/>
                      <a:headEnd/>
                      <a:tailEnd/>
                    </a:ln>
                  </pic:spPr>
                </pic:pic>
              </a:graphicData>
            </a:graphic>
          </wp:inline>
        </w:drawing>
      </w:r>
    </w:p>
    <w:p>
      <w:pPr>
        <w:pStyle w:val="ImageCaption"/>
      </w:pPr>
      <w:r>
        <w:t xml:space="preserve">核心-卫星配置对比分析</w:t>
      </w:r>
    </w:p>
    <w:p>
      <w:pPr>
        <w:pStyle w:val="BodyText"/>
      </w:pPr>
      <w:r>
        <w:t xml:space="preserve">上图从收益表现、波动率、RSI和回撤四个维度对比了三层配置特征。右上面板显示159381极端波动峰值更高（2025年9月达75%），印证卫星仓位需控制比例；右下面板显示个股（300308）回撤深度和频率远超ETF，弹性仓位小比例配置是风控必要手段。</w:t>
      </w:r>
    </w:p>
    <w:bookmarkEnd w:id="108"/>
    <w:bookmarkStart w:id="109" w:name="分批建仓策略根据云厂商capex指引和技术迭代节奏分4批建仓"/>
    <w:p>
      <w:pPr>
        <w:pStyle w:val="Heading4"/>
      </w:pPr>
      <w:r>
        <w:t xml:space="preserve">5.2.2 分批建仓策略：根据云厂商CAPEX指引和技术迭代节奏分4批建仓</w:t>
      </w:r>
    </w:p>
    <w:p>
      <w:pPr>
        <w:pStyle w:val="FirstParagraph"/>
      </w:pPr>
      <w:r>
        <w:t xml:space="preserve">行业每3-4年经历一次”产能过剩→价格战→去库存→复苏”周期</w:t>
      </w:r>
      <w:r>
        <w:t xml:space="preserve"> </w:t>
      </w:r>
      <w:r>
        <w:rPr>
          <w:vertAlign w:val="superscript"/>
        </w:rPr>
        <w:footnoteReference w:id="169"/>
      </w:r>
      <w:r>
        <w:t xml:space="preserve">，2027-2030年增速可能回落至15-20%，一次性满仓风险收益比不佳。在18-24个月持有周期内分4批建仓：</w:t>
      </w:r>
    </w:p>
    <w:p>
      <w:pPr>
        <w:pStyle w:val="BodyText"/>
      </w:pPr>
      <w:r>
        <w:rPr>
          <w:bCs/>
          <w:b/>
        </w:rPr>
        <w:t xml:space="preserve">第一批（即时，30%总仓位）：</w:t>
      </w:r>
      <w:r>
        <w:t xml:space="preserve"> </w:t>
      </w:r>
      <w:r>
        <w:t xml:space="preserve">立即执行建立核心底仓。80%配置515050，20%配置159381。光通信板块过去一年RSI&gt;70天数达78天，强趋势中等待回调买入易致踏空。</w:t>
      </w:r>
    </w:p>
    <w:p>
      <w:pPr>
        <w:pStyle w:val="BodyText"/>
      </w:pPr>
      <w:r>
        <w:rPr>
          <w:bCs/>
          <w:b/>
        </w:rPr>
        <w:t xml:space="preserve">第二批（+3个月，30%）：</w:t>
      </w:r>
      <w:r>
        <w:t xml:space="preserve"> </w:t>
      </w:r>
      <w:r>
        <w:t xml:space="preserve">等待Q2 CAPEX数据验证和1.6T出货爬坡确认。若Q2 CAPEX环比增速&gt;5%且1.6T月出货量突破40万只则按计划建仓；否则推迟。第二批可适度增配159381至该批资金的40%，Q2-Q3通常是AI应用板块活跃期。</w:t>
      </w:r>
    </w:p>
    <w:p>
      <w:pPr>
        <w:pStyle w:val="BodyText"/>
      </w:pPr>
      <w:r>
        <w:rPr>
          <w:bCs/>
          <w:b/>
        </w:rPr>
        <w:t xml:space="preserve">第三批（+6个月，25%）：</w:t>
      </w:r>
      <w:r>
        <w:t xml:space="preserve"> </w:t>
      </w:r>
      <w:r>
        <w:t xml:space="preserve">Q3 CAPEX发布和秋季技术大会为催化窗口。重点验证产品结构切换——中际旭创毛利率能否维持45%以上</w:t>
      </w:r>
      <w:r>
        <w:t xml:space="preserve"> </w:t>
      </w:r>
      <w:fldSimple w:instr="NOTEREF _Ref_Footnote_119 \h \f">
        <w:r>
          <w:rPr>
            <w:vertAlign w:val="superscript"/>
          </w:rPr>
          <w:t>119</w:t>
        </w:r>
      </w:fldSimple>
      <w:r>
        <w:t xml:space="preserve">、新易盛环比增速是否转正。若中际旭创毛利率跌破42%或新易盛连续两个季度环比负增长</w:t>
      </w:r>
      <w:r>
        <w:t xml:space="preserve"> </w:t>
      </w:r>
      <w:fldSimple w:instr="NOTEREF _Ref_Footnote_14 \h \f">
        <w:r>
          <w:rPr>
            <w:vertAlign w:val="superscript"/>
          </w:rPr>
          <w:t>14</w:t>
        </w:r>
      </w:fldSimple>
      <w:r>
        <w:t xml:space="preserve">，第三批仓位减半。</w:t>
      </w:r>
    </w:p>
    <w:p>
      <w:pPr>
        <w:pStyle w:val="BodyText"/>
      </w:pPr>
      <w:r>
        <w:rPr>
          <w:bCs/>
          <w:b/>
        </w:rPr>
        <w:t xml:space="preserve">第四批（+9-12个月，15%）：</w:t>
      </w:r>
      <w:r>
        <w:t xml:space="preserve"> </w:t>
      </w:r>
      <w:r>
        <w:t xml:space="preserve">机动仓位，视2026年全年CAPEX指引和1.6T出货量预期调整。若全年CAPEX维持6,500亿美元以上且1.6T出货预期上调至1,500万只以上，则满仓介入；若指引下调则放弃建仓甚至启动减仓。</w:t>
      </w:r>
    </w:p>
    <w:p>
      <w:pPr>
        <w:pStyle w:val="BodyText"/>
      </w:pPr>
      <w:r>
        <w:rPr>
          <w:bCs/>
          <w:b/>
        </w:rPr>
        <w:t xml:space="preserve">动态调整规则：</w:t>
      </w:r>
      <w:r>
        <w:t xml:space="preserve"> </w:t>
      </w:r>
      <w:r>
        <w:t xml:space="preserve">核心仓位不低于50%最低持仓，卫星仓位在15-35%浮动，弹性仓位不超过10%。组合浮盈超20%时将卫星仓位获利50%，核心仓位不变；浮亏超15%触发止损评估。</w:t>
      </w:r>
    </w:p>
    <w:bookmarkEnd w:id="109"/>
    <w:bookmarkEnd w:id="110"/>
    <w:bookmarkStart w:id="113" w:name="目标价位与止损"/>
    <w:p>
      <w:pPr>
        <w:pStyle w:val="Heading3"/>
      </w:pPr>
      <w:r>
        <w:t xml:space="preserve">5.3 目标价位与止损</w:t>
      </w:r>
    </w:p>
    <w:bookmarkStart w:id="111" w:name="基于2026e-pe的合理估值区间测算"/>
    <w:p>
      <w:pPr>
        <w:pStyle w:val="Heading4"/>
      </w:pPr>
      <w:r>
        <w:t xml:space="preserve">5.3.1 基于2026E PE的合理估值区间测算</w:t>
      </w:r>
    </w:p>
    <w:p>
      <w:pPr>
        <w:pStyle w:val="FirstParagraph"/>
      </w:pPr>
      <w:r>
        <w:rPr>
          <w:bCs/>
          <w:b/>
        </w:rPr>
        <w:t xml:space="preserve">龙头公司估值锚。</w:t>
      </w:r>
      <w:r>
        <w:t xml:space="preserve"> </w:t>
      </w:r>
      <w:r>
        <w:t xml:space="preserve">中际旭创2026E PE为23x</w:t>
      </w:r>
      <w:r>
        <w:t xml:space="preserve"> </w:t>
      </w:r>
      <w:fldSimple w:instr="NOTEREF _Ref_Footnote_63 \h \f">
        <w:r>
          <w:rPr>
            <w:vertAlign w:val="superscript"/>
          </w:rPr>
          <w:t>63</w:t>
        </w:r>
      </w:fldSimple>
      <w:r>
        <w:t xml:space="preserve">，PEG仅0.55</w:t>
      </w:r>
      <w:r>
        <w:t xml:space="preserve"> </w:t>
      </w:r>
      <w:fldSimple w:instr="NOTEREF _Ref_Footnote_158 \h \f">
        <w:r>
          <w:rPr>
            <w:vertAlign w:val="superscript"/>
          </w:rPr>
          <w:t>158</w:t>
        </w:r>
      </w:fldSimple>
      <w:r>
        <w:t xml:space="preserve">；新易盛2026E PE为15-20x</w:t>
      </w:r>
      <w:r>
        <w:t xml:space="preserve"> </w:t>
      </w:r>
      <w:fldSimple w:instr="NOTEREF _Ref_Footnote_161 \h \f">
        <w:r>
          <w:rPr>
            <w:vertAlign w:val="superscript"/>
          </w:rPr>
          <w:t>161</w:t>
        </w:r>
      </w:fldSimple>
      <w:r>
        <w:t xml:space="preserve">，PEG仅0.32</w:t>
      </w:r>
      <w:r>
        <w:t xml:space="preserve"> </w:t>
      </w:r>
      <w:fldSimple w:instr="NOTEREF _Ref_Footnote_162 \h \f">
        <w:r>
          <w:rPr>
            <w:vertAlign w:val="superscript"/>
          </w:rPr>
          <w:t>162</w:t>
        </w:r>
      </w:fldSimple>
      <w:r>
        <w:t xml:space="preserve">。AI算力产业链PEG中位数0.96倍</w:t>
      </w:r>
      <w:r>
        <w:t xml:space="preserve"> </w:t>
      </w:r>
      <w:fldSimple w:instr="NOTEREF _Ref_Footnote_165 \h \f">
        <w:r>
          <w:rPr>
            <w:vertAlign w:val="superscript"/>
          </w:rPr>
          <w:t>165</w:t>
        </w:r>
      </w:fldSimple>
      <w:r>
        <w:t xml:space="preserve">，龙头公司估值未充分反映增长预期。中际旭创2026E PE仅为Coherent（54x）的42%，新易盛仅为Lumentum（74x）的20-27%</w:t>
      </w:r>
      <w:r>
        <w:t xml:space="preserve"> </w:t>
      </w:r>
      <w:fldSimple w:instr="NOTEREF _Ref_Footnote_166 \h \f">
        <w:r>
          <w:rPr>
            <w:vertAlign w:val="superscript"/>
          </w:rPr>
          <w:t>166</w:t>
        </w:r>
      </w:fldSimple>
      <w:r>
        <w:t xml:space="preserve">，全球视角下A股龙头呈显著折价。美银证券给予中际旭创目标价888元</w:t>
      </w:r>
      <w:r>
        <w:t xml:space="preserve"> </w:t>
      </w:r>
      <w:r>
        <w:rPr>
          <w:vertAlign w:val="superscript"/>
        </w:rPr>
        <w:footnoteReference w:id="170"/>
      </w:r>
      <w:r>
        <w:t xml:space="preserve">，高盛目标价762元</w:t>
      </w:r>
      <w:r>
        <w:t xml:space="preserve"> </w:t>
      </w:r>
      <w:r>
        <w:rPr>
          <w:vertAlign w:val="superscript"/>
        </w:rPr>
        <w:footnoteReference w:id="171"/>
      </w:r>
      <w:r>
        <w:t xml:space="preserve">，均以全球龙头估值为锚。</w:t>
      </w:r>
    </w:p>
    <w:p>
      <w:pPr>
        <w:pStyle w:val="BodyText"/>
      </w:pPr>
      <w:r>
        <w:t xml:space="preserve">中际旭创合理PE区间25-35x，对应股价中枢452-634元；新易盛合理PE区间20-30x，对应339-509元。515050净值与中际旭创+新易盛（合计权重约29%）高度相关，按目标价测算515050目标区间1.35-1.65元。结合板块Forward PE-band（20-30x）与斐波那契扩展（第三浪目标1.20元，第五浪目标1.45元），515050的2026年底目标价位中枢为1.35元（乐观1.50元，悲观1.10元），较当前价位有约19%的上行空间。</w:t>
      </w:r>
    </w:p>
    <w:bookmarkEnd w:id="111"/>
    <w:bookmarkStart w:id="112" w:name="止损设定云厂商capex连续两个季度环比负增长或1.6t出货量不及预期"/>
    <w:p>
      <w:pPr>
        <w:pStyle w:val="Heading4"/>
      </w:pPr>
      <w:r>
        <w:t xml:space="preserve">5.3.2 止损设定：云厂商CAPEX连续两个季度环比负增长或1.6T出货量不及预期</w:t>
      </w:r>
    </w:p>
    <w:p>
      <w:pPr>
        <w:pStyle w:val="FirstParagraph"/>
      </w:pPr>
      <w:r>
        <w:rPr>
          <w:bCs/>
          <w:b/>
        </w:rPr>
        <w:t xml:space="preserve">一级止损（基本面止损）——减仓至50%。</w:t>
      </w:r>
      <w:r>
        <w:t xml:space="preserve"> </w:t>
      </w:r>
      <w:r>
        <w:t xml:space="preserve">以下任一条件触发即启动：条件一，北美四大云厂商CAPEX连续两个季度环比负增长——Q1合计1,288亿美元同比+79.1%、环比+10.6%</w:t>
      </w:r>
      <w:r>
        <w:t xml:space="preserve"> </w:t>
      </w:r>
      <w:fldSimple w:instr="NOTEREF _Ref_Footnote_168 \h \f">
        <w:r>
          <w:rPr>
            <w:vertAlign w:val="superscript"/>
          </w:rPr>
          <w:t>168</w:t>
        </w:r>
      </w:fldSimple>
      <w:r>
        <w:t xml:space="preserve">为基准，连续两个季度环比下滑表明云厂商收缩AI投资，基本面支撑消失。条件二，1.6T出货量连续3个月低于月度40万只——2026年需求预计700-2,000万只</w:t>
      </w:r>
      <w:r>
        <w:t xml:space="preserve"> </w:t>
      </w:r>
      <w:fldSimple w:instr="NOTEREF _Ref_Footnote_18 \h \f">
        <w:r>
          <w:rPr>
            <w:vertAlign w:val="superscript"/>
          </w:rPr>
          <w:t>18</w:t>
        </w:r>
      </w:fldSimple>
      <w:r>
        <w:t xml:space="preserve">，对应月均58-167万只，连续低于40万只意味着产品结构升级受阻。条件三，800G价格单月降幅超15%</w:t>
      </w:r>
      <w:r>
        <w:t xml:space="preserve"> </w:t>
      </w:r>
      <w:fldSimple w:instr="NOTEREF _Ref_Footnote_96 \h \f">
        <w:r>
          <w:rPr>
            <w:vertAlign w:val="superscript"/>
          </w:rPr>
          <w:t>96</w:t>
        </w:r>
      </w:fldSimple>
      <w:r>
        <w:t xml:space="preserve">——预示价格战从800G蔓延至全行业。</w:t>
      </w:r>
    </w:p>
    <w:p>
      <w:pPr>
        <w:pStyle w:val="BodyText"/>
      </w:pPr>
      <w:r>
        <w:rPr>
          <w:bCs/>
          <w:b/>
        </w:rPr>
        <w:t xml:space="preserve">二级止损（技术止损）——减仓至30%。</w:t>
      </w:r>
      <w:r>
        <w:t xml:space="preserve"> </w:t>
      </w:r>
      <w:r>
        <w:t xml:space="preserve">515050收盘价跌破120日移动平均线且MACD死叉形成，跌破后3个交易日内未收复且成交量超过20日均量1.5倍，趋势反转概率大增。</w:t>
      </w:r>
    </w:p>
    <w:p>
      <w:pPr>
        <w:pStyle w:val="BodyText"/>
      </w:pPr>
      <w:r>
        <w:rPr>
          <w:bCs/>
          <w:b/>
        </w:rPr>
        <w:t xml:space="preserve">三级止损（硬性止损）——清仓。</w:t>
      </w:r>
      <w:r>
        <w:t xml:space="preserve"> </w:t>
      </w:r>
      <w:r>
        <w:t xml:space="preserve">组合整体浮亏达-15%时减仓至50%，浮亏达-20%时无条件清仓。</w:t>
      </w:r>
    </w:p>
    <w:p>
      <w:pPr>
        <w:pStyle w:val="BodyText"/>
      </w:pPr>
      <w:r>
        <w:rPr>
          <w:bCs/>
          <w:b/>
        </w:rPr>
        <w:t xml:space="preserve">核心跟踪频率。</w:t>
      </w:r>
      <w:r>
        <w:t xml:space="preserve"> </w:t>
      </w:r>
      <w:r>
        <w:t xml:space="preserve">云厂商CAPEX为季度跟踪（1/4/7/10月），1.6T出货量为月度跟踪（LightCounting），EML芯片价格为季度跟踪，硅光渗透率为半年跟踪，技术指标为周度跟踪，板块轮动和ETF资金流向为周度跟踪。所有指标汇总至”光通信投资仪表盘”，每周更新，触及预警阈值时立即启动评估流程。</w:t>
      </w:r>
    </w:p>
    <w:p>
      <w:r>
        <w:pict>
          <v:rect style="width:0;height:1.5pt" o:hralign="center" o:hrstd="t" o:hr="t"/>
        </w:pict>
      </w:r>
    </w:p>
    <w:p>
      <w:pPr>
        <w:pStyle w:val="FirstParagraph"/>
      </w:pPr>
      <w:r>
        <w:t xml:space="preserve">前述交易策略旨在帮助投资者把握光通信行业的上行机会，但任何策略都必须建立在充分的风险认知之上。光通信行业虽然处于高景气周期，但并非没有风险——产业链传导、技术路线替代、周期性波动和客户集中等多重风险因子正在积累。最后一章将以前置、发散、多场景为原则，系统构建风险预警框架，帮助投资者在追逐收益的同时守住风险底线。</w:t>
      </w:r>
    </w:p>
    <w:bookmarkEnd w:id="112"/>
    <w:bookmarkEnd w:id="113"/>
    <w:bookmarkEnd w:id="114"/>
    <w:bookmarkStart w:id="132" w:name="投资风险"/>
    <w:p>
      <w:pPr>
        <w:pStyle w:val="Heading2"/>
      </w:pPr>
      <w:r>
        <w:t xml:space="preserve">6. 投资风险</w:t>
      </w:r>
    </w:p>
    <w:p>
      <w:pPr>
        <w:pStyle w:val="FirstParagraph"/>
      </w:pPr>
      <w:r>
        <w:t xml:space="preserve">前述章节系统阐述了光通信行业的投资逻辑与增长前景，但买方研究的核心职责不仅是识别机会，更是预判”什么可能让投资逻辑失效”。本章以前置、发散、多场景为原则，从产业链传导、技术路线替代、周期波动、客户集中四个维度构建风险预警框架，并辅以综合风险矩阵，帮助投资者建立系统性的风险评估体系。</w:t>
      </w:r>
    </w:p>
    <w:bookmarkStart w:id="117" w:name="产业链传导风险"/>
    <w:p>
      <w:pPr>
        <w:pStyle w:val="Heading3"/>
      </w:pPr>
      <w:r>
        <w:t xml:space="preserve">6.1 产业链传导风险</w:t>
      </w:r>
    </w:p>
    <w:bookmarkStart w:id="115" w:name="强模块弱芯片的结构性失衡"/>
    <w:p>
      <w:pPr>
        <w:pStyle w:val="Heading4"/>
      </w:pPr>
      <w:r>
        <w:t xml:space="preserve">6.1.1</w:t>
      </w:r>
      <w:r>
        <w:t xml:space="preserve"> </w:t>
      </w:r>
      <w:r>
        <w:t xml:space="preserve">“</w:t>
      </w:r>
      <w:r>
        <w:t xml:space="preserve">强模块、弱芯片</w:t>
      </w:r>
      <w:r>
        <w:t xml:space="preserve">”</w:t>
      </w:r>
      <w:r>
        <w:t xml:space="preserve">的结构性失衡</w:t>
      </w:r>
    </w:p>
    <w:p>
      <w:pPr>
        <w:pStyle w:val="FirstParagraph"/>
      </w:pPr>
      <w:r>
        <w:t xml:space="preserve">中国光模块厂商占据全球60%-65%的份额</w:t>
      </w:r>
      <w:r>
        <w:t xml:space="preserve"> </w:t>
      </w:r>
      <w:fldSimple w:instr="NOTEREF _Ref_Footnote_13 \h \f">
        <w:r>
          <w:rPr>
            <w:vertAlign w:val="superscript"/>
          </w:rPr>
          <w:t>13</w:t>
        </w:r>
      </w:fldSimple>
      <w:r>
        <w:t xml:space="preserve"> </w:t>
      </w:r>
      <w:fldSimple w:instr="NOTEREF _Ref_Footnote_14 \h \f">
        <w:r>
          <w:rPr>
            <w:vertAlign w:val="superscript"/>
          </w:rPr>
          <w:t>14</w:t>
        </w:r>
      </w:fldSimple>
      <w:r>
        <w:t xml:space="preserve">，全球TOP10中中国厂商占7席</w:t>
      </w:r>
      <w:r>
        <w:t xml:space="preserve"> </w:t>
      </w:r>
      <w:fldSimple w:instr="NOTEREF _Ref_Footnote_15 \h \f">
        <w:r>
          <w:rPr>
            <w:vertAlign w:val="superscript"/>
          </w:rPr>
          <w:t>15</w:t>
        </w:r>
      </w:fldSimple>
      <w:r>
        <w:t xml:space="preserve">，但产业链上游的脆弱性构成了这一全球主导地位的最大威胁。</w:t>
      </w:r>
      <w:r>
        <w:rPr>
          <w:bCs/>
          <w:b/>
        </w:rPr>
        <w:t xml:space="preserve">25G以上速率光芯片国产化率仅约4%-10%</w:t>
      </w:r>
      <w:r>
        <w:t xml:space="preserve"> </w:t>
      </w:r>
      <w:fldSimple w:instr="NOTEREF _Ref_Footnote_47 \h \f">
        <w:r>
          <w:rPr>
            <w:vertAlign w:val="superscript"/>
          </w:rPr>
          <w:t>47</w:t>
        </w:r>
      </w:fldSimple>
      <w:r>
        <w:t xml:space="preserve"> </w:t>
      </w:r>
      <w:r>
        <w:rPr>
          <w:vertAlign w:val="superscript"/>
        </w:rPr>
        <w:footnoteReference w:id="172"/>
      </w:r>
      <w:r>
        <w:t xml:space="preserve"> </w:t>
      </w:r>
      <w:fldSimple w:instr="NOTEREF _Ref_Footnote_33 \h \f">
        <w:r>
          <w:rPr>
            <w:vertAlign w:val="superscript"/>
          </w:rPr>
          <w:t>33</w:t>
        </w:r>
      </w:fldSimple>
      <w:r>
        <w:t xml:space="preserve"> </w:t>
      </w:r>
      <w:r>
        <w:rPr>
          <w:vertAlign w:val="superscript"/>
        </w:rPr>
        <w:footnoteReference w:id="173"/>
      </w:r>
      <w:r>
        <w:t xml:space="preserve">——其中25G EML芯片国产化率约5%-10%，50G及以上接近0</w:t>
      </w:r>
      <w:r>
        <w:t xml:space="preserve"> </w:t>
      </w:r>
      <w:r>
        <w:rPr>
          <w:vertAlign w:val="superscript"/>
        </w:rPr>
        <w:footnoteReference w:id="174"/>
      </w:r>
      <w:r>
        <w:t xml:space="preserve"> </w:t>
      </w:r>
      <w:r>
        <w:rPr>
          <w:vertAlign w:val="superscript"/>
        </w:rPr>
        <w:footnoteReference w:id="175"/>
      </w:r>
      <w:r>
        <w:t xml:space="preserve">。光芯片占光模块成本的26%-60%</w:t>
      </w:r>
      <w:r>
        <w:t xml:space="preserve"> </w:t>
      </w:r>
      <w:fldSimple w:instr="NOTEREF _Ref_Footnote_47 \h \f">
        <w:r>
          <w:rPr>
            <w:vertAlign w:val="superscript"/>
          </w:rPr>
          <w:t>47</w:t>
        </w:r>
      </w:fldSimple>
      <w:r>
        <w:t xml:space="preserve"> </w:t>
      </w:r>
      <w:r>
        <w:rPr>
          <w:vertAlign w:val="superscript"/>
        </w:rPr>
        <w:footnoteReference w:id="176"/>
      </w:r>
      <w:r>
        <w:t xml:space="preserve">，一旦美国收紧出口管制，中国光模块产业的全球主导地位可能瞬间崩塌。</w:t>
      </w:r>
    </w:p>
    <w:p>
      <w:pPr>
        <w:pStyle w:val="BodyText"/>
      </w:pPr>
      <w:r>
        <w:t xml:space="preserve">这一结构性失衡的深层原因在于制造设备的”卡中卡”。MOCVD（金属有机化学气相沉积）外延设备由美国Veeco、德国AIXTRON垄断，电子束光刻机依赖日本和欧洲供应，刻蚀设备由泛林集团、东京电子和应用材料三家美日系企业合计占据90%以上市场份额</w:t>
      </w:r>
      <w:r>
        <w:t xml:space="preserve"> </w:t>
      </w:r>
      <w:fldSimple w:instr="NOTEREF _Ref_Footnote_44 \h \f">
        <w:r>
          <w:rPr>
            <w:vertAlign w:val="superscript"/>
          </w:rPr>
          <w:t>44</w:t>
        </w:r>
      </w:fldSimple>
      <w:r>
        <w:t xml:space="preserve"> </w:t>
      </w:r>
      <w:fldSimple w:instr="NOTEREF _Ref_Footnote_51 \h \f">
        <w:r>
          <w:rPr>
            <w:vertAlign w:val="superscript"/>
          </w:rPr>
          <w:t>51</w:t>
        </w:r>
      </w:fldSimple>
      <w:r>
        <w:t xml:space="preserve"> </w:t>
      </w:r>
      <w:fldSimple w:instr="NOTEREF _Ref_Footnote_19 \h \f">
        <w:r>
          <w:rPr>
            <w:vertAlign w:val="superscript"/>
          </w:rPr>
          <w:t>19</w:t>
        </w:r>
      </w:fldSimple>
      <w:r>
        <w:t xml:space="preserve">。每台MOCVD设备的每批产品都必须对每个客户和应用进行单独认证，扩产瓶颈显著</w:t>
      </w:r>
      <w:r>
        <w:t xml:space="preserve"> </w:t>
      </w:r>
      <w:fldSimple w:instr="NOTEREF _Ref_Footnote_97 \h \f">
        <w:r>
          <w:rPr>
            <w:vertAlign w:val="superscript"/>
          </w:rPr>
          <w:t>97</w:t>
        </w:r>
      </w:fldSimple>
      <w:r>
        <w:t xml:space="preserve">。北方华创等国内厂商在MOCVD领域”有所突破，差距较大”</w:t>
      </w:r>
      <w:r>
        <w:t xml:space="preserve"> </w:t>
      </w:r>
      <w:fldSimple w:instr="NOTEREF _Ref_Footnote_52 \h \f">
        <w:r>
          <w:rPr>
            <w:vertAlign w:val="superscript"/>
          </w:rPr>
          <w:t>52</w:t>
        </w:r>
      </w:fldSimple>
      <w:r>
        <w:t xml:space="preserve">，短期内难以实现设备端的有效替代。</w:t>
      </w:r>
    </w:p>
    <w:p>
      <w:pPr>
        <w:pStyle w:val="BodyText"/>
      </w:pPr>
      <w:r>
        <w:rPr>
          <w:bCs/>
          <w:b/>
        </w:rPr>
        <w:t xml:space="preserve">触发条件</w:t>
      </w:r>
      <w:r>
        <w:t xml:space="preserve">：美国BIS将25G及以上光芯片（EML、VCSEL）纳入更严格的出口管制清单，或取消现有关税豁免中对光模块的美国成分要求。</w:t>
      </w:r>
    </w:p>
    <w:p>
      <w:pPr>
        <w:pStyle w:val="BodyText"/>
      </w:pPr>
      <w:r>
        <w:rPr>
          <w:bCs/>
          <w:b/>
        </w:rPr>
        <w:t xml:space="preserve">影响程度</w:t>
      </w:r>
      <w:r>
        <w:t xml:space="preserve">：极高。若高端光芯片供应中断超3个月，行业产能可能下降20%以上</w:t>
      </w:r>
      <w:r>
        <w:t xml:space="preserve"> </w:t>
      </w:r>
      <w:r>
        <w:rPr>
          <w:vertAlign w:val="superscript"/>
        </w:rPr>
        <w:footnoteReference w:id="177"/>
      </w:r>
      <w:r>
        <w:t xml:space="preserve">。中际旭创存货规模已攀升至156.72亿元（2026年一季度末）</w:t>
      </w:r>
      <w:r>
        <w:rPr>
          <w:vertAlign w:val="superscript"/>
        </w:rPr>
        <w:footnoteReference w:id="178"/>
      </w:r>
      <w:r>
        <w:t xml:space="preserve">，其中核心芯片依赖进口，一旦断供将面临巨额存货减值与产能闲置。</w:t>
      </w:r>
    </w:p>
    <w:p>
      <w:pPr>
        <w:pStyle w:val="BodyText"/>
      </w:pPr>
      <w:r>
        <w:rPr>
          <w:bCs/>
          <w:b/>
        </w:rPr>
        <w:t xml:space="preserve">时间窗口</w:t>
      </w:r>
      <w:r>
        <w:t xml:space="preserve">：2027-2030年为高风险窗口期。当前光模块产品在关税豁免清单内</w:t>
      </w:r>
      <w:r>
        <w:t xml:space="preserve"> </w:t>
      </w:r>
      <w:r>
        <w:rPr>
          <w:vertAlign w:val="superscript"/>
        </w:rPr>
        <w:footnoteReference w:id="179"/>
      </w:r>
      <w:r>
        <w:t xml:space="preserve">，但地缘政治风险持续升级。长光华芯100G EML已于2025年Q2量产</w:t>
      </w:r>
      <w:r>
        <w:t xml:space="preserve"> </w:t>
      </w:r>
      <w:r>
        <w:rPr>
          <w:vertAlign w:val="superscript"/>
        </w:rPr>
        <w:footnoteReference w:id="180"/>
      </w:r>
      <w:r>
        <w:t xml:space="preserve">，光迅科技200G EML计划2026年扩产至20万颗/月</w:t>
      </w:r>
      <w:r>
        <w:t xml:space="preserve"> </w:t>
      </w:r>
      <w:fldSimple w:instr="NOTEREF _Ref_Footnote_142 \h \f">
        <w:r>
          <w:rPr>
            <w:vertAlign w:val="superscript"/>
          </w:rPr>
          <w:t>142</w:t>
        </w:r>
      </w:fldSimple>
      <w:r>
        <w:t xml:space="preserve">，但50G以上产品的规模化商用仍需2-3年良率爬坡期。</w:t>
      </w:r>
    </w:p>
    <w:p>
      <w:pPr>
        <w:pStyle w:val="BodyText"/>
      </w:pPr>
      <w:r>
        <w:rPr>
          <w:bCs/>
          <w:b/>
        </w:rPr>
        <w:t xml:space="preserve">应对策略</w:t>
      </w:r>
      <w:r>
        <w:t xml:space="preserve">：跟踪国产光芯片企业（源杰科技、长光华芯、仕佳光子）的良率进展与客户端认证节奏；关注大基金三期对MOCVD等设备企业的具体投资标的；评估龙头厂商通过自研硅光芯片（当前占比约30%）</w:t>
      </w:r>
      <w:fldSimple w:instr="NOTEREF _Ref_Footnote_54 \h \f">
        <w:r>
          <w:rPr>
            <w:vertAlign w:val="superscript"/>
          </w:rPr>
          <w:t>54</w:t>
        </w:r>
      </w:fldSimple>
      <w:r>
        <w:t xml:space="preserve">对冲EML依赖的进展。</w:t>
      </w:r>
    </w:p>
    <w:bookmarkEnd w:id="115"/>
    <w:bookmarkStart w:id="116" w:name="关税与贸易摩擦的时间错配"/>
    <w:p>
      <w:pPr>
        <w:pStyle w:val="Heading4"/>
      </w:pPr>
      <w:r>
        <w:t xml:space="preserve">6.1.2 关税与贸易摩擦的时间错配</w:t>
      </w:r>
    </w:p>
    <w:p>
      <w:pPr>
        <w:pStyle w:val="FirstParagraph"/>
      </w:pPr>
      <w:r>
        <w:t xml:space="preserve">中美关税政策的反复对海外收入占比超90%的中国光模块企业构成持续压力。2025年4月的关税冲击尤其典型：美国于4月9日宣布对华关税提高至125%，叠加后达152.5%</w:t>
      </w:r>
      <w:r>
        <w:t xml:space="preserve"> </w:t>
      </w:r>
      <w:r>
        <w:rPr>
          <w:vertAlign w:val="superscript"/>
        </w:rPr>
        <w:footnoteReference w:id="181"/>
      </w:r>
      <w:r>
        <w:t xml:space="preserve">；中际旭创股价连跌三日，市值减少240亿元</w:t>
      </w:r>
      <w:r>
        <w:t xml:space="preserve"> </w:t>
      </w:r>
      <w:r>
        <w:rPr>
          <w:vertAlign w:val="superscript"/>
        </w:rPr>
        <w:footnoteReference w:id="182"/>
      </w:r>
      <w:r>
        <w:t xml:space="preserve">。尽管4月12日通讯设备获得关税豁免</w:t>
      </w:r>
      <w:r>
        <w:t xml:space="preserve"> </w:t>
      </w:r>
      <w:fldSimple w:instr="NOTEREF _Ref_Footnote_179 \h \f">
        <w:r>
          <w:rPr>
            <w:vertAlign w:val="superscript"/>
          </w:rPr>
          <w:t>179</w:t>
        </w:r>
      </w:fldSimple>
      <w:r>
        <w:t xml:space="preserve">，5月12日《中美日内瓦经贸会谈联合声明》后91%的关税被取消</w:t>
      </w:r>
      <w:r>
        <w:t xml:space="preserve"> </w:t>
      </w:r>
      <w:r>
        <w:rPr>
          <w:vertAlign w:val="superscript"/>
        </w:rPr>
        <w:footnoteReference w:id="183"/>
      </w:r>
      <w:r>
        <w:t xml:space="preserve">，但</w:t>
      </w:r>
      <w:r>
        <w:rPr>
          <w:bCs/>
          <w:b/>
        </w:rPr>
        <w:t xml:space="preserve">双方互相保留10%的基础关税</w:t>
      </w:r>
      <w:r>
        <w:t xml:space="preserve">，且美国保留对半导体行业加征关税的”修改权限”</w:t>
      </w:r>
      <w:r>
        <w:t xml:space="preserve"> </w:t>
      </w:r>
      <w:r>
        <w:rPr>
          <w:vertAlign w:val="superscript"/>
        </w:rPr>
        <w:footnoteReference w:id="184"/>
      </w:r>
      <w:r>
        <w:t xml:space="preserve">。</w:t>
      </w:r>
    </w:p>
    <w:p>
      <w:pPr>
        <w:pStyle w:val="BodyText"/>
      </w:pPr>
      <w:r>
        <w:t xml:space="preserve">更复杂的挑战在于泰国转口通道的不确定性。中际旭创泰国工厂已具备全面生产能力</w:t>
      </w:r>
      <w:r>
        <w:t xml:space="preserve"> </w:t>
      </w:r>
      <w:r>
        <w:rPr>
          <w:vertAlign w:val="superscript"/>
        </w:rPr>
        <w:footnoteReference w:id="185"/>
      </w:r>
      <w:r>
        <w:t xml:space="preserve">，新易盛泰国工厂一期、二期均已投产</w:t>
      </w:r>
      <w:r>
        <w:t xml:space="preserve"> </w:t>
      </w:r>
      <w:r>
        <w:rPr>
          <w:vertAlign w:val="superscript"/>
        </w:rPr>
        <w:footnoteReference w:id="186"/>
      </w:r>
      <w:r>
        <w:t xml:space="preserve">，但泰国出口美国光模块产品面临36%-72%的”对等关税”</w:t>
      </w:r>
      <w:r>
        <w:t xml:space="preserve"> </w:t>
      </w:r>
      <w:r>
        <w:rPr>
          <w:vertAlign w:val="superscript"/>
        </w:rPr>
        <w:footnoteReference w:id="187"/>
      </w:r>
      <w:r>
        <w:t xml:space="preserve">——甚至可能高于中国大陆直接出口的税率。这意味着海外建厂规避关税的策略存在失效风险。</w:t>
      </w:r>
    </w:p>
    <w:p>
      <w:pPr>
        <w:pStyle w:val="BodyText"/>
      </w:pPr>
      <w:r>
        <w:rPr>
          <w:bCs/>
          <w:b/>
        </w:rPr>
        <w:t xml:space="preserve">触发条件</w:t>
      </w:r>
      <w:r>
        <w:t xml:space="preserve">：美国取消光模块关税豁免、将光模块重新归类至高税率税号、或对东南亚产地的转口贸易设置原产地比例限制。</w:t>
      </w:r>
    </w:p>
    <w:p>
      <w:pPr>
        <w:pStyle w:val="BodyText"/>
      </w:pPr>
      <w:r>
        <w:rPr>
          <w:bCs/>
          <w:b/>
        </w:rPr>
        <w:t xml:space="preserve">影响程度</w:t>
      </w:r>
      <w:r>
        <w:t xml:space="preserve">：中高。光模块企业采取三条路径应对：(1)泰国等海外建厂；(2)申请关税豁免（需证明美国成分≥20%）；(3)增加非美国地区出口比例</w:t>
      </w:r>
      <w:r>
        <w:t xml:space="preserve"> </w:t>
      </w:r>
      <w:r>
        <w:rPr>
          <w:vertAlign w:val="superscript"/>
        </w:rPr>
        <w:footnoteReference w:id="188"/>
      </w:r>
      <w:r>
        <w:t xml:space="preserve"> </w:t>
      </w:r>
      <w:fldSimple w:instr="NOTEREF _Ref_Footnote_187 \h \f">
        <w:r>
          <w:rPr>
            <w:vertAlign w:val="superscript"/>
          </w:rPr>
          <w:t>187</w:t>
        </w:r>
      </w:fldSimple>
      <w:r>
        <w:t xml:space="preserve">。但豁免申请条件苛刻——需证明产品中美国成分≥20%</w:t>
      </w:r>
      <w:r>
        <w:t xml:space="preserve"> </w:t>
      </w:r>
      <w:fldSimple w:instr="NOTEREF _Ref_Footnote_187 \h \f">
        <w:r>
          <w:rPr>
            <w:vertAlign w:val="superscript"/>
          </w:rPr>
          <w:t>187</w:t>
        </w:r>
      </w:fldSimple>
      <w:r>
        <w:t xml:space="preserve">，这意味着必须维持对美国高端芯片的进口依赖，与国产替代目标形成内在矛盾。当前光模块企业以FOB（离岸价）模式结算，关税由美方承担</w:t>
      </w:r>
      <w:r>
        <w:t xml:space="preserve"> </w:t>
      </w:r>
      <w:r>
        <w:rPr>
          <w:vertAlign w:val="superscript"/>
        </w:rPr>
        <w:footnoteReference w:id="189"/>
      </w:r>
      <w:r>
        <w:t xml:space="preserve">，但若客户要求分摊关税成本，每提高1个百分点，盈利预测可能下降1.2%-1.5%</w:t>
      </w:r>
      <w:r>
        <w:t xml:space="preserve"> </w:t>
      </w:r>
      <w:fldSimple w:instr="NOTEREF _Ref_Footnote_189 \h \f">
        <w:r>
          <w:rPr>
            <w:vertAlign w:val="superscript"/>
          </w:rPr>
          <w:t>189</w:t>
        </w:r>
      </w:fldSimple>
      <w:r>
        <w:t xml:space="preserve">。</w:t>
      </w:r>
    </w:p>
    <w:p>
      <w:pPr>
        <w:pStyle w:val="BodyText"/>
      </w:pPr>
      <w:r>
        <w:rPr>
          <w:bCs/>
          <w:b/>
        </w:rPr>
        <w:t xml:space="preserve">时间窗口</w:t>
      </w:r>
      <w:r>
        <w:t xml:space="preserve">：2025-2027年为政策不确定期。中金公司指出，头部企业近年来不断夯实泰国工厂能力，多元化的国际产能部署将在关税政策变化中提供更多应对空间</w:t>
      </w:r>
      <w:r>
        <w:t xml:space="preserve"> </w:t>
      </w:r>
      <w:r>
        <w:rPr>
          <w:vertAlign w:val="superscript"/>
        </w:rPr>
        <w:footnoteReference w:id="190"/>
      </w:r>
      <w:r>
        <w:t xml:space="preserve">。工银瑞信认为，包括美国公司在内的所有光模块企业目前主要产能都在中国大陆，直接成本和竞争格局可控</w:t>
      </w:r>
      <w:r>
        <w:t xml:space="preserve"> </w:t>
      </w:r>
      <w:r>
        <w:rPr>
          <w:vertAlign w:val="superscript"/>
        </w:rPr>
        <w:footnoteReference w:id="191"/>
      </w:r>
      <w:r>
        <w:t xml:space="preserve">。</w:t>
      </w:r>
    </w:p>
    <w:p>
      <w:pPr>
        <w:pStyle w:val="BodyText"/>
      </w:pPr>
      <w:r>
        <w:rPr>
          <w:bCs/>
          <w:b/>
        </w:rPr>
        <w:t xml:space="preserve">应对策略</w:t>
      </w:r>
      <w:r>
        <w:t xml:space="preserve">：关注USTR公告及税号分类争议进展；评估企业海外产能占比提升速度（目标从2025年的25%提升至2027年的40%以上）；监测关税成本传导机制（FOB模式vs客户分摊）。</w:t>
      </w:r>
    </w:p>
    <w:bookmarkEnd w:id="116"/>
    <w:bookmarkEnd w:id="117"/>
    <w:bookmarkStart w:id="120" w:name="技术路线替代风险"/>
    <w:p>
      <w:pPr>
        <w:pStyle w:val="Heading3"/>
      </w:pPr>
      <w:r>
        <w:t xml:space="preserve">6.2 技术路线替代风险</w:t>
      </w:r>
    </w:p>
    <w:bookmarkStart w:id="118" w:name="cpo替代可插拔模块趋势确定但节奏存疑"/>
    <w:p>
      <w:pPr>
        <w:pStyle w:val="Heading4"/>
      </w:pPr>
      <w:r>
        <w:t xml:space="preserve">6.2.1 CPO替代可插拔模块：趋势确定但节奏存疑</w:t>
      </w:r>
    </w:p>
    <w:p>
      <w:pPr>
        <w:pStyle w:val="FirstParagraph"/>
      </w:pPr>
      <w:r>
        <w:t xml:space="preserve">CPO（共封装光学，Co-Packaged Optics）通过将光引擎与交换ASIC芯片直接集成在同一基板上，从根本上重构了光通信产业链的价值分配</w:t>
      </w:r>
      <w:r>
        <w:t xml:space="preserve"> </w:t>
      </w:r>
      <w:r>
        <w:rPr>
          <w:vertAlign w:val="superscript"/>
        </w:rPr>
        <w:footnoteReference w:id="192"/>
      </w:r>
      <w:r>
        <w:t xml:space="preserve">。CPO架构下，传统光模块中占成本20%-40%的DSP芯片被取消或集成至交换ASIC中</w:t>
      </w:r>
      <w:r>
        <w:t xml:space="preserve"> </w:t>
      </w:r>
      <w:fldSimple w:instr="NOTEREF _Ref_Footnote_101 \h \f">
        <w:r>
          <w:rPr>
            <w:vertAlign w:val="superscript"/>
          </w:rPr>
          <w:t>101</w:t>
        </w:r>
      </w:fldSimple>
      <w:r>
        <w:t xml:space="preserve">，传统光模块厂商的角色面临结构性削弱</w:t>
      </w:r>
      <w:r>
        <w:t xml:space="preserve"> </w:t>
      </w:r>
      <w:r>
        <w:rPr>
          <w:vertAlign w:val="superscript"/>
        </w:rPr>
        <w:footnoteReference w:id="193"/>
      </w:r>
      <w:r>
        <w:t xml:space="preserve">。</w:t>
      </w:r>
    </w:p>
    <w:p>
      <w:pPr>
        <w:pStyle w:val="BodyText"/>
      </w:pPr>
      <w:r>
        <w:t xml:space="preserve">摩根士丹利2025年研报提供了相对审慎的替代节奏预测：CPO到2026年对传统可插拔光模块的替代率仅约3%，2027年也仅11%</w:t>
      </w:r>
      <w:r>
        <w:t xml:space="preserve"> </w:t>
      </w:r>
      <w:fldSimple w:instr="NOTEREF _Ref_Footnote_11 \h \f">
        <w:r>
          <w:rPr>
            <w:vertAlign w:val="superscript"/>
          </w:rPr>
          <w:t>11</w:t>
        </w:r>
      </w:fldSimple>
      <w:r>
        <w:t xml:space="preserve">。这一定量判断的背后是CPO面临的三大核心技术瓶颈：</w:t>
      </w:r>
      <w:r>
        <w:rPr>
          <w:bCs/>
          <w:b/>
        </w:rPr>
        <w:t xml:space="preserve">(1)制造良率地狱</w:t>
      </w:r>
      <w:r>
        <w:t xml:space="preserve">——光子器件与电芯片异构集成良率极低，光纤耦合良率仅50%-60%，PIC+EIC 3D封装良率约55%</w:t>
      </w:r>
      <w:r>
        <w:t xml:space="preserve"> </w:t>
      </w:r>
      <w:fldSimple w:instr="NOTEREF _Ref_Footnote_55 \h \f">
        <w:r>
          <w:rPr>
            <w:vertAlign w:val="superscript"/>
          </w:rPr>
          <w:t>55</w:t>
        </w:r>
      </w:fldSimple>
      <w:r>
        <w:t xml:space="preserve"> </w:t>
      </w:r>
      <w:r>
        <w:rPr>
          <w:vertAlign w:val="superscript"/>
        </w:rPr>
        <w:footnoteReference w:id="194"/>
      </w:r>
      <w:r>
        <w:t xml:space="preserve">；</w:t>
      </w:r>
      <w:r>
        <w:rPr>
          <w:bCs/>
          <w:b/>
        </w:rPr>
        <w:t xml:space="preserve">(2)可维护性危机</w:t>
      </w:r>
      <w:r>
        <w:t xml:space="preserve">——CPO模块故障平均修复需要72小时，是传统可插拔模块的6倍</w:t>
      </w:r>
      <w:r>
        <w:t xml:space="preserve"> </w:t>
      </w:r>
      <w:fldSimple w:instr="NOTEREF _Ref_Footnote_67 \h \f">
        <w:r>
          <w:rPr>
            <w:vertAlign w:val="superscript"/>
          </w:rPr>
          <w:t>67</w:t>
        </w:r>
      </w:fldSimple>
      <w:r>
        <w:t xml:space="preserve">；</w:t>
      </w:r>
      <w:r>
        <w:rPr>
          <w:bCs/>
          <w:b/>
        </w:rPr>
        <w:t xml:space="preserve">(3)成本倒挂</w:t>
      </w:r>
      <w:r>
        <w:t xml:space="preserve">——单套光引擎成本3.5-4万美元，是传统可插拔模块的7-20倍</w:t>
      </w:r>
      <w:r>
        <w:t xml:space="preserve"> </w:t>
      </w:r>
      <w:fldSimple w:instr="NOTEREF _Ref_Footnote_55 \h \f">
        <w:r>
          <w:rPr>
            <w:vertAlign w:val="superscript"/>
          </w:rPr>
          <w:t>55</w:t>
        </w:r>
      </w:fldSimple>
      <w:r>
        <w:t xml:space="preserve">。Meta工程团队模拟表明，若全量采用CPO架构，需额外配置约30%的冗余交换芯片，综合成本增加约18%</w:t>
      </w:r>
      <w:r>
        <w:t xml:space="preserve"> </w:t>
      </w:r>
      <w:fldSimple w:instr="NOTEREF _Ref_Footnote_65 \h \f">
        <w:r>
          <w:rPr>
            <w:vertAlign w:val="superscript"/>
          </w:rPr>
          <w:t>65</w:t>
        </w:r>
      </w:fldSimple>
      <w:r>
        <w:t xml:space="preserve">。</w:t>
      </w:r>
    </w:p>
    <w:p>
      <w:pPr>
        <w:pStyle w:val="BodyText"/>
      </w:pPr>
      <w:r>
        <w:t xml:space="preserve">与此同时，可插拔模块价格的快速下降也在压缩CPO的TCO（总拥有成本）优势窗口。</w:t>
      </w:r>
      <w:r>
        <w:rPr>
          <w:bCs/>
          <w:b/>
        </w:rPr>
        <w:t xml:space="preserve">800G光模块价格年降约20%</w:t>
      </w:r>
      <w:r>
        <w:t xml:space="preserve">，2025年Q2单价从550美元降至450美元</w:t>
      </w:r>
      <w:r>
        <w:t xml:space="preserve"> </w:t>
      </w:r>
      <w:fldSimple w:instr="NOTEREF _Ref_Footnote_54 \h \f">
        <w:r>
          <w:rPr>
            <w:vertAlign w:val="superscript"/>
          </w:rPr>
          <w:t>54</w:t>
        </w:r>
      </w:fldSimple>
      <w:r>
        <w:t xml:space="preserve">，已从2024年的约1,200美元降至当前600-700美元水平。LightCounting提示，供应商竞争可能在2026年底之前导致价格进一步大幅下跌</w:t>
      </w:r>
      <w:r>
        <w:t xml:space="preserve"> </w:t>
      </w:r>
      <w:r>
        <w:rPr>
          <w:vertAlign w:val="superscript"/>
        </w:rPr>
        <w:footnoteReference w:id="195"/>
      </w:r>
      <w:r>
        <w:t xml:space="preserve">。</w:t>
      </w:r>
    </w:p>
    <w:p>
      <w:pPr>
        <w:pStyle w:val="BodyText"/>
      </w:pPr>
      <w:r>
        <w:rPr>
          <w:bCs/>
          <w:b/>
        </w:rPr>
        <w:t xml:space="preserve">触发条件</w:t>
      </w:r>
      <w:r>
        <w:t xml:space="preserve">：CPO良率快速突破80%（当前50%-55%）、英伟达/博通强制切换至CPO架构、CPO标准化（OIF/Open CPX MSA）提前完成。</w:t>
      </w:r>
    </w:p>
    <w:p>
      <w:pPr>
        <w:pStyle w:val="BodyText"/>
      </w:pPr>
      <w:r>
        <w:rPr>
          <w:bCs/>
          <w:b/>
        </w:rPr>
        <w:t xml:space="preserve">影响程度</w:t>
      </w:r>
      <w:r>
        <w:t xml:space="preserve">：中长期中高，短期可控。英伟达GTC 2026大会明确信号——AI服务器集群中可选用可插拔光模块或CPO方案，没有强制推CPO</w:t>
      </w:r>
      <w:r>
        <w:t xml:space="preserve"> </w:t>
      </w:r>
      <w:fldSimple w:instr="NOTEREF _Ref_Footnote_12 \h \f">
        <w:r>
          <w:rPr>
            <w:vertAlign w:val="superscript"/>
          </w:rPr>
          <w:t>12</w:t>
        </w:r>
      </w:fldSimple>
      <w:r>
        <w:t xml:space="preserve">。国金证券认为，CPO与可插拔模块在未来两年内更多表现为互补而非替代关系</w:t>
      </w:r>
      <w:r>
        <w:t xml:space="preserve"> </w:t>
      </w:r>
      <w:r>
        <w:rPr>
          <w:vertAlign w:val="superscript"/>
        </w:rPr>
        <w:footnoteReference w:id="196"/>
      </w:r>
      <w:r>
        <w:t xml:space="preserve">。但富士通已实现400G薄膜铌酸锂模块量产，损耗比硅光模块低40%</w:t>
      </w:r>
      <w:r>
        <w:t xml:space="preserve"> </w:t>
      </w:r>
      <w:fldSimple w:instr="NOTEREF _Ref_Footnote_39 \h \f">
        <w:r>
          <w:rPr>
            <w:vertAlign w:val="superscript"/>
          </w:rPr>
          <w:t>39</w:t>
        </w:r>
      </w:fldSimple>
      <w:r>
        <w:t xml:space="preserve">，技术路线的竞争将持续加剧。</w:t>
      </w:r>
    </w:p>
    <w:p>
      <w:pPr>
        <w:pStyle w:val="BodyText"/>
      </w:pPr>
      <w:r>
        <w:rPr>
          <w:bCs/>
          <w:b/>
        </w:rPr>
        <w:t xml:space="preserve">时间窗口</w:t>
      </w:r>
      <w:r>
        <w:t xml:space="preserve">：2026-2027年为关键观察期。若CPO良率未能在2027年前突破80%，可插拔模块的生命周期将延长至2029-2030年。</w:t>
      </w:r>
    </w:p>
    <w:p>
      <w:pPr>
        <w:pStyle w:val="BodyText"/>
      </w:pPr>
      <w:r>
        <w:rPr>
          <w:bCs/>
          <w:b/>
        </w:rPr>
        <w:t xml:space="preserve">应对策略</w:t>
      </w:r>
      <w:r>
        <w:t xml:space="preserve">：评估龙头厂商CPO专利储备与光引擎布局（中际旭创116项CPO专利</w:t>
      </w:r>
      <w:r>
        <w:t xml:space="preserve"> </w:t>
      </w:r>
      <w:r>
        <w:rPr>
          <w:vertAlign w:val="superscript"/>
        </w:rPr>
        <w:footnoteReference w:id="197"/>
      </w:r>
      <w:r>
        <w:t xml:space="preserve">）；监测CPO测试设备订单（罗博特科在手订单近100台</w:t>
      </w:r>
      <w:r>
        <w:t xml:space="preserve"> </w:t>
      </w:r>
      <w:r>
        <w:rPr>
          <w:vertAlign w:val="superscript"/>
        </w:rPr>
        <w:footnoteReference w:id="198"/>
      </w:r>
      <w:r>
        <w:t xml:space="preserve">作为先行指标）；关注NPO（近封装光学）作为过渡方案的放量节奏。</w:t>
      </w:r>
    </w:p>
    <w:bookmarkEnd w:id="118"/>
    <w:bookmarkStart w:id="119" w:name="技术路线博弈lpo-vs-硅光-vs-cpo"/>
    <w:p>
      <w:pPr>
        <w:pStyle w:val="Heading4"/>
      </w:pPr>
      <w:r>
        <w:t xml:space="preserve">6.2.2 技术路线博弈：LPO vs 硅光 vs CPO</w:t>
      </w:r>
    </w:p>
    <w:p>
      <w:pPr>
        <w:pStyle w:val="FirstParagraph"/>
      </w:pPr>
      <w:r>
        <w:t xml:space="preserve">光互连领域正同时上演多条技术路线的并行竞争。</w:t>
      </w:r>
      <w:r>
        <w:rPr>
          <w:bCs/>
          <w:b/>
        </w:rPr>
        <w:t xml:space="preserve">硅光方案</w:t>
      </w:r>
      <w:r>
        <w:t xml:space="preserve">（英伟达GB200/300采用）可降低对进口EML芯片依赖，但制造良率国内78% vs 国际85%</w:t>
      </w:r>
      <w:r>
        <w:t xml:space="preserve"> </w:t>
      </w:r>
      <w:r>
        <w:rPr>
          <w:vertAlign w:val="superscript"/>
        </w:rPr>
        <w:footnoteReference w:id="199"/>
      </w:r>
      <w:r>
        <w:t xml:space="preserve">；</w:t>
      </w:r>
      <w:r>
        <w:rPr>
          <w:bCs/>
          <w:b/>
        </w:rPr>
        <w:t xml:space="preserve">LPO（线性驱动可插拔光模块）</w:t>
      </w:r>
      <w:r>
        <w:t xml:space="preserve">功耗较传统方案降低30%，新易盛凭此切入Meta和亚马逊，LPO全球市占率75%</w:t>
      </w:r>
      <w:r>
        <w:t xml:space="preserve"> </w:t>
      </w:r>
      <w:fldSimple w:instr="NOTEREF _Ref_Footnote_27 \h \f">
        <w:r>
          <w:rPr>
            <w:vertAlign w:val="superscript"/>
          </w:rPr>
          <w:t>27</w:t>
        </w:r>
      </w:fldSimple>
      <w:r>
        <w:t xml:space="preserve"> </w:t>
      </w:r>
      <w:r>
        <w:rPr>
          <w:vertAlign w:val="superscript"/>
        </w:rPr>
        <w:footnoteReference w:id="200"/>
      </w:r>
      <w:r>
        <w:t xml:space="preserve">；</w:t>
      </w:r>
      <w:r>
        <w:rPr>
          <w:bCs/>
          <w:b/>
        </w:rPr>
        <w:t xml:space="preserve">薄膜铌酸锂（TFLN）</w:t>
      </w:r>
      <w:r>
        <w:t xml:space="preserve">在长距离相干领域具备超低损耗优势，但成本更高、集成度更差</w:t>
      </w:r>
      <w:r>
        <w:t xml:space="preserve"> </w:t>
      </w:r>
      <w:r>
        <w:rPr>
          <w:vertAlign w:val="superscript"/>
        </w:rPr>
        <w:footnoteReference w:id="201"/>
      </w:r>
      <w:r>
        <w:t xml:space="preserve">。</w:t>
      </w:r>
    </w:p>
    <w:p>
      <w:pPr>
        <w:pStyle w:val="BodyText"/>
      </w:pPr>
      <w:r>
        <w:t xml:space="preserve">技术路线选择的风险敞口在于：押注单一路线的厂商可能因主流客户选择另一条路线而丧失竞争力。以光库科技为例，其薄膜铌酸锂调制器在长距离相干领域有优势，但英伟达1.6T CPO的”标配调制”是硅光而非TFLN</w:t>
      </w:r>
      <w:r>
        <w:t xml:space="preserve"> </w:t>
      </w:r>
      <w:fldSimple w:instr="NOTEREF _Ref_Footnote_201 \h \f">
        <w:r>
          <w:rPr>
            <w:vertAlign w:val="superscript"/>
          </w:rPr>
          <w:t>201</w:t>
        </w:r>
      </w:fldSimple>
      <w:r>
        <w:t xml:space="preserve">，导致其面临”路线错配风险”。</w:t>
      </w:r>
    </w:p>
    <w:p>
      <w:pPr>
        <w:pStyle w:val="BodyText"/>
      </w:pPr>
      <w:r>
        <w:rPr>
          <w:bCs/>
          <w:b/>
        </w:rPr>
        <w:t xml:space="preserve">触发条件</w:t>
      </w:r>
      <w:r>
        <w:t xml:space="preserve">：英伟达/博通明确偏向某一技术路线、硅光良率突破使成本优势显现、LPO在推理场景渗透率超预期提升。</w:t>
      </w:r>
    </w:p>
    <w:p>
      <w:pPr>
        <w:pStyle w:val="BodyText"/>
      </w:pPr>
      <w:r>
        <w:rPr>
          <w:bCs/>
          <w:b/>
        </w:rPr>
        <w:t xml:space="preserve">影响程度</w:t>
      </w:r>
      <w:r>
        <w:t xml:space="preserve">：中。中际旭创采取”全面布局”策略——硅光技术领先（自研芯片良率98%）、同时投入CPO研发、LPO和AEC产品线齐全</w:t>
      </w:r>
      <w:r>
        <w:t xml:space="preserve"> </w:t>
      </w:r>
      <w:r>
        <w:rPr>
          <w:vertAlign w:val="superscript"/>
        </w:rPr>
        <w:footnoteReference w:id="202"/>
      </w:r>
      <w:r>
        <w:t xml:space="preserve"> </w:t>
      </w:r>
      <w:r>
        <w:rPr>
          <w:vertAlign w:val="superscript"/>
        </w:rPr>
        <w:footnoteReference w:id="203"/>
      </w:r>
      <w:r>
        <w:t xml:space="preserve">，有效分散了路线风险。但二线厂商因研发资源有限，押错路线的代价更为沉重。</w:t>
      </w:r>
    </w:p>
    <w:p>
      <w:pPr>
        <w:pStyle w:val="BodyText"/>
      </w:pPr>
      <w:r>
        <w:rPr>
          <w:bCs/>
          <w:b/>
        </w:rPr>
        <w:t xml:space="preserve">时间窗口</w:t>
      </w:r>
      <w:r>
        <w:t xml:space="preserve">：2026-2028年为路线收敛期。LPO在推理场景可能率先放量，硅光在CPO生态中地位稳固，传统EML方案份额将逐步被侵蚀。</w:t>
      </w:r>
    </w:p>
    <w:p>
      <w:pPr>
        <w:pStyle w:val="BodyText"/>
      </w:pPr>
      <w:r>
        <w:rPr>
          <w:bCs/>
          <w:b/>
        </w:rPr>
        <w:t xml:space="preserve">应对策略</w:t>
      </w:r>
      <w:r>
        <w:t xml:space="preserve">：偏好”全路线布局”的龙头厂商；监测云厂商技术选型动向（谷歌偏好NPO、Meta倾向LPO、英伟达推CPO）；评估各路线核心器件（CW光源、硅光芯片、TFLN调制器）的供应能力。</w:t>
      </w:r>
    </w:p>
    <w:bookmarkEnd w:id="119"/>
    <w:bookmarkEnd w:id="120"/>
    <w:bookmarkStart w:id="123" w:name="周期性风险"/>
    <w:p>
      <w:pPr>
        <w:pStyle w:val="Heading3"/>
      </w:pPr>
      <w:r>
        <w:t xml:space="preserve">6.3 周期性风险</w:t>
      </w:r>
    </w:p>
    <w:bookmarkStart w:id="121" w:name="行业周期特征3-4年的产能过剩价格战去库存循环"/>
    <w:p>
      <w:pPr>
        <w:pStyle w:val="Heading4"/>
      </w:pPr>
      <w:r>
        <w:t xml:space="preserve">6.3.1 行业周期特征：3-4年的”产能过剩→价格战→去库存”循环</w:t>
      </w:r>
    </w:p>
    <w:p>
      <w:pPr>
        <w:pStyle w:val="FirstParagraph"/>
      </w:pPr>
      <w:r>
        <w:t xml:space="preserve">光通信行业具有明显的周期性，其周期波动主要受下游需求资本开支影响，历史表现为”产能过剩→价格下降→去库存→复苏”的循环</w:t>
      </w:r>
      <w:r>
        <w:t xml:space="preserve"> </w:t>
      </w:r>
      <w:fldSimple w:instr="NOTEREF _Ref_Footnote_169 \h \f">
        <w:r>
          <w:rPr>
            <w:vertAlign w:val="superscript"/>
          </w:rPr>
          <w:t>169</w:t>
        </w:r>
      </w:fldSimple>
      <w:r>
        <w:t xml:space="preserve">。过去15年，行业经历了多次大幅波动——2020-2021年100G光模块产能过剩导致部分厂商亏损；2022年运营商延迟采购导致库存积压；2022年第三季度全球光模块销售额曾创24亿美元单季新高，但2023年一季度骤降27%</w:t>
      </w:r>
      <w:r>
        <w:t xml:space="preserve"> </w:t>
      </w:r>
      <w:r>
        <w:rPr>
          <w:vertAlign w:val="superscript"/>
        </w:rPr>
        <w:footnoteReference w:id="204"/>
      </w:r>
      <w:r>
        <w:t xml:space="preserve">。</w:t>
      </w:r>
    </w:p>
    <w:p>
      <w:pPr>
        <w:pStyle w:val="BodyText"/>
      </w:pPr>
      <w:r>
        <w:t xml:space="preserve">LightCounting的数据揭示了一个关键规律：</w:t>
      </w:r>
      <w:r>
        <w:rPr>
          <w:bCs/>
          <w:b/>
        </w:rPr>
        <w:t xml:space="preserve">光模块销售在周期早期出现峰值，而在资本开支仍在增长时便开始下滑</w:t>
      </w:r>
      <w:r>
        <w:t xml:space="preserve"> </w:t>
      </w:r>
      <w:r>
        <w:rPr>
          <w:vertAlign w:val="superscript"/>
        </w:rPr>
        <w:footnoteReference w:id="205"/>
      </w:r>
      <w:r>
        <w:t xml:space="preserve">。其传导链条为：早期短缺导致过度订购→产能增加后重复下单消失→价格加速下降。当前以太网光模块市场2024年增长93%，2025年增长82%，2026年预计增长65%</w:t>
      </w:r>
      <w:r>
        <w:t xml:space="preserve"> </w:t>
      </w:r>
      <w:fldSimple w:instr="NOTEREF _Ref_Footnote_205 \h \f">
        <w:r>
          <w:rPr>
            <w:vertAlign w:val="superscript"/>
          </w:rPr>
          <w:t>205</w:t>
        </w:r>
      </w:fldSimple>
      <w:r>
        <w:t xml:space="preserve">，增速放缓趋势已现。LightCounting预测极有可能在2026年下半年出现一两个季度的增速持平，2027至2031年期间市场增速将趋于温和</w:t>
      </w:r>
      <w:r>
        <w:t xml:space="preserve"> </w:t>
      </w:r>
      <w:r>
        <w:rPr>
          <w:vertAlign w:val="superscript"/>
        </w:rPr>
        <w:footnoteReference w:id="206"/>
      </w:r>
      <w:r>
        <w:t xml:space="preserve">。</w:t>
      </w:r>
    </w:p>
    <w:p>
      <w:pPr>
        <w:pStyle w:val="BodyText"/>
      </w:pPr>
      <w:r>
        <w:rPr>
          <w:bCs/>
          <w:b/>
        </w:rPr>
        <w:t xml:space="preserve">触发条件</w:t>
      </w:r>
      <w:r>
        <w:t xml:space="preserve">：云厂商资本开支增速降至20%以下、光模块库存周转天数超过100天、800G价格年降幅超过30%。</w:t>
      </w:r>
    </w:p>
    <w:p>
      <w:pPr>
        <w:pStyle w:val="BodyText"/>
      </w:pPr>
      <w:r>
        <w:rPr>
          <w:bCs/>
          <w:b/>
        </w:rPr>
        <w:t xml:space="preserve">影响程度</w:t>
      </w:r>
      <w:r>
        <w:t xml:space="preserve">：高。行业平均每3年就会出现一轮下行周期</w:t>
      </w:r>
      <w:r>
        <w:t xml:space="preserve"> </w:t>
      </w:r>
      <w:r>
        <w:rPr>
          <w:vertAlign w:val="superscript"/>
        </w:rPr>
        <w:footnoteReference w:id="207"/>
      </w:r>
      <w:r>
        <w:t xml:space="preserve"> </w:t>
      </w:r>
      <w:fldSimple w:instr="NOTEREF _Ref_Footnote_204 \h \f">
        <w:r>
          <w:rPr>
            <w:vertAlign w:val="superscript"/>
          </w:rPr>
          <w:t>204</w:t>
        </w:r>
      </w:fldSimple>
      <w:r>
        <w:t xml:space="preserve">，当前正处于AI驱动的强周期上行阶段。Cambridge Technology公告指出，随着光通信芯片与光模块产能逐步追赶需求，2026年下半年行业将面临更激烈的市场竞争与价格下行压力</w:t>
      </w:r>
      <w:r>
        <w:t xml:space="preserve"> </w:t>
      </w:r>
      <w:fldSimple w:instr="NOTEREF _Ref_Footnote_5 \h \f">
        <w:r>
          <w:rPr>
            <w:vertAlign w:val="superscript"/>
          </w:rPr>
          <w:t>5</w:t>
        </w:r>
      </w:fldSimple>
      <w:r>
        <w:t xml:space="preserve">。中际旭创截至2026年一季度末存货高达156.72亿元，同比增长23.6%</w:t>
      </w:r>
      <w:r>
        <w:t xml:space="preserve"> </w:t>
      </w:r>
      <w:fldSimple w:instr="NOTEREF _Ref_Footnote_178 \h \f">
        <w:r>
          <w:rPr>
            <w:vertAlign w:val="superscript"/>
          </w:rPr>
          <w:t>178</w:t>
        </w:r>
      </w:fldSimple>
      <w:r>
        <w:t xml:space="preserve">，已接近2022年周期顶部的库存水平。</w:t>
      </w:r>
    </w:p>
    <w:p>
      <w:pPr>
        <w:pStyle w:val="BodyText"/>
      </w:pPr>
      <w:r>
        <w:rPr>
          <w:bCs/>
          <w:b/>
        </w:rPr>
        <w:t xml:space="preserve">时间窗口</w:t>
      </w:r>
      <w:r>
        <w:t xml:space="preserve">：2026年下半年至2027年为周期拐点观察期。若云厂商CAPEX在2027年后收缩，光模块行业可能面临2020年以来最严峻的周期下行。</w:t>
      </w:r>
    </w:p>
    <w:p>
      <w:pPr>
        <w:pStyle w:val="BodyText"/>
      </w:pPr>
      <w:r>
        <w:rPr>
          <w:bCs/>
          <w:b/>
        </w:rPr>
        <w:t xml:space="preserve">应对策略</w:t>
      </w:r>
      <w:r>
        <w:t xml:space="preserve">：密切跟踪云厂商季度CAPEX指引（领先指标）、光模块厂商订单能见度（同步指标）、库存周转率与价格下行速度（滞后指标）；在行业增速放缓信号出现时降低仓位暴露。</w:t>
      </w:r>
    </w:p>
    <w:bookmarkEnd w:id="121"/>
    <w:bookmarkStart w:id="122" w:name="云厂商capex泡沫自由现金流恶化预示收缩风险"/>
    <w:p>
      <w:pPr>
        <w:pStyle w:val="Heading4"/>
      </w:pPr>
      <w:r>
        <w:t xml:space="preserve">6.3.2 云厂商CAPEX泡沫：自由现金流恶化预示收缩风险</w:t>
      </w:r>
    </w:p>
    <w:p>
      <w:pPr>
        <w:pStyle w:val="FirstParagraph"/>
      </w:pPr>
      <w:r>
        <w:t xml:space="preserve">当前周期上行与历史周期的根本区别在于其驱动力——AI算力投资。MIT 2025年7月发表的研究报告揭示了一个令人警醒的数据：虽然约80%的组织采用了AI工具，但</w:t>
      </w:r>
      <w:r>
        <w:rPr>
          <w:bCs/>
          <w:b/>
        </w:rPr>
        <w:t xml:space="preserve">95%的组织没有获得任何可衡量的回报</w:t>
      </w:r>
      <w:r>
        <w:t xml:space="preserve"> </w:t>
      </w:r>
      <w:r>
        <w:rPr>
          <w:vertAlign w:val="superscript"/>
        </w:rPr>
        <w:footnoteReference w:id="208"/>
      </w:r>
      <w:r>
        <w:t xml:space="preserve">。AI商业化落地的严重滞后于资本投入，构成了光模块需求的最大中长期风险。</w:t>
      </w:r>
    </w:p>
    <w:p>
      <w:pPr>
        <w:pStyle w:val="BodyText"/>
      </w:pPr>
      <w:r>
        <w:t xml:space="preserve">从财务指标看，云厂商的CAPEX可持续性已接近极限。北美四大云厂商2025年Q3合计资本开支973亿美元，同比+65%</w:t>
      </w:r>
      <w:r>
        <w:t xml:space="preserve"> </w:t>
      </w:r>
      <w:r>
        <w:rPr>
          <w:vertAlign w:val="superscript"/>
        </w:rPr>
        <w:footnoteReference w:id="209"/>
      </w:r>
      <w:r>
        <w:t xml:space="preserve"> </w:t>
      </w:r>
      <w:fldSimple w:instr="NOTEREF _Ref_Footnote_208 \h \f">
        <w:r>
          <w:rPr>
            <w:vertAlign w:val="superscript"/>
          </w:rPr>
          <w:t>208</w:t>
        </w:r>
      </w:fldSimple>
      <w:r>
        <w:t xml:space="preserve">。</w:t>
      </w:r>
      <w:r>
        <w:rPr>
          <w:bCs/>
          <w:b/>
        </w:rPr>
        <w:t xml:space="preserve">四大云厂商资本开支/EBITDA已达62%</w:t>
      </w:r>
      <w:r>
        <w:t xml:space="preserve">，自由现金流被严重挤压——亚马逊资本支出约440亿美元而经营现金流仅260亿美元</w:t>
      </w:r>
      <w:r>
        <w:t xml:space="preserve"> </w:t>
      </w:r>
      <w:r>
        <w:rPr>
          <w:vertAlign w:val="superscript"/>
        </w:rPr>
        <w:footnoteReference w:id="210"/>
      </w:r>
      <w:r>
        <w:t xml:space="preserve">。韩国央行报告警示”对2027年保持谨慎乐观”，到2026年底相比2024年自由现金流将下降70%</w:t>
      </w:r>
      <w:r>
        <w:t xml:space="preserve"> </w:t>
      </w:r>
      <w:fldSimple w:instr="NOTEREF _Ref_Footnote_210 \h \f">
        <w:r>
          <w:rPr>
            <w:vertAlign w:val="superscript"/>
          </w:rPr>
          <w:t>210</w:t>
        </w:r>
      </w:fldSimple>
      <w:r>
        <w:t xml:space="preserve">。</w:t>
      </w:r>
    </w:p>
    <w:p>
      <w:pPr>
        <w:pStyle w:val="BodyText"/>
      </w:pPr>
      <w:r>
        <w:t xml:space="preserve">云厂商陷入典型的”囚徒困境”：明知可能过度投资，但不敢率先减产。谷歌表示”对于AI投资不足的风险远远大于过度投资的风险”</w:t>
      </w:r>
      <w:r>
        <w:t xml:space="preserve"> </w:t>
      </w:r>
      <w:fldSimple w:instr="NOTEREF _Ref_Footnote_24 \h \f">
        <w:r>
          <w:rPr>
            <w:vertAlign w:val="superscript"/>
          </w:rPr>
          <w:t>24</w:t>
        </w:r>
      </w:fldSimple>
      <w:r>
        <w:t xml:space="preserve">。这种非理性的资本竞赛在短期内支撑了光模块需求，但一旦有任何一家云厂商因业绩压力率先收缩CAPEX，其他厂商可能迅速跟进，引发需求的断崖式下跌。</w:t>
      </w:r>
    </w:p>
    <w:p>
      <w:pPr>
        <w:pStyle w:val="BodyText"/>
      </w:pPr>
      <w:r>
        <w:rPr>
          <w:bCs/>
          <w:b/>
        </w:rPr>
        <w:t xml:space="preserve">触发条件</w:t>
      </w:r>
      <w:r>
        <w:t xml:space="preserve">：任意一家头部云厂商连续两个季度下调CAPEX指引、AI商业化ROI首次在财报中被明确质疑、云厂商整体CAPEX/EBITDA超过70%。</w:t>
      </w:r>
    </w:p>
    <w:p>
      <w:pPr>
        <w:pStyle w:val="BodyText"/>
      </w:pPr>
      <w:r>
        <w:rPr>
          <w:bCs/>
          <w:b/>
        </w:rPr>
        <w:t xml:space="preserve">影响程度</w:t>
      </w:r>
      <w:r>
        <w:t xml:space="preserve">：极高。云厂商CAPEX是光模块需求的直接领先指标，一旦收缩，光模块需求将立刻出现负反馈</w:t>
      </w:r>
      <w:r>
        <w:t xml:space="preserve"> </w:t>
      </w:r>
      <w:r>
        <w:rPr>
          <w:vertAlign w:val="superscript"/>
        </w:rPr>
        <w:footnoteReference w:id="211"/>
      </w:r>
      <w:r>
        <w:t xml:space="preserve">。下一次资本开支收紧时，中际旭创的千亿产能将面临巨大的产能闲置风险</w:t>
      </w:r>
      <w:r>
        <w:t xml:space="preserve"> </w:t>
      </w:r>
      <w:fldSimple w:instr="NOTEREF _Ref_Footnote_207 \h \f">
        <w:r>
          <w:rPr>
            <w:vertAlign w:val="superscript"/>
          </w:rPr>
          <w:t>207</w:t>
        </w:r>
      </w:fldSimple>
      <w:r>
        <w:t xml:space="preserve">。</w:t>
      </w:r>
    </w:p>
    <w:p>
      <w:pPr>
        <w:pStyle w:val="BodyText"/>
      </w:pPr>
      <w:r>
        <w:rPr>
          <w:bCs/>
          <w:b/>
        </w:rPr>
        <w:t xml:space="preserve">时间窗口</w:t>
      </w:r>
      <w:r>
        <w:t xml:space="preserve">：2027年后为高风险期。短期（2025-2026）云厂商已锁定CAPEX计划，订单能见度至2026年</w:t>
      </w:r>
      <w:r>
        <w:t xml:space="preserve"> </w:t>
      </w:r>
      <w:r>
        <w:rPr>
          <w:vertAlign w:val="superscript"/>
        </w:rPr>
        <w:footnoteReference w:id="212"/>
      </w:r>
      <w:r>
        <w:t xml:space="preserve">，但2027年后的CAPEX增速不确定性显著上升。</w:t>
      </w:r>
    </w:p>
    <w:p>
      <w:pPr>
        <w:pStyle w:val="BodyText"/>
      </w:pPr>
      <w:r>
        <w:rPr>
          <w:bCs/>
          <w:b/>
        </w:rPr>
        <w:t xml:space="preserve">应对策略</w:t>
      </w:r>
      <w:r>
        <w:t xml:space="preserve">：将云厂商CAPEX/EBITDA比率作为核心监测指标（当前62%，历史警戒线为70%）；跟踪AI商业化进展（GPT-5等大模型发布、企业AI应用渗透率、AI收入占云厂商收入比例）；在CAPEX/EBITDA接近70%时采取防御性仓位。</w:t>
      </w:r>
    </w:p>
    <w:bookmarkEnd w:id="122"/>
    <w:bookmarkEnd w:id="123"/>
    <w:bookmarkStart w:id="126" w:name="客户集中与市场风险"/>
    <w:p>
      <w:pPr>
        <w:pStyle w:val="Heading3"/>
      </w:pPr>
      <w:r>
        <w:t xml:space="preserve">6.4 客户集中与市场风险</w:t>
      </w:r>
    </w:p>
    <w:bookmarkStart w:id="124" w:name="客户集中度绑定越深风险越高"/>
    <w:p>
      <w:pPr>
        <w:pStyle w:val="Heading4"/>
      </w:pPr>
      <w:r>
        <w:t xml:space="preserve">6.4.1 客户集中度：绑定越深，风险越高</w:t>
      </w:r>
    </w:p>
    <w:p>
      <w:pPr>
        <w:pStyle w:val="FirstParagraph"/>
      </w:pPr>
      <w:r>
        <w:t xml:space="preserve">中国光模块龙头企业的客户集中度处于极高水平。</w:t>
      </w:r>
      <w:r>
        <w:rPr>
          <w:bCs/>
          <w:b/>
        </w:rPr>
        <w:t xml:space="preserve">中际旭创前五大客户贡献75.98%的营收，第一大客户占比24.06%</w:t>
      </w:r>
      <w:r>
        <w:t xml:space="preserve">，境外收入346.37亿元，占比90.58%</w:t>
      </w:r>
      <w:r>
        <w:t xml:space="preserve"> </w:t>
      </w:r>
      <w:fldSimple w:instr="NOTEREF _Ref_Footnote_34 \h \f">
        <w:r>
          <w:rPr>
            <w:vertAlign w:val="superscript"/>
          </w:rPr>
          <w:t>34</w:t>
        </w:r>
      </w:fldSimple>
      <w:r>
        <w:t xml:space="preserve"> </w:t>
      </w:r>
      <w:fldSimple w:instr="NOTEREF _Ref_Footnote_39 \h \f">
        <w:r>
          <w:rPr>
            <w:vertAlign w:val="superscript"/>
          </w:rPr>
          <w:t>39</w:t>
        </w:r>
      </w:fldSimple>
      <w:r>
        <w:t xml:space="preserve">；</w:t>
      </w:r>
      <w:r>
        <w:rPr>
          <w:bCs/>
          <w:b/>
        </w:rPr>
        <w:t xml:space="preserve">新易盛前五大客户占比71.10%，第一大客户占比31.74%</w:t>
      </w:r>
      <w:r>
        <w:t xml:space="preserve"> </w:t>
      </w:r>
      <w:r>
        <w:rPr>
          <w:vertAlign w:val="superscript"/>
        </w:rPr>
        <w:footnoteReference w:id="213"/>
      </w:r>
      <w:r>
        <w:t xml:space="preserve"> </w:t>
      </w:r>
      <w:r>
        <w:rPr>
          <w:vertAlign w:val="superscript"/>
        </w:rPr>
        <w:footnoteReference w:id="214"/>
      </w:r>
      <w:r>
        <w:t xml:space="preserve">。天孚通信第一大客户占比超六成</w:t>
      </w:r>
      <w:r>
        <w:t xml:space="preserve"> </w:t>
      </w:r>
      <w:r>
        <w:rPr>
          <w:vertAlign w:val="superscript"/>
        </w:rPr>
        <w:footnoteReference w:id="215"/>
      </w:r>
      <w:r>
        <w:t xml:space="preserve">，太辰光前五大客户营收占比83%</w:t>
      </w:r>
      <w:r>
        <w:t xml:space="preserve"> </w:t>
      </w:r>
      <w:r>
        <w:rPr>
          <w:vertAlign w:val="superscript"/>
        </w:rPr>
        <w:footnoteReference w:id="216"/>
      </w:r>
      <w:r>
        <w:t xml:space="preserve">。这种”绑定北美AI产业链越深，集中度越高”的行业特征，意味着一旦北美大客户砍单，业绩崩盘几乎是瞬间发生的</w:t>
      </w:r>
      <w:r>
        <w:t xml:space="preserve"> </w:t>
      </w:r>
      <w:r>
        <w:rPr>
          <w:vertAlign w:val="superscript"/>
        </w:rPr>
        <w:footnoteReference w:id="217"/>
      </w:r>
      <w:r>
        <w:t xml:space="preserve">。</w:t>
      </w:r>
    </w:p>
    <w:p>
      <w:pPr>
        <w:pStyle w:val="BodyText"/>
      </w:pPr>
      <w:r>
        <w:t xml:space="preserve">2026年一季度释放了一个值得警惕的信号：</w:t>
      </w:r>
      <w:r>
        <w:rPr>
          <w:bCs/>
          <w:b/>
        </w:rPr>
        <w:t xml:space="preserve">新易盛净利润同比增长76.8%，但环比下滑超10%</w:t>
      </w:r>
      <w:r>
        <w:t xml:space="preserve">，为时隔九个季度以来首次出现环比下滑</w:t>
      </w:r>
      <w:r>
        <w:t xml:space="preserve"> </w:t>
      </w:r>
      <w:fldSimple w:instr="NOTEREF _Ref_Footnote_14 \h \f">
        <w:r>
          <w:rPr>
            <w:vertAlign w:val="superscript"/>
          </w:rPr>
          <w:t>14</w:t>
        </w:r>
      </w:fldSimple>
      <w:r>
        <w:t xml:space="preserve">。虽然同比增长仍然强劲，但环比下滑可能预示着增长动能的边际减弱——这与CPO替代预期升温、价格竞争加剧有关。</w:t>
      </w:r>
    </w:p>
    <w:p>
      <w:pPr>
        <w:pStyle w:val="BodyText"/>
      </w:pPr>
      <w:r>
        <w:rPr>
          <w:bCs/>
          <w:b/>
        </w:rPr>
        <w:t xml:space="preserve">触发条件</w:t>
      </w:r>
      <w:r>
        <w:t xml:space="preserve">：英伟达/谷歌/微软/Meta中任意一家削减光模块订单超过20%、客户自研光模块取得突破（如亚马逊 rumored 自研项目进展）、云厂商推行多供应商策略导致龙头份额被稀释。</w:t>
      </w:r>
    </w:p>
    <w:p>
      <w:pPr>
        <w:pStyle w:val="BodyText"/>
      </w:pPr>
      <w:r>
        <w:rPr>
          <w:bCs/>
          <w:b/>
        </w:rPr>
        <w:t xml:space="preserve">影响程度</w:t>
      </w:r>
      <w:r>
        <w:t xml:space="preserve">：高。客户分散化空间有限——北美云厂商占据全球AI投资90%以上，非美地区收入占比提升的边际效果递减。中际旭创正在通过提升非美地区收入占比来分散客户集中度，2024年非美地区出口比例已实现大幅增长</w:t>
      </w:r>
      <w:r>
        <w:t xml:space="preserve"> </w:t>
      </w:r>
      <w:fldSimple w:instr="NOTEREF _Ref_Footnote_188 \h \f">
        <w:r>
          <w:rPr>
            <w:vertAlign w:val="superscript"/>
          </w:rPr>
          <w:t>188</w:t>
        </w:r>
      </w:fldSimple>
      <w:r>
        <w:t xml:space="preserve">，但在全球AI投资格局未发生根本变化之前，客户集中度风险属于行业结构性问题，可控性较低。</w:t>
      </w:r>
    </w:p>
    <w:p>
      <w:pPr>
        <w:pStyle w:val="BodyText"/>
      </w:pPr>
      <w:r>
        <w:rPr>
          <w:bCs/>
          <w:b/>
        </w:rPr>
        <w:t xml:space="preserve">时间窗口</w:t>
      </w:r>
      <w:r>
        <w:t xml:space="preserve">：持续性风险。短期客户结构相对稳定（龙头已与英伟达、谷歌等签订长期供货协议</w:t>
      </w:r>
      <w:r>
        <w:t xml:space="preserve"> </w:t>
      </w:r>
      <w:fldSimple w:instr="NOTEREF _Ref_Footnote_212 \h \f">
        <w:r>
          <w:rPr>
            <w:vertAlign w:val="superscript"/>
          </w:rPr>
          <w:t>212</w:t>
        </w:r>
      </w:fldSimple>
      <w:r>
        <w:t xml:space="preserve">），但中长期面临客户自研和多供应商策略的压力。</w:t>
      </w:r>
    </w:p>
    <w:p>
      <w:pPr>
        <w:pStyle w:val="BodyText"/>
      </w:pPr>
      <w:r>
        <w:rPr>
          <w:bCs/>
          <w:b/>
        </w:rPr>
        <w:t xml:space="preserve">应对策略</w:t>
      </w:r>
      <w:r>
        <w:t xml:space="preserve">：监测龙头厂商季度营收环比增速（新易盛Q1环比下滑为先行信号）；跟踪客户自研光模块的进展；评估国内”东数西算”订单对海外波动的对冲效果。</w:t>
      </w:r>
    </w:p>
    <w:bookmarkEnd w:id="124"/>
    <w:bookmarkStart w:id="125" w:name="高估值破裂风险pe-ttm-50x蕴含的脆弱性"/>
    <w:p>
      <w:pPr>
        <w:pStyle w:val="Heading4"/>
      </w:pPr>
      <w:r>
        <w:t xml:space="preserve">6.4.2 高估值破裂风险：PE-TTM 50x蕴含的脆弱性</w:t>
      </w:r>
    </w:p>
    <w:p>
      <w:pPr>
        <w:pStyle w:val="FirstParagraph"/>
      </w:pPr>
      <w:r>
        <w:t xml:space="preserve">通信板块当前PE-TTM（滚动市盈率）约50倍，处于近10年86%分位</w:t>
      </w:r>
      <w:r>
        <w:t xml:space="preserve"> </w:t>
      </w:r>
      <w:fldSimple w:instr="NOTEREF _Ref_Footnote_39 \h \f">
        <w:r>
          <w:rPr>
            <w:vertAlign w:val="superscript"/>
          </w:rPr>
          <w:t>39</w:t>
        </w:r>
      </w:fldSimple>
      <w:r>
        <w:t xml:space="preserve">。这一估值水平隐含了市场对未来2-3年行业维持30%以上增速的强预期。一旦增速不及预期，估值压缩将带来显著的股价下行风险。</w:t>
      </w:r>
    </w:p>
    <w:p>
      <w:pPr>
        <w:pStyle w:val="BodyText"/>
      </w:pPr>
      <w:r>
        <w:t xml:space="preserve">估值脆弱性的具体测算：若2027年行业增速从预期的65%回落至30%-35%，以当前50x PE为基准，估值中枢可能下移至30-35x（对应近10年中位数水平），意味着30%-40%的估值压缩空间。叠加盈利增速放缓，戴维斯双杀效应可能导致股价回撤50%以上。历史参照：2022年Q3至2023年Q1的光模块周期下行期，部分光模块企业股价回撤超过60%。</w:t>
      </w:r>
    </w:p>
    <w:p>
      <w:pPr>
        <w:pStyle w:val="BodyText"/>
      </w:pPr>
      <w:r>
        <w:rPr>
          <w:bCs/>
          <w:b/>
        </w:rPr>
        <w:t xml:space="preserve">触发条件</w:t>
      </w:r>
      <w:r>
        <w:t xml:space="preserve">：2026年Q2-Q3连续两个季度营收环比下滑、800G价格年降幅超过30%且1.6T放量不及预期、任意一家头部云厂商下调全年CAPEX指引。</w:t>
      </w:r>
    </w:p>
    <w:p>
      <w:pPr>
        <w:pStyle w:val="BodyText"/>
      </w:pPr>
      <w:r>
        <w:rPr>
          <w:bCs/>
          <w:b/>
        </w:rPr>
        <w:t xml:space="preserve">影响程度</w:t>
      </w:r>
      <w:r>
        <w:t xml:space="preserve">：中高。当前高估值由”AI叙事+业绩高增”双轮驱动，若其中一轮失速，市场可能快速重新定价。</w:t>
      </w:r>
    </w:p>
    <w:p>
      <w:pPr>
        <w:pStyle w:val="BodyText"/>
      </w:pPr>
      <w:r>
        <w:rPr>
          <w:bCs/>
          <w:b/>
        </w:rPr>
        <w:t xml:space="preserve">时间窗口</w:t>
      </w:r>
      <w:r>
        <w:t xml:space="preserve">：2026年下半年至2027年为高敏感期。LightCounting已提示2026年下半年可能出现增速持平</w:t>
      </w:r>
      <w:r>
        <w:t xml:space="preserve"> </w:t>
      </w:r>
      <w:fldSimple w:instr="NOTEREF _Ref_Footnote_206 \h \f">
        <w:r>
          <w:rPr>
            <w:vertAlign w:val="superscript"/>
          </w:rPr>
          <w:t>206</w:t>
        </w:r>
      </w:fldSimple>
      <w:r>
        <w:t xml:space="preserve">，若信号确认，估值调整可能提前到来。</w:t>
      </w:r>
    </w:p>
    <w:p>
      <w:pPr>
        <w:pStyle w:val="BodyText"/>
      </w:pPr>
      <w:r>
        <w:rPr>
          <w:bCs/>
          <w:b/>
        </w:rPr>
        <w:t xml:space="preserve">应对策略</w:t>
      </w:r>
      <w:r>
        <w:t xml:space="preserve">：将PE-TTM与近10年分位数作为动态评估指标；在行业增速放缓信号初现时降低高估值龙头仓位；配置估值安全边际更高的光芯片国产替代标的作为对冲。</w:t>
      </w:r>
    </w:p>
    <w:bookmarkEnd w:id="125"/>
    <w:bookmarkEnd w:id="126"/>
    <w:bookmarkStart w:id="130" w:name="综合风险矩阵"/>
    <w:p>
      <w:pPr>
        <w:pStyle w:val="Heading3"/>
      </w:pPr>
      <w:r>
        <w:t xml:space="preserve">6.5 综合风险矩阵</w:t>
      </w:r>
    </w:p>
    <w:p>
      <w:pPr>
        <w:pStyle w:val="FirstParagraph"/>
      </w:pPr>
      <w:r>
        <w:t xml:space="preserve">基于上述四个维度的分析，我们构建如下综合风险矩阵。矩阵从风险类型、等级、触发条件、影响程度、时间窗口与应对策略六个维度，对光通信行业投资面临的十大核心风险进行系统性梳理。</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风险类型</w:t>
            </w:r>
          </w:p>
        </w:tc>
        <w:tc>
          <w:tcPr/>
          <w:p>
            <w:pPr>
              <w:pStyle w:val="Compact"/>
              <w:jc w:val="left"/>
            </w:pPr>
            <w:r>
              <w:t xml:space="preserve">具体风险</w:t>
            </w:r>
          </w:p>
        </w:tc>
        <w:tc>
          <w:tcPr/>
          <w:p>
            <w:pPr>
              <w:pStyle w:val="Compact"/>
              <w:jc w:val="left"/>
            </w:pPr>
            <w:r>
              <w:t xml:space="preserve">风险等级</w:t>
            </w:r>
          </w:p>
        </w:tc>
        <w:tc>
          <w:tcPr/>
          <w:p>
            <w:pPr>
              <w:pStyle w:val="Compact"/>
              <w:jc w:val="left"/>
            </w:pPr>
            <w:r>
              <w:t xml:space="preserve">触发条件</w:t>
            </w:r>
          </w:p>
        </w:tc>
        <w:tc>
          <w:tcPr/>
          <w:p>
            <w:pPr>
              <w:pStyle w:val="Compact"/>
              <w:jc w:val="left"/>
            </w:pPr>
            <w:r>
              <w:t xml:space="preserve">影响程度</w:t>
            </w:r>
          </w:p>
        </w:tc>
        <w:tc>
          <w:tcPr/>
          <w:p>
            <w:pPr>
              <w:pStyle w:val="Compact"/>
              <w:jc w:val="left"/>
            </w:pPr>
            <w:r>
              <w:t xml:space="preserve">时间窗口</w:t>
            </w:r>
          </w:p>
        </w:tc>
        <w:tc>
          <w:tcPr/>
          <w:p>
            <w:pPr>
              <w:pStyle w:val="Compact"/>
              <w:jc w:val="left"/>
            </w:pPr>
            <w:r>
              <w:t xml:space="preserve">应对策略</w:t>
            </w:r>
          </w:p>
        </w:tc>
      </w:tr>
      <w:tr>
        <w:tc>
          <w:tcPr/>
          <w:p>
            <w:pPr>
              <w:pStyle w:val="Compact"/>
              <w:jc w:val="left"/>
            </w:pPr>
            <w:r>
              <w:rPr>
                <w:bCs/>
                <w:b/>
              </w:rPr>
              <w:t xml:space="preserve">产业链传导</w:t>
            </w:r>
          </w:p>
        </w:tc>
        <w:tc>
          <w:tcPr/>
          <w:p>
            <w:pPr>
              <w:pStyle w:val="Compact"/>
              <w:jc w:val="left"/>
            </w:pPr>
            <w:r>
              <w:t xml:space="preserve">光芯片出口管制</w:t>
            </w:r>
          </w:p>
        </w:tc>
        <w:tc>
          <w:tcPr/>
          <w:p>
            <w:pPr>
              <w:pStyle w:val="Compact"/>
              <w:jc w:val="left"/>
            </w:pPr>
            <w:r>
              <w:rPr>
                <w:bCs/>
                <w:b/>
              </w:rPr>
              <w:t xml:space="preserve">高</w:t>
            </w:r>
          </w:p>
        </w:tc>
        <w:tc>
          <w:tcPr/>
          <w:p>
            <w:pPr>
              <w:pStyle w:val="Compact"/>
              <w:jc w:val="left"/>
            </w:pPr>
            <w:r>
              <w:t xml:space="preserve">美国BIS将25G+光芯片纳入严格管制</w:t>
            </w:r>
          </w:p>
        </w:tc>
        <w:tc>
          <w:tcPr/>
          <w:p>
            <w:pPr>
              <w:pStyle w:val="Compact"/>
              <w:jc w:val="left"/>
            </w:pPr>
            <w:r>
              <w:t xml:space="preserve">产能下降20%+，存货减值</w:t>
            </w:r>
          </w:p>
        </w:tc>
        <w:tc>
          <w:tcPr/>
          <w:p>
            <w:pPr>
              <w:pStyle w:val="Compact"/>
              <w:jc w:val="left"/>
            </w:pPr>
            <w:r>
              <w:t xml:space="preserve">2027-2030</w:t>
            </w:r>
          </w:p>
        </w:tc>
        <w:tc>
          <w:tcPr/>
          <w:p>
            <w:pPr>
              <w:pStyle w:val="Compact"/>
              <w:jc w:val="left"/>
            </w:pPr>
            <w:r>
              <w:t xml:space="preserve">跟踪国产芯片良率与认证节奏，评估硅光替代进展</w:t>
            </w:r>
          </w:p>
        </w:tc>
      </w:tr>
      <w:tr>
        <w:tc>
          <w:tcPr/>
          <w:p>
            <w:pPr>
              <w:pStyle w:val="Compact"/>
              <w:jc w:val="left"/>
            </w:pPr>
            <w:r>
              <w:rPr>
                <w:bCs/>
                <w:b/>
              </w:rPr>
              <w:t xml:space="preserve">产业链传导</w:t>
            </w:r>
          </w:p>
        </w:tc>
        <w:tc>
          <w:tcPr/>
          <w:p>
            <w:pPr>
              <w:pStyle w:val="Compact"/>
              <w:jc w:val="left"/>
            </w:pPr>
            <w:r>
              <w:t xml:space="preserve">关税政策反复</w:t>
            </w:r>
          </w:p>
        </w:tc>
        <w:tc>
          <w:tcPr/>
          <w:p>
            <w:pPr>
              <w:pStyle w:val="Compact"/>
              <w:jc w:val="left"/>
            </w:pPr>
            <w:r>
              <w:rPr>
                <w:bCs/>
                <w:b/>
              </w:rPr>
              <w:t xml:space="preserve">中</w:t>
            </w:r>
          </w:p>
        </w:tc>
        <w:tc>
          <w:tcPr/>
          <w:p>
            <w:pPr>
              <w:pStyle w:val="Compact"/>
              <w:jc w:val="left"/>
            </w:pPr>
            <w:r>
              <w:t xml:space="preserve">取消光模块豁免、税号重新归类</w:t>
            </w:r>
          </w:p>
        </w:tc>
        <w:tc>
          <w:tcPr/>
          <w:p>
            <w:pPr>
              <w:pStyle w:val="Compact"/>
              <w:jc w:val="left"/>
            </w:pPr>
            <w:r>
              <w:t xml:space="preserve">盈利预测下调1.2%-1.5%/百分点</w:t>
            </w:r>
          </w:p>
        </w:tc>
        <w:tc>
          <w:tcPr/>
          <w:p>
            <w:pPr>
              <w:pStyle w:val="Compact"/>
              <w:jc w:val="left"/>
            </w:pPr>
            <w:r>
              <w:t xml:space="preserve">2025-2027</w:t>
            </w:r>
          </w:p>
        </w:tc>
        <w:tc>
          <w:tcPr/>
          <w:p>
            <w:pPr>
              <w:pStyle w:val="Compact"/>
              <w:jc w:val="left"/>
            </w:pPr>
            <w:r>
              <w:t xml:space="preserve">监测USTR公告，评估海外产能占比提升</w:t>
            </w:r>
          </w:p>
        </w:tc>
      </w:tr>
      <w:tr>
        <w:tc>
          <w:tcPr/>
          <w:p>
            <w:pPr>
              <w:pStyle w:val="Compact"/>
              <w:jc w:val="left"/>
            </w:pPr>
            <w:r>
              <w:rPr>
                <w:bCs/>
                <w:b/>
              </w:rPr>
              <w:t xml:space="preserve">产业链传导</w:t>
            </w:r>
          </w:p>
        </w:tc>
        <w:tc>
          <w:tcPr/>
          <w:p>
            <w:pPr>
              <w:pStyle w:val="Compact"/>
              <w:jc w:val="left"/>
            </w:pPr>
            <w:r>
              <w:t xml:space="preserve">台海地缘冲突</w:t>
            </w:r>
          </w:p>
        </w:tc>
        <w:tc>
          <w:tcPr/>
          <w:p>
            <w:pPr>
              <w:pStyle w:val="Compact"/>
              <w:jc w:val="left"/>
            </w:pPr>
            <w:r>
              <w:rPr>
                <w:bCs/>
                <w:b/>
              </w:rPr>
              <w:t xml:space="preserve">极高</w:t>
            </w:r>
          </w:p>
        </w:tc>
        <w:tc>
          <w:tcPr/>
          <w:p>
            <w:pPr>
              <w:pStyle w:val="Compact"/>
              <w:jc w:val="left"/>
            </w:pPr>
            <w:r>
              <w:t xml:space="preserve">供应链中断、台积电产能受损</w:t>
            </w:r>
          </w:p>
        </w:tc>
        <w:tc>
          <w:tcPr/>
          <w:p>
            <w:pPr>
              <w:pStyle w:val="Compact"/>
              <w:jc w:val="left"/>
            </w:pPr>
            <w:r>
              <w:t xml:space="preserve">全球经济损失或达10万亿美元</w:t>
            </w:r>
            <w:r>
              <w:t xml:space="preserve"> </w:t>
            </w:r>
            <w:r>
              <w:rPr>
                <w:vertAlign w:val="superscript"/>
              </w:rPr>
              <w:footnoteReference w:id="218"/>
            </w:r>
          </w:p>
        </w:tc>
        <w:tc>
          <w:tcPr/>
          <w:p>
            <w:pPr>
              <w:pStyle w:val="Compact"/>
              <w:jc w:val="left"/>
            </w:pPr>
            <w:r>
              <w:t xml:space="preserve">低概率长期</w:t>
            </w:r>
          </w:p>
        </w:tc>
        <w:tc>
          <w:tcPr/>
          <w:p>
            <w:pPr>
              <w:pStyle w:val="Compact"/>
              <w:jc w:val="left"/>
            </w:pPr>
            <w:r>
              <w:t xml:space="preserve">不可控，通过分散投资降低单一市场暴露</w:t>
            </w:r>
          </w:p>
        </w:tc>
      </w:tr>
      <w:tr>
        <w:tc>
          <w:tcPr/>
          <w:p>
            <w:pPr>
              <w:pStyle w:val="Compact"/>
              <w:jc w:val="left"/>
            </w:pPr>
            <w:r>
              <w:rPr>
                <w:bCs/>
                <w:b/>
              </w:rPr>
              <w:t xml:space="preserve">技术路线替代</w:t>
            </w:r>
          </w:p>
        </w:tc>
        <w:tc>
          <w:tcPr/>
          <w:p>
            <w:pPr>
              <w:pStyle w:val="Compact"/>
              <w:jc w:val="left"/>
            </w:pPr>
            <w:r>
              <w:t xml:space="preserve">CPO替代可插拔模块</w:t>
            </w:r>
          </w:p>
        </w:tc>
        <w:tc>
          <w:tcPr/>
          <w:p>
            <w:pPr>
              <w:pStyle w:val="Compact"/>
              <w:jc w:val="left"/>
            </w:pPr>
            <w:r>
              <w:rPr>
                <w:bCs/>
                <w:b/>
              </w:rPr>
              <w:t xml:space="preserve">中</w:t>
            </w:r>
          </w:p>
        </w:tc>
        <w:tc>
          <w:tcPr/>
          <w:p>
            <w:pPr>
              <w:pStyle w:val="Compact"/>
              <w:jc w:val="left"/>
            </w:pPr>
            <w:r>
              <w:t xml:space="preserve">CPO良率突破80%、强制切换</w:t>
            </w:r>
          </w:p>
        </w:tc>
        <w:tc>
          <w:tcPr/>
          <w:p>
            <w:pPr>
              <w:pStyle w:val="Compact"/>
              <w:jc w:val="left"/>
            </w:pPr>
            <w:r>
              <w:t xml:space="preserve">可插拔份额从70%降至50%</w:t>
            </w:r>
          </w:p>
        </w:tc>
        <w:tc>
          <w:tcPr/>
          <w:p>
            <w:pPr>
              <w:pStyle w:val="Compact"/>
              <w:jc w:val="left"/>
            </w:pPr>
            <w:r>
              <w:t xml:space="preserve">2026-2027观察</w:t>
            </w:r>
          </w:p>
        </w:tc>
        <w:tc>
          <w:tcPr/>
          <w:p>
            <w:pPr>
              <w:pStyle w:val="Compact"/>
              <w:jc w:val="left"/>
            </w:pPr>
            <w:r>
              <w:t xml:space="preserve">关注CPO测试设备订单作为先行指标</w:t>
            </w:r>
          </w:p>
        </w:tc>
      </w:tr>
      <w:tr>
        <w:tc>
          <w:tcPr/>
          <w:p>
            <w:pPr>
              <w:pStyle w:val="Compact"/>
              <w:jc w:val="left"/>
            </w:pPr>
            <w:r>
              <w:rPr>
                <w:bCs/>
                <w:b/>
              </w:rPr>
              <w:t xml:space="preserve">技术路线替代</w:t>
            </w:r>
          </w:p>
        </w:tc>
        <w:tc>
          <w:tcPr/>
          <w:p>
            <w:pPr>
              <w:pStyle w:val="Compact"/>
              <w:jc w:val="left"/>
            </w:pPr>
            <w:r>
              <w:t xml:space="preserve">技术路线博弈</w:t>
            </w:r>
          </w:p>
        </w:tc>
        <w:tc>
          <w:tcPr/>
          <w:p>
            <w:pPr>
              <w:pStyle w:val="Compact"/>
              <w:jc w:val="left"/>
            </w:pPr>
            <w:r>
              <w:rPr>
                <w:bCs/>
                <w:b/>
              </w:rPr>
              <w:t xml:space="preserve">中</w:t>
            </w:r>
          </w:p>
        </w:tc>
        <w:tc>
          <w:tcPr/>
          <w:p>
            <w:pPr>
              <w:pStyle w:val="Compact"/>
              <w:jc w:val="left"/>
            </w:pPr>
            <w:r>
              <w:t xml:space="preserve">英伟达/博通明确偏向单一路线</w:t>
            </w:r>
          </w:p>
        </w:tc>
        <w:tc>
          <w:tcPr/>
          <w:p>
            <w:pPr>
              <w:pStyle w:val="Compact"/>
              <w:jc w:val="left"/>
            </w:pPr>
            <w:r>
              <w:t xml:space="preserve">押错路线厂商丧失竞争力</w:t>
            </w:r>
          </w:p>
        </w:tc>
        <w:tc>
          <w:tcPr/>
          <w:p>
            <w:pPr>
              <w:pStyle w:val="Compact"/>
              <w:jc w:val="left"/>
            </w:pPr>
            <w:r>
              <w:t xml:space="preserve">2026-2028</w:t>
            </w:r>
          </w:p>
        </w:tc>
        <w:tc>
          <w:tcPr/>
          <w:p>
            <w:pPr>
              <w:pStyle w:val="Compact"/>
              <w:jc w:val="left"/>
            </w:pPr>
            <w:r>
              <w:t xml:space="preserve">偏好”全路线布局”龙头，监测云厂商选型</w:t>
            </w:r>
          </w:p>
        </w:tc>
      </w:tr>
      <w:tr>
        <w:tc>
          <w:tcPr/>
          <w:p>
            <w:pPr>
              <w:pStyle w:val="Compact"/>
              <w:jc w:val="left"/>
            </w:pPr>
            <w:r>
              <w:rPr>
                <w:bCs/>
                <w:b/>
              </w:rPr>
              <w:t xml:space="preserve">周期性</w:t>
            </w:r>
          </w:p>
        </w:tc>
        <w:tc>
          <w:tcPr/>
          <w:p>
            <w:pPr>
              <w:pStyle w:val="Compact"/>
              <w:jc w:val="left"/>
            </w:pPr>
            <w:r>
              <w:t xml:space="preserve">云厂商CAPEX泡沫</w:t>
            </w:r>
          </w:p>
        </w:tc>
        <w:tc>
          <w:tcPr/>
          <w:p>
            <w:pPr>
              <w:pStyle w:val="Compact"/>
              <w:jc w:val="left"/>
            </w:pPr>
            <w:r>
              <w:rPr>
                <w:bCs/>
                <w:b/>
              </w:rPr>
              <w:t xml:space="preserve">高</w:t>
            </w:r>
          </w:p>
        </w:tc>
        <w:tc>
          <w:tcPr/>
          <w:p>
            <w:pPr>
              <w:pStyle w:val="Compact"/>
              <w:jc w:val="left"/>
            </w:pPr>
            <w:r>
              <w:t xml:space="preserve">CAPEX/EBITDA超70%、AI ROI受质疑</w:t>
            </w:r>
          </w:p>
        </w:tc>
        <w:tc>
          <w:tcPr/>
          <w:p>
            <w:pPr>
              <w:pStyle w:val="Compact"/>
              <w:jc w:val="left"/>
            </w:pPr>
            <w:r>
              <w:t xml:space="preserve">需求断崖式下跌</w:t>
            </w:r>
          </w:p>
        </w:tc>
        <w:tc>
          <w:tcPr/>
          <w:p>
            <w:pPr>
              <w:pStyle w:val="Compact"/>
              <w:jc w:val="left"/>
            </w:pPr>
            <w:r>
              <w:t xml:space="preserve">2027后</w:t>
            </w:r>
          </w:p>
        </w:tc>
        <w:tc>
          <w:tcPr/>
          <w:p>
            <w:pPr>
              <w:pStyle w:val="Compact"/>
              <w:jc w:val="left"/>
            </w:pPr>
            <w:r>
              <w:t xml:space="preserve">监测CAPEX/EBITDA比率，接近70%时减仓</w:t>
            </w:r>
          </w:p>
        </w:tc>
      </w:tr>
      <w:tr>
        <w:tc>
          <w:tcPr/>
          <w:p>
            <w:pPr>
              <w:pStyle w:val="Compact"/>
              <w:jc w:val="left"/>
            </w:pPr>
            <w:r>
              <w:rPr>
                <w:bCs/>
                <w:b/>
              </w:rPr>
              <w:t xml:space="preserve">周期性</w:t>
            </w:r>
          </w:p>
        </w:tc>
        <w:tc>
          <w:tcPr/>
          <w:p>
            <w:pPr>
              <w:pStyle w:val="Compact"/>
              <w:jc w:val="left"/>
            </w:pPr>
            <w:r>
              <w:t xml:space="preserve">行业周期下行</w:t>
            </w:r>
          </w:p>
        </w:tc>
        <w:tc>
          <w:tcPr/>
          <w:p>
            <w:pPr>
              <w:pStyle w:val="Compact"/>
              <w:jc w:val="left"/>
            </w:pPr>
            <w:r>
              <w:rPr>
                <w:bCs/>
                <w:b/>
              </w:rPr>
              <w:t xml:space="preserve">高</w:t>
            </w:r>
          </w:p>
        </w:tc>
        <w:tc>
          <w:tcPr/>
          <w:p>
            <w:pPr>
              <w:pStyle w:val="Compact"/>
              <w:jc w:val="left"/>
            </w:pPr>
            <w:r>
              <w:t xml:space="preserve">云厂商CAPEX增速降至20%以下</w:t>
            </w:r>
          </w:p>
        </w:tc>
        <w:tc>
          <w:tcPr/>
          <w:p>
            <w:pPr>
              <w:pStyle w:val="Compact"/>
              <w:jc w:val="left"/>
            </w:pPr>
            <w:r>
              <w:t xml:space="preserve">价格战、毛利率压缩至25%</w:t>
            </w:r>
          </w:p>
        </w:tc>
        <w:tc>
          <w:tcPr/>
          <w:p>
            <w:pPr>
              <w:pStyle w:val="Compact"/>
              <w:jc w:val="left"/>
            </w:pPr>
            <w:r>
              <w:t xml:space="preserve">2026H2-2027</w:t>
            </w:r>
          </w:p>
        </w:tc>
        <w:tc>
          <w:tcPr/>
          <w:p>
            <w:pPr>
              <w:pStyle w:val="Compact"/>
              <w:jc w:val="left"/>
            </w:pPr>
            <w:r>
              <w:t xml:space="preserve">跟踪订单能见度与库存周转天数</w:t>
            </w:r>
          </w:p>
        </w:tc>
      </w:tr>
      <w:tr>
        <w:tc>
          <w:tcPr/>
          <w:p>
            <w:pPr>
              <w:pStyle w:val="Compact"/>
              <w:jc w:val="left"/>
            </w:pPr>
            <w:r>
              <w:rPr>
                <w:bCs/>
                <w:b/>
              </w:rPr>
              <w:t xml:space="preserve">周期性</w:t>
            </w:r>
          </w:p>
        </w:tc>
        <w:tc>
          <w:tcPr/>
          <w:p>
            <w:pPr>
              <w:pStyle w:val="Compact"/>
              <w:jc w:val="left"/>
            </w:pPr>
            <w:r>
              <w:t xml:space="preserve">价格竞争加剧</w:t>
            </w:r>
          </w:p>
        </w:tc>
        <w:tc>
          <w:tcPr/>
          <w:p>
            <w:pPr>
              <w:pStyle w:val="Compact"/>
              <w:jc w:val="left"/>
            </w:pPr>
            <w:r>
              <w:rPr>
                <w:bCs/>
                <w:b/>
              </w:rPr>
              <w:t xml:space="preserve">中</w:t>
            </w:r>
          </w:p>
        </w:tc>
        <w:tc>
          <w:tcPr/>
          <w:p>
            <w:pPr>
              <w:pStyle w:val="Compact"/>
              <w:jc w:val="left"/>
            </w:pPr>
            <w:r>
              <w:t xml:space="preserve">800G价格年降幅超30%</w:t>
            </w:r>
          </w:p>
        </w:tc>
        <w:tc>
          <w:tcPr/>
          <w:p>
            <w:pPr>
              <w:pStyle w:val="Compact"/>
              <w:jc w:val="left"/>
            </w:pPr>
            <w:r>
              <w:t xml:space="preserve">二线厂商亏损出清</w:t>
            </w:r>
          </w:p>
        </w:tc>
        <w:tc>
          <w:tcPr/>
          <w:p>
            <w:pPr>
              <w:pStyle w:val="Compact"/>
              <w:jc w:val="left"/>
            </w:pPr>
            <w:r>
              <w:t xml:space="preserve">持续</w:t>
            </w:r>
          </w:p>
        </w:tc>
        <w:tc>
          <w:tcPr/>
          <w:p>
            <w:pPr>
              <w:pStyle w:val="Compact"/>
              <w:jc w:val="left"/>
            </w:pPr>
            <w:r>
              <w:t xml:space="preserve">配置龙头（毛利率优势30pct+</w:t>
            </w:r>
            <w:r>
              <w:t xml:space="preserve"> </w:t>
            </w:r>
            <w:fldSimple w:instr="NOTEREF _Ref_Footnote_39 \h \f">
              <w:r>
                <w:rPr>
                  <w:vertAlign w:val="superscript"/>
                </w:rPr>
                <w:t>39</w:t>
              </w:r>
            </w:fldSimple>
            <w:r>
              <w:t xml:space="preserve">）</w:t>
            </w:r>
          </w:p>
        </w:tc>
      </w:tr>
      <w:tr>
        <w:tc>
          <w:tcPr/>
          <w:p>
            <w:pPr>
              <w:pStyle w:val="Compact"/>
              <w:jc w:val="left"/>
            </w:pPr>
            <w:r>
              <w:rPr>
                <w:bCs/>
                <w:b/>
              </w:rPr>
              <w:t xml:space="preserve">客户集中</w:t>
            </w:r>
          </w:p>
        </w:tc>
        <w:tc>
          <w:tcPr/>
          <w:p>
            <w:pPr>
              <w:pStyle w:val="Compact"/>
              <w:jc w:val="left"/>
            </w:pPr>
            <w:r>
              <w:t xml:space="preserve">客户高度集中</w:t>
            </w:r>
          </w:p>
        </w:tc>
        <w:tc>
          <w:tcPr/>
          <w:p>
            <w:pPr>
              <w:pStyle w:val="Compact"/>
              <w:jc w:val="left"/>
            </w:pPr>
            <w:r>
              <w:rPr>
                <w:bCs/>
                <w:b/>
              </w:rPr>
              <w:t xml:space="preserve">高</w:t>
            </w:r>
          </w:p>
        </w:tc>
        <w:tc>
          <w:tcPr/>
          <w:p>
            <w:pPr>
              <w:pStyle w:val="Compact"/>
              <w:jc w:val="left"/>
            </w:pPr>
            <w:r>
              <w:t xml:space="preserve">头部客户砍单20%+</w:t>
            </w:r>
          </w:p>
        </w:tc>
        <w:tc>
          <w:tcPr/>
          <w:p>
            <w:pPr>
              <w:pStyle w:val="Compact"/>
              <w:jc w:val="left"/>
            </w:pPr>
            <w:r>
              <w:t xml:space="preserve">业绩瞬间崩盘</w:t>
            </w:r>
            <w:r>
              <w:t xml:space="preserve"> </w:t>
            </w:r>
            <w:fldSimple w:instr="NOTEREF _Ref_Footnote_217 \h \f">
              <w:r>
                <w:rPr>
                  <w:vertAlign w:val="superscript"/>
                </w:rPr>
                <w:t>217</w:t>
              </w:r>
            </w:fldSimple>
          </w:p>
        </w:tc>
        <w:tc>
          <w:tcPr/>
          <w:p>
            <w:pPr>
              <w:pStyle w:val="Compact"/>
              <w:jc w:val="left"/>
            </w:pPr>
            <w:r>
              <w:t xml:space="preserve">持续性</w:t>
            </w:r>
          </w:p>
        </w:tc>
        <w:tc>
          <w:tcPr/>
          <w:p>
            <w:pPr>
              <w:pStyle w:val="Compact"/>
              <w:jc w:val="left"/>
            </w:pPr>
            <w:r>
              <w:t xml:space="preserve">监测营收环比增速，分散客户结构</w:t>
            </w:r>
          </w:p>
        </w:tc>
      </w:tr>
      <w:tr>
        <w:tc>
          <w:tcPr/>
          <w:p>
            <w:pPr>
              <w:pStyle w:val="Compact"/>
              <w:jc w:val="left"/>
            </w:pPr>
            <w:r>
              <w:rPr>
                <w:bCs/>
                <w:b/>
              </w:rPr>
              <w:t xml:space="preserve">客户集中</w:t>
            </w:r>
          </w:p>
        </w:tc>
        <w:tc>
          <w:tcPr/>
          <w:p>
            <w:pPr>
              <w:pStyle w:val="Compact"/>
              <w:jc w:val="left"/>
            </w:pPr>
            <w:r>
              <w:t xml:space="preserve">高估值破裂</w:t>
            </w:r>
          </w:p>
        </w:tc>
        <w:tc>
          <w:tcPr/>
          <w:p>
            <w:pPr>
              <w:pStyle w:val="Compact"/>
              <w:jc w:val="left"/>
            </w:pPr>
            <w:r>
              <w:rPr>
                <w:bCs/>
                <w:b/>
              </w:rPr>
              <w:t xml:space="preserve">中高</w:t>
            </w:r>
          </w:p>
        </w:tc>
        <w:tc>
          <w:tcPr/>
          <w:p>
            <w:pPr>
              <w:pStyle w:val="Compact"/>
              <w:jc w:val="left"/>
            </w:pPr>
            <w:r>
              <w:t xml:space="preserve">连续两季环比下滑、CAPEX下调</w:t>
            </w:r>
          </w:p>
        </w:tc>
        <w:tc>
          <w:tcPr/>
          <w:p>
            <w:pPr>
              <w:pStyle w:val="Compact"/>
              <w:jc w:val="left"/>
            </w:pPr>
            <w:r>
              <w:t xml:space="preserve">PE从50x压缩至30-35x</w:t>
            </w:r>
          </w:p>
        </w:tc>
        <w:tc>
          <w:tcPr/>
          <w:p>
            <w:pPr>
              <w:pStyle w:val="Compact"/>
              <w:jc w:val="left"/>
            </w:pPr>
            <w:r>
              <w:t xml:space="preserve">2026H2-2027</w:t>
            </w:r>
          </w:p>
        </w:tc>
        <w:tc>
          <w:tcPr/>
          <w:p>
            <w:pPr>
              <w:pStyle w:val="Compact"/>
              <w:jc w:val="left"/>
            </w:pPr>
            <w:r>
              <w:t xml:space="preserve">动态评估PE分位数，配置安全边际标的</w:t>
            </w:r>
          </w:p>
        </w:tc>
      </w:tr>
    </w:tbl>
    <w:p>
      <w:pPr>
        <w:pStyle w:val="BodyText"/>
      </w:pPr>
      <w:r>
        <w:t xml:space="preserve">上表揭示了光通信行业投资风险的三个结构性特征。</w:t>
      </w:r>
      <w:r>
        <w:rPr>
          <w:bCs/>
          <w:b/>
        </w:rPr>
        <w:t xml:space="preserve">第一，产业链传导风险具有最高破坏力但最低可控性</w:t>
      </w:r>
      <w:r>
        <w:t xml:space="preserve">——光芯片出口管制和地缘政治属于外部冲击，投资者几乎无法通过选股规避，只能通过配置国产替代标的进行对冲。</w:t>
      </w:r>
      <w:r>
        <w:rPr>
          <w:bCs/>
          <w:b/>
        </w:rPr>
        <w:t xml:space="preserve">第二，周期性风险是当前最紧迫的威胁</w:t>
      </w:r>
      <w:r>
        <w:t xml:space="preserve">——四大云厂商CAPEX/EBITDA已达62%</w:t>
      </w:r>
      <w:r>
        <w:t xml:space="preserve"> </w:t>
      </w:r>
      <w:fldSimple w:instr="NOTEREF _Ref_Footnote_210 \h \f">
        <w:r>
          <w:rPr>
            <w:vertAlign w:val="superscript"/>
          </w:rPr>
          <w:t>210</w:t>
        </w:r>
      </w:fldSimple>
      <w:r>
        <w:t xml:space="preserve">，距离历史警戒线70%仅有8个百分点的安全垫，而MIT研究显示95%组织AI零回报</w:t>
      </w:r>
      <w:r>
        <w:t xml:space="preserve"> </w:t>
      </w:r>
      <w:fldSimple w:instr="NOTEREF _Ref_Footnote_208 \h \f">
        <w:r>
          <w:rPr>
            <w:vertAlign w:val="superscript"/>
          </w:rPr>
          <w:t>208</w:t>
        </w:r>
      </w:fldSimple>
      <w:r>
        <w:t xml:space="preserve">意味着这一安全垫正在加速消耗。</w:t>
      </w:r>
      <w:r>
        <w:rPr>
          <w:bCs/>
          <w:b/>
        </w:rPr>
        <w:t xml:space="preserve">第三，客户集中度是行业基因层面的缺陷</w:t>
      </w:r>
      <w:r>
        <w:t xml:space="preserve">——在北美云厂商占据全球AI投资90%以上的格局下，客户分散化空间有限，只能通过仓位管理而非个股选择来应对。</w:t>
      </w:r>
    </w:p>
    <w:p>
      <w:pPr>
        <w:pStyle w:val="CaptionedFigure"/>
      </w:pPr>
      <w:r>
        <w:drawing>
          <wp:inline>
            <wp:extent cx="5334000" cy="3530514"/>
            <wp:effectExtent b="0" l="0" r="0" t="0"/>
            <wp:docPr descr="光通信行业投资风险矩阵" title="" id="128" name="Picture"/>
            <a:graphic>
              <a:graphicData uri="http://schemas.openxmlformats.org/drawingml/2006/picture">
                <pic:pic>
                  <pic:nvPicPr>
                    <pic:cNvPr descr="fig_sec06_risk_matrix.png" id="129" name="Picture"/>
                    <pic:cNvPicPr>
                      <a:picLocks noChangeArrowheads="1" noChangeAspect="1"/>
                    </pic:cNvPicPr>
                  </pic:nvPicPr>
                  <pic:blipFill>
                    <a:blip r:embed="rId127"/>
                    <a:stretch>
                      <a:fillRect/>
                    </a:stretch>
                  </pic:blipFill>
                  <pic:spPr bwMode="auto">
                    <a:xfrm>
                      <a:off x="0" y="0"/>
                      <a:ext cx="5334000" cy="3530514"/>
                    </a:xfrm>
                    <a:prstGeom prst="rect">
                      <a:avLst/>
                    </a:prstGeom>
                    <a:noFill/>
                    <a:ln w="9525">
                      <a:noFill/>
                      <a:headEnd/>
                      <a:tailEnd/>
                    </a:ln>
                  </pic:spPr>
                </pic:pic>
              </a:graphicData>
            </a:graphic>
          </wp:inline>
        </w:drawing>
      </w:r>
    </w:p>
    <w:p>
      <w:pPr>
        <w:pStyle w:val="ImageCaption"/>
      </w:pPr>
      <w:r>
        <w:t xml:space="preserve">光通信行业投资风险矩阵</w:t>
      </w:r>
    </w:p>
    <w:p>
      <w:pPr>
        <w:pStyle w:val="BodyText"/>
      </w:pPr>
      <w:r>
        <w:t xml:space="preserve">气泡大小代表风险可控性（越大越不可控）。风险矩阵清晰显示，产业链传导与周期性风险占据了右上象限（高概率-高影响），是需要优先应对的核心风险；技术路线替代风险整体位于中风险区域，短期可控；客户集中度风险虽然概率极高（已存在），但其影响可通过龙头选择部分对冲。</w:t>
      </w:r>
    </w:p>
    <w:bookmarkEnd w:id="130"/>
    <w:bookmarkStart w:id="131" w:name="风险与机遇并存的展望"/>
    <w:p>
      <w:pPr>
        <w:pStyle w:val="Heading3"/>
      </w:pPr>
      <w:r>
        <w:t xml:space="preserve">6.6 风险与机遇并存的展望</w:t>
      </w:r>
    </w:p>
    <w:p>
      <w:pPr>
        <w:pStyle w:val="FirstParagraph"/>
      </w:pPr>
      <w:r>
        <w:t xml:space="preserve">站在2025年中期的时点，光通信行业正经历一个独特的”确定性窗口”与”不确定性积累”并存的阶段。短期（2025-2026年），800G/1.6T光模块供不应求，龙头厂商订单饱满，业绩高增长在未来18个月内具有可见性</w:t>
      </w:r>
      <w:r>
        <w:t xml:space="preserve"> </w:t>
      </w:r>
      <w:fldSimple w:instr="NOTEREF _Ref_Footnote_212 \h \f">
        <w:r>
          <w:rPr>
            <w:vertAlign w:val="superscript"/>
          </w:rPr>
          <w:t>212</w:t>
        </w:r>
      </w:fldSimple>
      <w:r>
        <w:t xml:space="preserve">。但投资者需要清醒地认识到：这一确定性是建立在云厂商CAPEX处于历史极限水平</w:t>
      </w:r>
      <w:r>
        <w:t xml:space="preserve"> </w:t>
      </w:r>
      <w:fldSimple w:instr="NOTEREF _Ref_Footnote_210 \h \f">
        <w:r>
          <w:rPr>
            <w:vertAlign w:val="superscript"/>
          </w:rPr>
          <w:t>210</w:t>
        </w:r>
      </w:fldSimple>
      <w:r>
        <w:t xml:space="preserve">、AI商业化回报严重滞后</w:t>
      </w:r>
      <w:r>
        <w:t xml:space="preserve"> </w:t>
      </w:r>
      <w:fldSimple w:instr="NOTEREF _Ref_Footnote_208 \h \f">
        <w:r>
          <w:rPr>
            <w:vertAlign w:val="superscript"/>
          </w:rPr>
          <w:t>208</w:t>
        </w:r>
      </w:fldSimple>
      <w:r>
        <w:t xml:space="preserve">的基础之上的。</w:t>
      </w:r>
    </w:p>
    <w:p>
      <w:pPr>
        <w:pStyle w:val="BodyText"/>
      </w:pPr>
      <w:r>
        <w:t xml:space="preserve">中长期（2027-2030年），行业将面临多重风险的叠加考验。最可能的演进路径是：</w:t>
      </w:r>
      <w:r>
        <w:rPr>
          <w:bCs/>
          <w:b/>
        </w:rPr>
        <w:t xml:space="preserve">云厂商CAPEX在2027年后温和收缩（而非断崖式下跌）</w:t>
      </w:r>
      <w:r>
        <w:t xml:space="preserve">——资本开支增速从当前的60%+回落至15%-20%</w:t>
      </w:r>
      <w:r>
        <w:t xml:space="preserve"> </w:t>
      </w:r>
      <w:fldSimple w:instr="NOTEREF _Ref_Footnote_206 \h \f">
        <w:r>
          <w:rPr>
            <w:vertAlign w:val="superscript"/>
          </w:rPr>
          <w:t>206</w:t>
        </w:r>
      </w:fldSimple>
      <w:r>
        <w:t xml:space="preserve">，与LightCounting预测的同期行业增速相匹配。在这一情景下，龙头厂商凭借产品结构和规模效应仍可维持正增长，但二线厂商将面临残酷的价格战与产能出清，行业CR3（前三家集中度）有望从70%进一步提升至80%以上</w:t>
      </w:r>
      <w:r>
        <w:t xml:space="preserve"> </w:t>
      </w:r>
      <w:fldSimple w:instr="NOTEREF _Ref_Footnote_177 \h \f">
        <w:r>
          <w:rPr>
            <w:vertAlign w:val="superscript"/>
          </w:rPr>
          <w:t>177</w:t>
        </w:r>
      </w:fldSimple>
      <w:r>
        <w:t xml:space="preserve">。CPO不会在短期内颠覆可插拔模块——英伟达GTC 2026已确认两者将长期共存</w:t>
      </w:r>
      <w:r>
        <w:t xml:space="preserve"> </w:t>
      </w:r>
      <w:fldSimple w:instr="NOTEREF _Ref_Footnote_12 \h \f">
        <w:r>
          <w:rPr>
            <w:vertAlign w:val="superscript"/>
          </w:rPr>
          <w:t>12</w:t>
        </w:r>
      </w:fldSimple>
      <w:r>
        <w:t xml:space="preserve">，摩根士丹利预测的2027年11%替代率</w:t>
      </w:r>
      <w:r>
        <w:t xml:space="preserve"> </w:t>
      </w:r>
      <w:fldSimple w:instr="NOTEREF _Ref_Footnote_11 \h \f">
        <w:r>
          <w:rPr>
            <w:vertAlign w:val="superscript"/>
          </w:rPr>
          <w:t>11</w:t>
        </w:r>
      </w:fldSimple>
      <w:r>
        <w:t xml:space="preserve">与CPO当前50%-55%的良率</w:t>
      </w:r>
      <w:r>
        <w:t xml:space="preserve"> </w:t>
      </w:r>
      <w:fldSimple w:instr="NOTEREF _Ref_Footnote_55 \h \f">
        <w:r>
          <w:rPr>
            <w:vertAlign w:val="superscript"/>
          </w:rPr>
          <w:t>55</w:t>
        </w:r>
      </w:fldSimple>
      <w:r>
        <w:t xml:space="preserve">相匹配，可插拔模块的生命周期至少延伸至2029-2030年。</w:t>
      </w:r>
    </w:p>
    <w:p>
      <w:pPr>
        <w:pStyle w:val="BodyText"/>
      </w:pPr>
      <w:r>
        <w:t xml:space="preserve">光芯片国产替代是未来3-5年最具确定性的结构性机会。当前高端光芯片产能缺口达25%-30%</w:t>
      </w:r>
      <w:r>
        <w:t xml:space="preserve"> </w:t>
      </w:r>
      <w:fldSimple w:instr="NOTEREF _Ref_Footnote_36 \h \f">
        <w:r>
          <w:rPr>
            <w:vertAlign w:val="superscript"/>
          </w:rPr>
          <w:t>36</w:t>
        </w:r>
      </w:fldSimple>
      <w:r>
        <w:t xml:space="preserve">，为国内厂商提供了至少1-2年的战略窗口期。但投资者需要以”十年维度”的耐心看待这一主题——MOCVD设备的国产化瓶颈</w:t>
      </w:r>
      <w:r>
        <w:t xml:space="preserve"> </w:t>
      </w:r>
      <w:fldSimple w:instr="NOTEREF _Ref_Footnote_52 \h \f">
        <w:r>
          <w:rPr>
            <w:vertAlign w:val="superscript"/>
          </w:rPr>
          <w:t>52</w:t>
        </w:r>
      </w:fldSimple>
      <w:r>
        <w:t xml:space="preserve">、电子束光刻机的交货周期超1年</w:t>
      </w:r>
      <w:r>
        <w:t xml:space="preserve"> </w:t>
      </w:r>
      <w:fldSimple w:instr="NOTEREF _Ref_Footnote_51 \h \f">
        <w:r>
          <w:rPr>
            <w:vertAlign w:val="superscript"/>
          </w:rPr>
          <w:t>51</w:t>
        </w:r>
      </w:fldSimple>
      <w:r>
        <w:t xml:space="preserve">、以及每批产品需单独认证的扩产限制</w:t>
      </w:r>
      <w:r>
        <w:t xml:space="preserve"> </w:t>
      </w:r>
      <w:fldSimple w:instr="NOTEREF _Ref_Footnote_97 \h \f">
        <w:r>
          <w:rPr>
            <w:vertAlign w:val="superscript"/>
          </w:rPr>
          <w:t>97</w:t>
        </w:r>
      </w:fldSimple>
      <w:r>
        <w:t xml:space="preserve">，决定了这不是一个可以快速兑现的投资逻辑。</w:t>
      </w:r>
    </w:p>
    <w:p>
      <w:pPr>
        <w:pStyle w:val="BodyText"/>
      </w:pPr>
      <w:r>
        <w:t xml:space="preserve">对于二级买方投资者，我们建议建立以”CAPEX领先指标+PE分位数”为核心的动态风控体系：当云厂商CAPEX/EBITDA超过70%或通信板块PE突破55x时，采取防御性仓位；当两个指标同时发出信号时，果断降低光通信板块暴露。同时，将持仓向具备”全路线布局”能力的龙头集中——在行业面临多重风险叠加的环境中，技术储备的深度和客户关系的广度，将成为区分幸存者与被出清者的关键变量。</w:t>
      </w:r>
    </w:p>
    <w:bookmarkEnd w:id="131"/>
    <w:bookmarkEnd w:id="132"/>
    <w:bookmarkEnd w:id="1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introl.com. https://introl.com/blog/gpu-cluster-network-topology-fat-tree-dragonfly-rail-optimized-2025</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虎嗅网. https://www.huxiu.com/article/4767647.html?f=rss</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ZTE. https://www.zte.com.cn/content/zte-site/www-zte-com-cn/global/about/magazine/zte-technologies/2026/special-topic--full-band-otn-/special-topic--full-band-otn/ultra-high-speed-optical-transmission-standards.html</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Fortune Business Insights. https://www.fortunebusinessinsights.com/zh/optical-interconnect-market-110836</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sina.com.cn. http://money.finance.sina.com.cn/corp/view/vCB_AllBulletinDetail.php?stockid=603083&amp;id=12037808</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雪球. https://xueqiu.com/4937230942/351323404</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中金在线财经号. http://mp.cnfol.com/57061/article/1776848838-142376208.html</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思瀚产业研究院. http://www.chinasihan.com/news/cykj/25720.html</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PatSnap. https://www.patsnap.com/fr/resources/blog/articles/broadcom-vs-marvell-ai-chip-patents-250-filings-analyzed/</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百度. http://www.baidu.com/link?url=_Vcsgo30h_U6roQtk5XVrF_2iKoup1Xd6FWVEiqYEiBgEcW7KV0n3HlF0CX2NNHiIq9NNe_u33LE1rywZKOAB_</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eastmoney.com. https://emcreative.eastmoney.com/app_fortune/article/index.html?artCode=20250301113454527259330&amp;postId=1522762047</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财新网. https://database.caixin.com/2026-04-13/102433289.html?originReferrer=kimi</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讯石光通讯网. http://www.iccsz.com/site/cn/News/2026/02/03/20260203102046184073.htm</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财新网. https://database.caixin.com/2026-05-02/102440159.html?originReferrer=kimi</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微信公众号(天马锦行空). http://mp.weixin.qq.com/s?__biz=MzIxODY3NTI1MQ==&amp;mid=2247483906&amp;idx=1&amp;sn=bb0ca925875a599bf631bacfb7b2fdc8</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微信公众号(未尽研究). http://mp.weixin.qq.com/s?__biz=MzkzMzI2ODAyNQ==&amp;mid=2247491441&amp;idx=1&amp;sn=d080b502bff3757d634d64f5f618dd78</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萝卜投研. https://m-robo.datayes.com/feed/detail?id=540283</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雪球. https://xueqiu.com/1165976883/367367998</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激光制造网. https://www.laserfair.com/mobile/news/202512/05/89640.html</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Atlas Peak Research. https://www.atlaspeakresearch.com/report/66ebb8</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knowmade.com. https://www.knowmade.com/wp-content/uploads/2026/01/CPO-and-Optical-Interconnects-Patent-Landscape-2026-SAMPLE.pdf</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TradingView. https://cn.tradingview.com/news/reuters.com,2025:newsml_L6S3SU0DR:0/</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dfcfw.com. https://pdf.dfcfw.com/pdf/H3_AP202406091635914020_1.pdf</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新浪财经. https://finance.sina.com.cn/stock/relnews/cn/2025-09-18/doc-infqxfim0669890.shtml</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sina.com.cn. https://vip.stock.finance.sina.com.cn/corp/view/vCB_AllBulletinDetail.php?stockid=300308&amp;id=12041853</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introl.com. https://introl.com/blog/fiber-optics-data-center-state-of-art-optical-interconnect-2025</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手机新浪网. https://www.sina.cn/news/detail/5296690752130205.html</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讯石光通讯网. http://www.iccsz.com/4g/News.Asp?ID=f81a9d3548044ce69626481d66a67115</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微信公众号(架构师技术联盟). http://mp.weixin.qq.com/s?__biz=MzAxNzU3NjcxOA==&amp;mid=2650760640&amp;idx=1&amp;sn=6753c03c3876b8f2207873cd0b2752a4</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维科号. https://mp.ofweek.com/xincailiao/a856714812647</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雪球. https://xueqiu.com/3774435124/342658689</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dfcfw.com. https://pdf.dfcfw.com/pdf/H3_AP202602261820071522_1.pdf</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新浪财经. https://finance.sina.com.cn/stock/zqgd/2026-03-24/doc-inhsarqu1718973.shtml?froms=ggmp</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布乐秀攻略网. https://www.bulexiu.com/n/31454.html</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21经济网. https://www.21jingji.com/article/20260426/herald/0ff757f5aab52999102170fe4df55fb7.html</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新浪财经. https://finance.sina.cn/stock/jdts/2026-03-18/detail-inhrknay3397194.d.html?oid=%E5%B0%8F%E7%A8%8B%E5%BA%8F%E4%B8%8E%E5%BE%AE%E4%BF%A1%E7%BE%A4%E4%BA%A4%E4%BA%92%E3%80%8C%E9%9C%80%E8%A6%81%E8%81%94%E7%B3%BBTG:@HHCH8%E6%92%9E%E5%BA%93%E6%95%B0%E6%8D%AE%E6%B8%97%E9%80%8F%E6%95%B0%E6%8D%AE%E6%B5%B7%E5%A4%96%E6%94%AF%E4%BB%98%E9%80%9A%E9%81%93%E3%80%8D%E6%B8%97%E9%80%8F%E4%BF%9D%E5%AD%98%E6%B3%95%E7%94%A8%E4%BA%8E%E4%BF%9D%E5%AD%98%E4%BB%80%E4%B9%88%E9%A3%9F%E7%89%A9%E4%B8%AD%E3%80%8E%E9%9C%80%E8%A6%81%E8%81%94%E7%B3%BBTG:@HHCH8%E6%92%9E%E5%BA%93%E6%95%B0%E6%8D%AE%E6%B8%97%E9%80%8F%E6%95%B0%E6%8D%AE%E6%B5%B7%E5%A4%96%E6%94%AF%E4%BB%98%E9%80%9A%E9%81%93%E3%80%8F%E4%BA%9A%E9%A9%AC%E9%80%8A%E5%8D%96%E5%AE%B6%E4%B8%9A%E7%BB%A9%E2%97%A2%E9%9C%80%E8%A6%81%E8%81%94%E7%B3%BBTG:@HHCH8%E6%92%9E%E5%BA%93%E6%95%B0%E6%8D%AE%E6%B8%97%E9%80%8F%E6%95%B0%E6%8D%AE%E6%B5%B7%E5%A4%96%E6%94%AF%E4%BB%98%E9%80%9A%E9%81%93%E2%97%A3b1nS&amp;vt=4</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trendforce.com. https://www.trendforce.com/insights/infiniband-vs-ethernet</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adtran.com. https://www.blog.adtran.com/en/is-hollow-core-fiber-ready-for-real-world-networks</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英为财情. https://cn.investing.com/news/stock-market-news/article-2772838</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界面新闻. https://m.jiemian.com/article/14347349.html</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讯石光通讯网. http://www.iccsz.com/4g/news.Asp?ID=0b35ad4f3045480987e53fc655237a37</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eastmoney.com. https://emcreative.eastmoney.com/app_fortune/article/index.html?artCode=20251020023329353113680&amp;postId=1612486038</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讯石光通讯网. http://www.iccsz.com/4g/news.Asp?ID=2edfa706da2d4c9f8ae79a2d91171fbc</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电子工程专辑 EE Times China. https://www.eet-china.com/news/202509235857.html</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dfcfw.com. https://pdf.dfcfw.com/pdf/H3_AP202511151781882753_1.pdf?1763287869000.pdf</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dfcfw.com. https://pdf.dfcfw.com/pdf/H3_AP202602261820053913_1.pdf?1772103311000.pdf</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新浪. https://k.sina.com.cn/article_7857201856_1d45362c0019047sc2.html</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微信公众号(汇金洞见). http://mp.weixin.qq.com/s?__biz=MzA5NjYyNDQwMQ==&amp;mid=2650361154&amp;idx=1&amp;sn=4a92d2c64c37d41f7124d04f301cd064</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dfcfw.com. https://pdf.dfcfw.com/pdf/H3_AP202603161820571607_1.pdf</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微信公众号(洞察3C前沿). http://mp.weixin.qq.com/s?__biz=MzU0Nzc1NzcwOA==&amp;mid=2247494407&amp;idx=2&amp;sn=d8244055c2735f994813c6de5fdce446</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雪球. https://xueqiu.com/1702057262/384799627/403681931</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dfcfw.com. https://pdf.dfcfw.com/pdf/H3_AP202409121639858954_1.pdf?1726178749000.pdf</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东方财富网. https://wap.eastmoney.com/a/202605123734356154.html</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微信公众号(老赵的投资札记). http://mp.weixin.qq.com/s?__biz=MzkxNDg3NzY0Nw==&amp;mid=2247487969&amp;idx=1&amp;sn=4db1a9adae398e1d38bb1474b7be4c17</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搜狐. https://www.sohu.com/a/1011337689_122510036</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雪球. https://xueqiu.com/6625297906/375721568</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手机新浪网. https://www.sina.cn/news/detail/5289485035378195.html</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SemiAnalysis. https://newsletter.semianalysis.com/p/co-packaged-optics-cpo-book-scaling</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36氪. http://www.36kr.com/p/3770700422775552</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财新网. https://science.caixin.com/2024-02-27/102169392.html?originReferrer=kimi</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华尔街见闻. https://wallstreetcn.com/articles/3770454</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讯石光通讯网. http://www.iccsz.com/4g/news.Asp?ID=f0f8a9a38a844c95b933db8798d0e1f2</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dfcfw.com. https://pdf.dfcfw.com/pdf/H3_AP202604021820983821_1.pdf?1775150811000.pdf</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雪球. https://xueqiu.com/6679730383/382637765</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新浪财经. https://finance.sina.cn/tech/2026-05-09/detail-inhxhuvi3473582.d.html?oid=WA%200859%203970%200884%20Layanan%20Pembuatan%20Pintu%20Aluminium%20Hitam%20Terpercaya%20Pleret%20Bantul&amp;vt=4</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雪球. https://xueqiu.com/3946267131/362451275</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新浪财经. https://finance.sina.com.cn/roll/2025-04-14/doc-inetcuqq9270444.shtml?froms=ggmp</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电子工程专辑 EE Times China. https://www.eet-china.com/mp/a494228.html</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雪球. https://xueqiu.com/1290568231/351381465</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微信公众号(中商产业研究院). http://mp.weixin.qq.com/s?__biz=MzI4NTA5ODgzMA==&amp;mid=2651383227&amp;idx=1&amp;sn=b20e23118c852eee4eed428d9a3ee697</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今日头条. https://www.toutiao.com/article/7600060393372926516/</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虎嗅网. https://www.huxiu.com/article/4851505.html</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dfcfw.com. https://pdf.dfcfw.com/pdf/H3_AP202510141762072515_1.pdf?1760474078000.pdf</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东方财富网股吧. https://guba.eastmoney.com/news,603306,1558017537.html</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手机鳳凰網. https://ishare.ifeng.com/c/s/v002sdzM9G--EaQ5QswKCEi5-_oqT8iZVc2GLrrUpRcVLGcrQ__</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智研咨询. https://www.chyxx.com/industry/1244312.html</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微信公众号(深空投资Pro). http://mp.weixin.qq.com/s?__biz=MzkzMDQzNzA0NA==&amp;mid=2247492062&amp;idx=1&amp;sn=d2170d4f4a2dc467518fa9480357303a</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中华全国工商业联合会. https://www.acfic.org.cn/szyw/202507/t20260410_661415.html</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新浪财经. https://finance.sina.com.cn/stock/t/2026-04-30/doc-inhwhenh6268513.shtml?froms=ggmp</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fierce-network.com. https://www.fierce-network.com/cloud/ocs-tech-about-upend-data-center-switch-market-0</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dfcfw.com. https://pdf.dfcfw.com/pdf/H3_AP202510081758367754_1.pdf?1759994043000.pdf</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cnstock.com. https://m.cnstock.com/commonDetail/609491</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凌云光. https://www.lusterinc.com/%E6%8A%A5%E5%91%8A%E8%A7%A3%E8%AF%BB-%E4%BB%8E%E6%A8%A1%E5%9D%97%E5%88%B0%E5%B0%81%E8%A3%85%EF%BC%8C%E4%B8%80%E6%96%87%E7%9C%8B%E6%87%82%E6%99%BA%E7%AE%97%E4%B8%AD%E5%BF%83%E5%85%89/</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与非网. https://www.eefocus.com/article/1871886.html</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商业新知. https://www.shangyexinzhi.com/article/28595399.html</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eastmoney.com. https://emcreative.eastmoney.com/app_fortune/article/index.html?artCode=20250910065612001152710&amp;postId=1597370315</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与非网. https://www.eefocus.com/article/1931170.html</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etulink.com. https://www.etulink.com/blog/ai%E5%AF%B9%E5%85%89%E6%A8%A1%E5%9D%97%E5%B8%82%E5%9C%BA%E7%9A%84%E5%BD%B1%E5%93%8D%E5%88%86%E6%9E%90_b1077</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东方财富网股吧. https://guba.eastmoney.com/news,of006503,1695384199.html</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华盛通. https://www.hstong.com/news/detail/24080308294076972</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腾讯新闻. https://view.inews.qq.com/a/20260408A059DN00</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nda.gov.cn. https://www.nda.gov.cn/sjj/jgsz/jld/llh/llhldhd/0323/20260323202204680553721_pc.html</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微信公众号(红绿柱状图). http://mp.weixin.qq.com/s?__biz=MzE5ODIxNDMzMA==&amp;mid=2247484049&amp;idx=2&amp;sn=b16bbaa831bf1dcf06e27ec8e49023e9</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腾讯网. https://news.qq.com/rain/a/20260330A08HNH00</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新浪财经. https://finance.sina.cn/stock/ssgs/2025-12-17/detail-inhcazqc2251247.d.html?vt=4</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datainsightsmarket.com. https://www.datainsightsmarket.com/reports/pam4-optical-dsp-460842</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新浪财经. https://finance.sina.com.cn/roll/2025-11-06/doc-infwmrcc5760061.shtml</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百度. http://www.baidu.com/link?url=OfL_kafElwFbgLaUlTOA9pTEW-vWR13T9XcIJH-kLzK_WRBqamcRuwdiNJGWjde-NDFeyBDij9xqfGUzDeo4gq</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手机新浪网. https://www.sina.cn/news/detail/5293196914724639.html</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腾讯网. https://news.qq.com/rain/a/20250709A0238A00</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lovechip.com. https://www.lovechip.com/blog/silicon-photonic-packaging-technology</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财联社. https://www.cls.cn/detail/2045296</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为独立思考而生的金融AI Agent. https://www.gilin.com.cn/essence0904864.html</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雪球. https://xueqiu.com/9809676689/325036326</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9fzt.com. https://www.9fzt.com/detail/sz_399620_1_123539130048413.html</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千家网. https://www.qianjia.com/html/2026-01/22_422652.html</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iim.net.cn. https://www.iim.net.cn/2358/view-79693-1.html</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手机新浪网. https://www.sina.cn/news/detail/5294393339937332.html</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新浪财经. https://finance.sina.com.cn/stock/relnews/cn/2026-03-24/doc-inhrzysw0587874.shtml</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雪球. https://xueqiu.com/5672579962/351750243</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华经情报网. https://www.huaon.com/channel/trend/1159323.html</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新浪财经. https://finance.sina.com.cn/stock/relnews/cn/2025-11-27/doc-infyuwaq9594409.shtml</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钛媒体. https://www.tmtpost.com/7968936.html</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同花顺财经. https://news.10jqka.com.cn/deep-topic/topic/dt_01KRDDS86W6QV75W4P12RTQVW7</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dfcfw.com. https://pdf.dfcfw.com/pdf/H3_AP202512241807012890_1.pdf?1766586876000.pdf</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讯石光通讯网. http://www.iccsz.com/4g/news.Asp?ID=342b8e04e1ad4f0da10e5cb3d9fa8247</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讯石光通讯网. http://www.iccsz.com/site/cn/News/2026/03/19/20260319071453733788.htm</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讯石光通讯网. http://www.iccsz.com/4g/News.Asp?ID=b186fe4ae985436eaaf71ae2438bb745</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第一财经. https://www.yicai.com/news/103137313.html</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雪球. http://xueqiu.com/6917667845/352252949</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21经济网. https://www.21jingji.com/article/20260418/herald/19e69ff9bbb0bd180a199e60b84d1e01.html</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新浪财经. https://finance.sina.com.cn/tech/roll/2026-04-24/doc-inhvpyyq3281492.shtml</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财新网. https://weekly.caixin.com/2026-04-30/102439492.html?originReferrer=kimi</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微信公众号(科创板日报). http://mp.weixin.qq.com/s?__biz=Mzg4MTEyNzc4Mg==&amp;mid=2247608181&amp;idx=4&amp;sn=915dccb37d7da7b553211e75f056a995</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中国日报网. https://aigc.idigital.com.cn/djyanbao/%E3%80%90%E6%B0%91%E7%94%9F%E8%AF%81%E5%88%B8%E3%80%91%E5%85%89%E8%BF%85%E7%A7%91%E6%8A%80%EF%BC%88002281%EF%BC%89%EF%BC%9A%E6%B7%B1%E5%BA%A6%E6%8A%A5%E5%91%8A%EF%BC%9A%E5%8D%A7%E8%96%AA%E5%B0%9D%E8%83%86%EF%BC%8C%E5%85%89%E9%80%9A%E4%BF%A1%E5%9E%82%E7%9B%B4%E4%B8%80%E4%BD%93%E5%8C%96%E9%BE%99%E5%A4%B4%E5%86%8D%E8%B5%B7%E8%88%AA-2024-08-20.pdf</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价值大师网. https://www.gurufocus.cn/stock/SZSE:300502/term/forwardPE</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财联社. https://www.cls.cn/detail/2353950</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sina.com.cn. https://money.finance.sina.com.cn/corp/view/vCB_AllBulletinDetail.php?stockid=002281&amp;id=12145451</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Acacia Communications Inc.. https://acacia-inc.com/blog/three-main-benefits-of-opto-electronic-integration-and-co-packaging/</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GISCafe. https://giscafe.com/nbc/articles/1/2029940/MaxLinear-announces-5nm-CMOS-PAM4-DSP-with-integrated-VCSEL-drivers-800G-400G-Multimode-short-reach-optical-modules-Active-Optical-Cables-AOC</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MarketBeat. https://www.marketbeat.com/instant-alerts/maxlinear-q1-earnings-call-highlights-2026-04-23/</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格隆汇. https://m.gelonghui.com/p/3206949</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新浪财经网. https://cj.sina.com.cn/articles/view/7857201856/1d45362c001904id46?froms=ggmp</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华工科技. https://www.hgtech.com.cn/mtjj/4316.jhtml</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网易. https://www.163.com/dy/article/KSD1F8R805568W0A.html</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证券时报官方网站. https://www.stcn.com/article/detail/3823289.html</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讯石光通讯网. http://www.iccsz.com/4g/News.Asp?ID=968cf47a58a743fdad8ad8e620a178c5</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sina.com.cn. http://money.finance.sina.com.cn/corp/view/vCB_AllBulletinDetail.php?stockid=688205&amp;id=12048381</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雪球. https://xueqiu.com/4176577233/351524905</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什么值得买. https://post.smzdm.com/p/arz42ddg</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nvidia.cn. https://images.nvidia.cn/aem-dam/zh_cn/Solutions/networking/products/silicon-photonics/IDC-CHC52899425-CPO.pdf</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微信公众号(散散散散啊). http://mp.weixin.qq.com/s?__biz=MzkyMzI4MDUyMQ==&amp;mid=2247484502&amp;idx=1&amp;sn=71cf2c3d36a3beea9e1556be152a81e5</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新浪财经. https://stock.finance.sina.com.cn/stock/go.php/vReport_Show/kind/industry/rptid/821121720273/index.phtml</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20231208180421-931079_Index_Methodology_cn.pdf. chrome-extension://gpkoddcemgbmajecfkkolkgfcchmfpge/https://oss-ch.csindex.com.cn/static/html/csindex/public/uploads/indices/detail/files/zh_CN/20231208180421-931079_Index_Methodology_cn.pdf</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新浪. https://k.sina.com.cn/article_5953466437_162dab0450670afdcc.html?cre=tianyi&amp;loc=9&amp;mod=pcpager_news&amp;r=0&amp;rfunc=51&amp;tj=cxvertical_pc_pager_news&amp;tr=174</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dfcfw.com. https://pdf.dfcfw.com/pdf/H22_AN202604291821749789_1.pdf</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新浪财经. https://finance.sina.com.cn/jjxw/2026-05-13/doc-inhxtkrt4624557.shtml</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同花顺. https://m.10jqka.com.cn/20260512/c676629929.shtml</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新浪财经. https://finance.sina.com.cn/jjxw/2026-05-11/doc-inhxphzk2254419.shtml</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腾讯新闻. https://view.inews.qq.com/a/20260429A044L300</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finet.com.cn. https://www.finet.com.cn/news/69f2d20065c95112e0089e41.html</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中证网. https://www.cs.com.cn/tzjj/etf/2026/04/23/detail_2026042310006347.html</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讯石光通讯网. http://www.iccsz.com/site/cn/News/2025/06/03/20250603013212170772.htm</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GIGALIGHT. https://www.gigalight.com/news-events/insights-8540.html</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网易. https://www.163.com/dy/article/KRHJEHI50519QIKK.html</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sina.cn. https://cj.sina.cn/articles/view/5182171545/134e1a99902002evbk?froms=ggmp&amp;vt=4</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sina.com.cn. http://money.finance.sina.com.cn/corp/view/vCB_AllBulletinDetail.php?stockid=300502&amp;id=12173345</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东方财富网. https://data.eastmoney.com/gzfx/detail/300308.html</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中财网. https://quote.cfi.cn/quote_300502.html</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价值大师网. https://www.gurufocus.cn/stock/SZSE:300502/term/pettm</w:t>
      </w:r>
      <w:bookmarkEnd w:id="10160"/>
    </w:p>
  </w:footnote>
  <w:footnote w:id="161">
    <w:p>
      <w:pPr>
        <w:pStyle w:val="FootnoteText"/>
        <w:spacing w:before="0" w:after="0" w:line="200" w:lineRule="exact"/>
      </w:pPr>
      <w:bookmarkStart w:id="10161" w:name="_Ref_Footnote_161"/>
      <w:r>
        <w:rPr>
          <w:rStyle w:val="FootnoteReference"/>
          <w:vertAlign w:val="superscript"/>
        </w:rPr>
        <w:footnoteRef/>
      </w:r>
      <w:r>
        <w:rPr>
          <w:sz w:val="18"/>
          <w:szCs w:val="18"/>
        </w:rPr>
        <w:t xml:space="preserve"> 网易. http://163.com/dy/article/K6PA4SN7051984TV.html</w:t>
      </w:r>
      <w:bookmarkEnd w:id="10161"/>
    </w:p>
  </w:footnote>
  <w:footnote w:id="162">
    <w:p>
      <w:pPr>
        <w:pStyle w:val="FootnoteText"/>
        <w:spacing w:before="0" w:after="0" w:line="200" w:lineRule="exact"/>
      </w:pPr>
      <w:bookmarkStart w:id="10162" w:name="_Ref_Footnote_162"/>
      <w:r>
        <w:rPr>
          <w:rStyle w:val="FootnoteReference"/>
          <w:vertAlign w:val="superscript"/>
        </w:rPr>
        <w:footnoteRef/>
      </w:r>
      <w:r>
        <w:rPr>
          <w:sz w:val="18"/>
          <w:szCs w:val="18"/>
        </w:rPr>
        <w:t xml:space="preserve"> 英为财情. https://cn.investing.com/equities/eoptolink-tech</w:t>
      </w:r>
      <w:bookmarkEnd w:id="10162"/>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新浪财经. https://finance.sina.com.cn/roll/2025-11-11/doc-infwyyuf0656596.shtml</w:t>
      </w:r>
      <w:bookmarkEnd w:id="10163"/>
    </w:p>
  </w:footnote>
  <w:footnote w:id="164">
    <w:p>
      <w:pPr>
        <w:pStyle w:val="FootnoteText"/>
        <w:spacing w:before="0" w:after="0" w:line="200" w:lineRule="exact"/>
      </w:pPr>
      <w:bookmarkStart w:id="10164" w:name="_Ref_Footnote_164"/>
      <w:r>
        <w:rPr>
          <w:rStyle w:val="FootnoteReference"/>
          <w:vertAlign w:val="superscript"/>
        </w:rPr>
        <w:footnoteRef/>
      </w:r>
      <w:r>
        <w:rPr>
          <w:sz w:val="18"/>
          <w:szCs w:val="18"/>
        </w:rPr>
        <w:t xml:space="preserve"> dfcfw.com. https://pdf.dfcfw.com/pdf/H3_AP202602101819851824_1.pdf</w:t>
      </w:r>
      <w:bookmarkEnd w:id="10164"/>
    </w:p>
  </w:footnote>
  <w:footnote w:id="165">
    <w:p>
      <w:pPr>
        <w:pStyle w:val="FootnoteText"/>
        <w:spacing w:before="0" w:after="0" w:line="200" w:lineRule="exact"/>
      </w:pPr>
      <w:bookmarkStart w:id="10165" w:name="_Ref_Footnote_165"/>
      <w:r>
        <w:rPr>
          <w:rStyle w:val="FootnoteReference"/>
          <w:vertAlign w:val="superscript"/>
        </w:rPr>
        <w:footnoteRef/>
      </w:r>
      <w:r>
        <w:rPr>
          <w:sz w:val="18"/>
          <w:szCs w:val="18"/>
        </w:rPr>
        <w:t xml:space="preserve"> 新浪财经. https://finance.sina.cn/stock/ggyj/2026-04-30/detail-inhwfpqn7249750.d.html?oid=3771859693201333&amp;vt=4&amp;wm=3295</w:t>
      </w:r>
      <w:bookmarkEnd w:id="10165"/>
    </w:p>
  </w:footnote>
  <w:footnote w:id="166">
    <w:p>
      <w:pPr>
        <w:pStyle w:val="FootnoteText"/>
        <w:spacing w:before="0" w:after="0" w:line="200" w:lineRule="exact"/>
      </w:pPr>
      <w:bookmarkStart w:id="10166" w:name="_Ref_Footnote_166"/>
      <w:r>
        <w:rPr>
          <w:rStyle w:val="FootnoteReference"/>
          <w:vertAlign w:val="superscript"/>
        </w:rPr>
        <w:footnoteRef/>
      </w:r>
      <w:r>
        <w:rPr>
          <w:sz w:val="18"/>
          <w:szCs w:val="18"/>
        </w:rPr>
        <w:t xml:space="preserve"> I/O Fund. https://io-fund.com/ai-stocks/nvidia-4b-optical-strategy-cpo-ai-data-centers</w:t>
      </w:r>
      <w:bookmarkEnd w:id="10166"/>
    </w:p>
  </w:footnote>
  <w:footnote w:id="167">
    <w:p>
      <w:pPr>
        <w:pStyle w:val="FootnoteText"/>
        <w:spacing w:before="0" w:after="0" w:line="200" w:lineRule="exact"/>
      </w:pPr>
      <w:bookmarkStart w:id="10167" w:name="_Ref_Footnote_167"/>
      <w:r>
        <w:rPr>
          <w:rStyle w:val="FootnoteReference"/>
          <w:vertAlign w:val="superscript"/>
        </w:rPr>
        <w:footnoteRef/>
      </w:r>
      <w:r>
        <w:rPr>
          <w:sz w:val="18"/>
          <w:szCs w:val="18"/>
        </w:rPr>
        <w:t xml:space="preserve"> 腾讯新闻. https://view.inews.qq.com/a/20260111A02TMM00</w:t>
      </w:r>
      <w:bookmarkEnd w:id="10167"/>
    </w:p>
  </w:footnote>
  <w:footnote w:id="168">
    <w:p>
      <w:pPr>
        <w:pStyle w:val="FootnoteText"/>
        <w:spacing w:before="0" w:after="0" w:line="200" w:lineRule="exact"/>
      </w:pPr>
      <w:bookmarkStart w:id="10168" w:name="_Ref_Footnote_168"/>
      <w:r>
        <w:rPr>
          <w:rStyle w:val="FootnoteReference"/>
          <w:vertAlign w:val="superscript"/>
        </w:rPr>
        <w:footnoteRef/>
      </w:r>
      <w:r>
        <w:rPr>
          <w:sz w:val="18"/>
          <w:szCs w:val="18"/>
        </w:rPr>
        <w:t xml:space="preserve"> 新浪财经. https://finance.sina.com.cn/roll/2026-05-14/doc-inhxwkue8658433.shtml</w:t>
      </w:r>
      <w:bookmarkEnd w:id="10168"/>
    </w:p>
  </w:footnote>
  <w:footnote w:id="169">
    <w:p>
      <w:pPr>
        <w:pStyle w:val="FootnoteText"/>
        <w:spacing w:before="0" w:after="0" w:line="200" w:lineRule="exact"/>
      </w:pPr>
      <w:bookmarkStart w:id="10169" w:name="_Ref_Footnote_169"/>
      <w:r>
        <w:rPr>
          <w:rStyle w:val="FootnoteReference"/>
          <w:vertAlign w:val="superscript"/>
        </w:rPr>
        <w:footnoteRef/>
      </w:r>
      <w:r>
        <w:rPr>
          <w:sz w:val="18"/>
          <w:szCs w:val="18"/>
        </w:rPr>
        <w:t xml:space="preserve"> 雪球. https://xueqiu.com/2876839810/336933134</w:t>
      </w:r>
      <w:bookmarkEnd w:id="10169"/>
    </w:p>
  </w:footnote>
  <w:footnote w:id="170">
    <w:p>
      <w:pPr>
        <w:pStyle w:val="FootnoteText"/>
        <w:spacing w:before="0" w:after="0" w:line="200" w:lineRule="exact"/>
      </w:pPr>
      <w:bookmarkStart w:id="10170" w:name="_Ref_Footnote_170"/>
      <w:r>
        <w:rPr>
          <w:rStyle w:val="FootnoteReference"/>
          <w:vertAlign w:val="superscript"/>
        </w:rPr>
        <w:footnoteRef/>
      </w:r>
      <w:r>
        <w:rPr>
          <w:sz w:val="18"/>
          <w:szCs w:val="18"/>
        </w:rPr>
        <w:t xml:space="preserve"> 雪球. https://xueqiu.com/9993624771/374638302</w:t>
      </w:r>
      <w:bookmarkEnd w:id="10170"/>
    </w:p>
  </w:footnote>
  <w:footnote w:id="171">
    <w:p>
      <w:pPr>
        <w:pStyle w:val="FootnoteText"/>
        <w:spacing w:before="0" w:after="0" w:line="200" w:lineRule="exact"/>
      </w:pPr>
      <w:bookmarkStart w:id="10171" w:name="_Ref_Footnote_171"/>
      <w:r>
        <w:rPr>
          <w:rStyle w:val="FootnoteReference"/>
          <w:vertAlign w:val="superscript"/>
        </w:rPr>
        <w:footnoteRef/>
      </w:r>
      <w:r>
        <w:rPr>
          <w:sz w:val="18"/>
          <w:szCs w:val="18"/>
        </w:rPr>
        <w:t xml:space="preserve"> 腾讯新闻. https://view.inews.qq.com/a/20260105A06K7R00</w:t>
      </w:r>
      <w:bookmarkEnd w:id="10171"/>
    </w:p>
  </w:footnote>
  <w:footnote w:id="172">
    <w:p>
      <w:pPr>
        <w:pStyle w:val="FootnoteText"/>
        <w:spacing w:before="0" w:after="0" w:line="200" w:lineRule="exact"/>
      </w:pPr>
      <w:bookmarkStart w:id="10172" w:name="_Ref_Footnote_172"/>
      <w:r>
        <w:rPr>
          <w:rStyle w:val="FootnoteReference"/>
          <w:vertAlign w:val="superscript"/>
        </w:rPr>
        <w:footnoteRef/>
      </w:r>
      <w:r>
        <w:rPr>
          <w:sz w:val="18"/>
          <w:szCs w:val="18"/>
        </w:rPr>
        <w:t xml:space="preserve"> 微信公众号(市值风云). http://mp.weixin.qq.com/s?__biz=MzAxMjEyOTYwMQ==&amp;mid=2649989575&amp;idx=1&amp;sn=c6441ebd97bd8ac4c82d8b7798d672a6</w:t>
      </w:r>
      <w:bookmarkEnd w:id="10172"/>
    </w:p>
  </w:footnote>
  <w:footnote w:id="173">
    <w:p>
      <w:pPr>
        <w:pStyle w:val="FootnoteText"/>
        <w:spacing w:before="0" w:after="0" w:line="200" w:lineRule="exact"/>
      </w:pPr>
      <w:bookmarkStart w:id="10173" w:name="_Ref_Footnote_173"/>
      <w:r>
        <w:rPr>
          <w:rStyle w:val="FootnoteReference"/>
          <w:vertAlign w:val="superscript"/>
        </w:rPr>
        <w:footnoteRef/>
      </w:r>
      <w:r>
        <w:rPr>
          <w:sz w:val="18"/>
          <w:szCs w:val="18"/>
        </w:rPr>
        <w:t xml:space="preserve"> 新浪财经. http://finance.sina.com.cn/roll/2024-11-15/doc-incwcvce9474793.shtml</w:t>
      </w:r>
      <w:bookmarkEnd w:id="10173"/>
    </w:p>
  </w:footnote>
  <w:footnote w:id="174">
    <w:p>
      <w:pPr>
        <w:pStyle w:val="FootnoteText"/>
        <w:spacing w:before="0" w:after="0" w:line="200" w:lineRule="exact"/>
      </w:pPr>
      <w:bookmarkStart w:id="10174" w:name="_Ref_Footnote_174"/>
      <w:r>
        <w:rPr>
          <w:rStyle w:val="FootnoteReference"/>
          <w:vertAlign w:val="superscript"/>
        </w:rPr>
        <w:footnoteRef/>
      </w:r>
      <w:r>
        <w:rPr>
          <w:sz w:val="18"/>
          <w:szCs w:val="18"/>
        </w:rPr>
        <w:t xml:space="preserve"> C114通信网. https://m.c114.com.cn/w5458-1305389.html</w:t>
      </w:r>
      <w:bookmarkEnd w:id="10174"/>
    </w:p>
  </w:footnote>
  <w:footnote w:id="175">
    <w:p>
      <w:pPr>
        <w:pStyle w:val="FootnoteText"/>
        <w:spacing w:before="0" w:after="0" w:line="200" w:lineRule="exact"/>
      </w:pPr>
      <w:bookmarkStart w:id="10175" w:name="_Ref_Footnote_175"/>
      <w:r>
        <w:rPr>
          <w:rStyle w:val="FootnoteReference"/>
          <w:vertAlign w:val="superscript"/>
        </w:rPr>
        <w:footnoteRef/>
      </w:r>
      <w:r>
        <w:rPr>
          <w:sz w:val="18"/>
          <w:szCs w:val="18"/>
        </w:rPr>
        <w:t xml:space="preserve"> CSDN博客. https://blog.csdn.net/weixin_42599908/article/details/160886902</w:t>
      </w:r>
      <w:bookmarkEnd w:id="10175"/>
    </w:p>
  </w:footnote>
  <w:footnote w:id="176">
    <w:p>
      <w:pPr>
        <w:pStyle w:val="FootnoteText"/>
        <w:spacing w:before="0" w:after="0" w:line="200" w:lineRule="exact"/>
      </w:pPr>
      <w:bookmarkStart w:id="10176" w:name="_Ref_Footnote_176"/>
      <w:r>
        <w:rPr>
          <w:rStyle w:val="FootnoteReference"/>
          <w:vertAlign w:val="superscript"/>
        </w:rPr>
        <w:footnoteRef/>
      </w:r>
      <w:r>
        <w:rPr>
          <w:sz w:val="18"/>
          <w:szCs w:val="18"/>
        </w:rPr>
        <w:t xml:space="preserve"> 东方财富网股吧. https://guba.eastmoney.com/news,600487,1299141591.html</w:t>
      </w:r>
      <w:bookmarkEnd w:id="10176"/>
    </w:p>
  </w:footnote>
  <w:footnote w:id="177">
    <w:p>
      <w:pPr>
        <w:pStyle w:val="FootnoteText"/>
        <w:spacing w:before="0" w:after="0" w:line="200" w:lineRule="exact"/>
      </w:pPr>
      <w:bookmarkStart w:id="10177" w:name="_Ref_Footnote_177"/>
      <w:r>
        <w:rPr>
          <w:rStyle w:val="FootnoteReference"/>
          <w:vertAlign w:val="superscript"/>
        </w:rPr>
        <w:footnoteRef/>
      </w:r>
      <w:r>
        <w:rPr>
          <w:sz w:val="18"/>
          <w:szCs w:val="18"/>
        </w:rPr>
        <w:t xml:space="preserve"> Hexo. https://www.zhengyiqun.net/2025/12/03/Optical-Module-Industry-Analysis/</w:t>
      </w:r>
      <w:bookmarkEnd w:id="10177"/>
    </w:p>
  </w:footnote>
  <w:footnote w:id="178">
    <w:p>
      <w:pPr>
        <w:pStyle w:val="FootnoteText"/>
        <w:spacing w:before="0" w:after="0" w:line="200" w:lineRule="exact"/>
      </w:pPr>
      <w:bookmarkStart w:id="10178" w:name="_Ref_Footnote_178"/>
      <w:r>
        <w:rPr>
          <w:rStyle w:val="FootnoteReference"/>
          <w:vertAlign w:val="superscript"/>
        </w:rPr>
        <w:footnoteRef/>
      </w:r>
      <w:r>
        <w:rPr>
          <w:sz w:val="18"/>
          <w:szCs w:val="18"/>
        </w:rPr>
        <w:t xml:space="preserve"> guoxinfamilyoffice.com. https://www.guoxinfamilyoffice.com/xinwenzixun/758.html</w:t>
      </w:r>
      <w:bookmarkEnd w:id="10178"/>
    </w:p>
  </w:footnote>
  <w:footnote w:id="179">
    <w:p>
      <w:pPr>
        <w:pStyle w:val="FootnoteText"/>
        <w:spacing w:before="0" w:after="0" w:line="200" w:lineRule="exact"/>
      </w:pPr>
      <w:bookmarkStart w:id="10179" w:name="_Ref_Footnote_179"/>
      <w:r>
        <w:rPr>
          <w:rStyle w:val="FootnoteReference"/>
          <w:vertAlign w:val="superscript"/>
        </w:rPr>
        <w:footnoteRef/>
      </w:r>
      <w:r>
        <w:rPr>
          <w:sz w:val="18"/>
          <w:szCs w:val="18"/>
        </w:rPr>
        <w:t xml:space="preserve"> OFweek光通讯网. https://fiber.ofweek.com/2025-04/ART-8120-2100-30661894.html</w:t>
      </w:r>
      <w:bookmarkEnd w:id="10179"/>
    </w:p>
  </w:footnote>
  <w:footnote w:id="180">
    <w:p>
      <w:pPr>
        <w:pStyle w:val="FootnoteText"/>
        <w:spacing w:before="0" w:after="0" w:line="200" w:lineRule="exact"/>
      </w:pPr>
      <w:bookmarkStart w:id="10180" w:name="_Ref_Footnote_180"/>
      <w:r>
        <w:rPr>
          <w:rStyle w:val="FootnoteReference"/>
          <w:vertAlign w:val="superscript"/>
        </w:rPr>
        <w:footnoteRef/>
      </w:r>
      <w:r>
        <w:rPr>
          <w:sz w:val="18"/>
          <w:szCs w:val="18"/>
        </w:rPr>
        <w:t xml:space="preserve"> 讯石光通讯网. http://www.iccsz.com/4g/news.Asp?ID=352677cad62e4b139b44f5c7c81d49ef</w:t>
      </w:r>
      <w:bookmarkEnd w:id="10180"/>
    </w:p>
  </w:footnote>
  <w:footnote w:id="181">
    <w:p>
      <w:pPr>
        <w:pStyle w:val="FootnoteText"/>
        <w:spacing w:before="0" w:after="0" w:line="200" w:lineRule="exact"/>
      </w:pPr>
      <w:bookmarkStart w:id="10181" w:name="_Ref_Footnote_181"/>
      <w:r>
        <w:rPr>
          <w:rStyle w:val="FootnoteReference"/>
          <w:vertAlign w:val="superscript"/>
        </w:rPr>
        <w:footnoteRef/>
      </w:r>
      <w:r>
        <w:rPr>
          <w:sz w:val="18"/>
          <w:szCs w:val="18"/>
        </w:rPr>
        <w:t xml:space="preserve"> 新浪财经. https://finance.sina.com.cn/roll/2025-04-14/doc-inetcqhp8240525.shtml</w:t>
      </w:r>
      <w:bookmarkEnd w:id="10181"/>
    </w:p>
  </w:footnote>
  <w:footnote w:id="182">
    <w:p>
      <w:pPr>
        <w:pStyle w:val="FootnoteText"/>
        <w:spacing w:before="0" w:after="0" w:line="200" w:lineRule="exact"/>
      </w:pPr>
      <w:bookmarkStart w:id="10182" w:name="_Ref_Footnote_182"/>
      <w:r>
        <w:rPr>
          <w:rStyle w:val="FootnoteReference"/>
          <w:vertAlign w:val="superscript"/>
        </w:rPr>
        <w:footnoteRef/>
      </w:r>
      <w:r>
        <w:rPr>
          <w:sz w:val="18"/>
          <w:szCs w:val="18"/>
        </w:rPr>
        <w:t xml:space="preserve"> 腾讯新闻. https://view.inews.qq.com/a/20260512A0A48900</w:t>
      </w:r>
      <w:bookmarkEnd w:id="10182"/>
    </w:p>
  </w:footnote>
  <w:footnote w:id="183">
    <w:p>
      <w:pPr>
        <w:pStyle w:val="FootnoteText"/>
        <w:spacing w:before="0" w:after="0" w:line="200" w:lineRule="exact"/>
      </w:pPr>
      <w:bookmarkStart w:id="10183" w:name="_Ref_Footnote_183"/>
      <w:r>
        <w:rPr>
          <w:rStyle w:val="FootnoteReference"/>
          <w:vertAlign w:val="superscript"/>
        </w:rPr>
        <w:footnoteRef/>
      </w:r>
      <w:r>
        <w:rPr>
          <w:sz w:val="18"/>
          <w:szCs w:val="18"/>
        </w:rPr>
        <w:t xml:space="preserve"> 经济观察网. http://www.eeo.com.cn/2025/0514/726554.shtml</w:t>
      </w:r>
      <w:bookmarkEnd w:id="10183"/>
    </w:p>
  </w:footnote>
  <w:footnote w:id="184">
    <w:p>
      <w:pPr>
        <w:pStyle w:val="FootnoteText"/>
        <w:spacing w:before="0" w:after="0" w:line="200" w:lineRule="exact"/>
      </w:pPr>
      <w:bookmarkStart w:id="10184" w:name="_Ref_Footnote_184"/>
      <w:r>
        <w:rPr>
          <w:rStyle w:val="FootnoteReference"/>
          <w:vertAlign w:val="superscript"/>
        </w:rPr>
        <w:footnoteRef/>
      </w:r>
      <w:r>
        <w:rPr>
          <w:sz w:val="18"/>
          <w:szCs w:val="18"/>
        </w:rPr>
        <w:t xml:space="preserve"> eastmoney.com. https://emcreative.eastmoney.com/app_fortune/article/index.html?artCode=20250406114646678746580&amp;postId=1536222726</w:t>
      </w:r>
      <w:bookmarkEnd w:id="10184"/>
    </w:p>
  </w:footnote>
  <w:footnote w:id="185">
    <w:p>
      <w:pPr>
        <w:pStyle w:val="FootnoteText"/>
        <w:spacing w:before="0" w:after="0" w:line="200" w:lineRule="exact"/>
      </w:pPr>
      <w:bookmarkStart w:id="10185" w:name="_Ref_Footnote_185"/>
      <w:r>
        <w:rPr>
          <w:rStyle w:val="FootnoteReference"/>
          <w:vertAlign w:val="superscript"/>
        </w:rPr>
        <w:footnoteRef/>
      </w:r>
      <w:r>
        <w:rPr>
          <w:sz w:val="18"/>
          <w:szCs w:val="18"/>
        </w:rPr>
        <w:t xml:space="preserve"> 东方财富网股吧. https://guba.eastmoney.com/news,0.002475,1536156655.html</w:t>
      </w:r>
      <w:bookmarkEnd w:id="10185"/>
    </w:p>
  </w:footnote>
  <w:footnote w:id="186">
    <w:p>
      <w:pPr>
        <w:pStyle w:val="FootnoteText"/>
        <w:spacing w:before="0" w:after="0" w:line="200" w:lineRule="exact"/>
      </w:pPr>
      <w:bookmarkStart w:id="10186" w:name="_Ref_Footnote_186"/>
      <w:r>
        <w:rPr>
          <w:rStyle w:val="FootnoteReference"/>
          <w:vertAlign w:val="superscript"/>
        </w:rPr>
        <w:footnoteRef/>
      </w:r>
      <w:r>
        <w:rPr>
          <w:sz w:val="18"/>
          <w:szCs w:val="18"/>
        </w:rPr>
        <w:t xml:space="preserve"> 10jqka.com.cn. https://yuanchuang.10jqka.com.cn/20250409/c667336837.shtml</w:t>
      </w:r>
      <w:bookmarkEnd w:id="10186"/>
    </w:p>
  </w:footnote>
  <w:footnote w:id="187">
    <w:p>
      <w:pPr>
        <w:pStyle w:val="FootnoteText"/>
        <w:spacing w:before="0" w:after="0" w:line="200" w:lineRule="exact"/>
      </w:pPr>
      <w:bookmarkStart w:id="10187" w:name="_Ref_Footnote_187"/>
      <w:r>
        <w:rPr>
          <w:rStyle w:val="FootnoteReference"/>
          <w:vertAlign w:val="superscript"/>
        </w:rPr>
        <w:footnoteRef/>
      </w:r>
      <w:r>
        <w:rPr>
          <w:sz w:val="18"/>
          <w:szCs w:val="18"/>
        </w:rPr>
        <w:t xml:space="preserve"> 腾讯网. https://news.qq.com/rain/a/20250414A06I7C00</w:t>
      </w:r>
      <w:bookmarkEnd w:id="10187"/>
    </w:p>
  </w:footnote>
  <w:footnote w:id="188">
    <w:p>
      <w:pPr>
        <w:pStyle w:val="FootnoteText"/>
        <w:spacing w:before="0" w:after="0" w:line="200" w:lineRule="exact"/>
      </w:pPr>
      <w:bookmarkStart w:id="10188" w:name="_Ref_Footnote_188"/>
      <w:r>
        <w:rPr>
          <w:rStyle w:val="FootnoteReference"/>
          <w:vertAlign w:val="superscript"/>
        </w:rPr>
        <w:footnoteRef/>
      </w:r>
      <w:r>
        <w:rPr>
          <w:sz w:val="18"/>
          <w:szCs w:val="18"/>
        </w:rPr>
        <w:t xml:space="preserve"> 新浪财经. https://finance.sina.com.cn/stock/relnews/cn/2025-04-07/doc-ineshzpz4678909.shtml</w:t>
      </w:r>
      <w:bookmarkEnd w:id="10188"/>
    </w:p>
  </w:footnote>
  <w:footnote w:id="189">
    <w:p>
      <w:pPr>
        <w:pStyle w:val="FootnoteText"/>
        <w:spacing w:before="0" w:after="0" w:line="200" w:lineRule="exact"/>
      </w:pPr>
      <w:bookmarkStart w:id="10189" w:name="_Ref_Footnote_189"/>
      <w:r>
        <w:rPr>
          <w:rStyle w:val="FootnoteReference"/>
          <w:vertAlign w:val="superscript"/>
        </w:rPr>
        <w:footnoteRef/>
      </w:r>
      <w:r>
        <w:rPr>
          <w:sz w:val="18"/>
          <w:szCs w:val="18"/>
        </w:rPr>
        <w:t xml:space="preserve"> 雪球. https://xueqiu.com/7629894571/330272893</w:t>
      </w:r>
      <w:bookmarkEnd w:id="10189"/>
    </w:p>
  </w:footnote>
  <w:footnote w:id="190">
    <w:p>
      <w:pPr>
        <w:pStyle w:val="FootnoteText"/>
        <w:spacing w:before="0" w:after="0" w:line="200" w:lineRule="exact"/>
      </w:pPr>
      <w:bookmarkStart w:id="10190" w:name="_Ref_Footnote_190"/>
      <w:r>
        <w:rPr>
          <w:rStyle w:val="FootnoteReference"/>
          <w:vertAlign w:val="superscript"/>
        </w:rPr>
        <w:footnoteRef/>
      </w:r>
      <w:r>
        <w:rPr>
          <w:sz w:val="18"/>
          <w:szCs w:val="18"/>
        </w:rPr>
        <w:t xml:space="preserve"> 微信公众号(中金点睛). http://mp.weixin.qq.com/s?__biz=MzI3MDMzMjg0MA==&amp;mid=2247777812&amp;idx=3&amp;sn=0c87793726542ad4ad18eda25bbebbe0</w:t>
      </w:r>
      <w:bookmarkEnd w:id="10190"/>
    </w:p>
  </w:footnote>
  <w:footnote w:id="191">
    <w:p>
      <w:pPr>
        <w:pStyle w:val="FootnoteText"/>
        <w:spacing w:before="0" w:after="0" w:line="200" w:lineRule="exact"/>
      </w:pPr>
      <w:bookmarkStart w:id="10191" w:name="_Ref_Footnote_191"/>
      <w:r>
        <w:rPr>
          <w:rStyle w:val="FootnoteReference"/>
          <w:vertAlign w:val="superscript"/>
        </w:rPr>
        <w:footnoteRef/>
      </w:r>
      <w:r>
        <w:rPr>
          <w:sz w:val="18"/>
          <w:szCs w:val="18"/>
        </w:rPr>
        <w:t xml:space="preserve"> 新浪财经. https://finance.sina.com.cn/money/fund/jjzl/2025-10-13/doc-infttxhe8243206.shtml</w:t>
      </w:r>
      <w:bookmarkEnd w:id="10191"/>
    </w:p>
  </w:footnote>
  <w:footnote w:id="192">
    <w:p>
      <w:pPr>
        <w:pStyle w:val="FootnoteText"/>
        <w:spacing w:before="0" w:after="0" w:line="200" w:lineRule="exact"/>
      </w:pPr>
      <w:bookmarkStart w:id="10192" w:name="_Ref_Footnote_192"/>
      <w:r>
        <w:rPr>
          <w:rStyle w:val="FootnoteReference"/>
          <w:vertAlign w:val="superscript"/>
        </w:rPr>
        <w:footnoteRef/>
      </w:r>
      <w:r>
        <w:rPr>
          <w:sz w:val="18"/>
          <w:szCs w:val="18"/>
        </w:rPr>
        <w:t xml:space="preserve"> dfcfw.com. https://pdf.dfcfw.com/pdf/H3_AP202604201821330821_1.pdf?1776696406000.pdf</w:t>
      </w:r>
      <w:bookmarkEnd w:id="10192"/>
    </w:p>
  </w:footnote>
  <w:footnote w:id="193">
    <w:p>
      <w:pPr>
        <w:pStyle w:val="FootnoteText"/>
        <w:spacing w:before="0" w:after="0" w:line="200" w:lineRule="exact"/>
      </w:pPr>
      <w:bookmarkStart w:id="10193" w:name="_Ref_Footnote_193"/>
      <w:r>
        <w:rPr>
          <w:rStyle w:val="FootnoteReference"/>
          <w:vertAlign w:val="superscript"/>
        </w:rPr>
        <w:footnoteRef/>
      </w:r>
      <w:r>
        <w:rPr>
          <w:sz w:val="18"/>
          <w:szCs w:val="18"/>
        </w:rPr>
        <w:t xml:space="preserve"> 10jqka.com.cn. https://basic.10jqka.com.cn/300502/worth.html</w:t>
      </w:r>
      <w:bookmarkEnd w:id="10193"/>
    </w:p>
  </w:footnote>
  <w:footnote w:id="194">
    <w:p>
      <w:pPr>
        <w:pStyle w:val="FootnoteText"/>
        <w:spacing w:before="0" w:after="0" w:line="200" w:lineRule="exact"/>
      </w:pPr>
      <w:bookmarkStart w:id="10194" w:name="_Ref_Footnote_194"/>
      <w:r>
        <w:rPr>
          <w:rStyle w:val="FootnoteReference"/>
          <w:vertAlign w:val="superscript"/>
        </w:rPr>
        <w:footnoteRef/>
      </w:r>
      <w:r>
        <w:rPr>
          <w:sz w:val="18"/>
          <w:szCs w:val="18"/>
        </w:rPr>
        <w:t xml:space="preserve"> 亿牛网. https://eniu.com/gu/sZ300502/pe_ttm</w:t>
      </w:r>
      <w:bookmarkEnd w:id="10194"/>
    </w:p>
  </w:footnote>
  <w:footnote w:id="195">
    <w:p>
      <w:pPr>
        <w:pStyle w:val="FootnoteText"/>
        <w:spacing w:before="0" w:after="0" w:line="200" w:lineRule="exact"/>
      </w:pPr>
      <w:bookmarkStart w:id="10195" w:name="_Ref_Footnote_195"/>
      <w:r>
        <w:rPr>
          <w:rStyle w:val="FootnoteReference"/>
          <w:vertAlign w:val="superscript"/>
        </w:rPr>
        <w:footnoteRef/>
      </w:r>
      <w:r>
        <w:rPr>
          <w:sz w:val="18"/>
          <w:szCs w:val="18"/>
        </w:rPr>
        <w:t xml:space="preserve"> 电子工程专辑 EE Times China. https://www.eet-china.com/mp/a494258.html</w:t>
      </w:r>
      <w:bookmarkEnd w:id="10195"/>
    </w:p>
  </w:footnote>
  <w:footnote w:id="196">
    <w:p>
      <w:pPr>
        <w:pStyle w:val="FootnoteText"/>
        <w:spacing w:before="0" w:after="0" w:line="200" w:lineRule="exact"/>
      </w:pPr>
      <w:bookmarkStart w:id="10196" w:name="_Ref_Footnote_196"/>
      <w:r>
        <w:rPr>
          <w:rStyle w:val="FootnoteReference"/>
          <w:vertAlign w:val="superscript"/>
        </w:rPr>
        <w:footnoteRef/>
      </w:r>
      <w:r>
        <w:rPr>
          <w:sz w:val="18"/>
          <w:szCs w:val="18"/>
        </w:rPr>
        <w:t xml:space="preserve"> 微信公众号(天机阁智能产业服务). http://mp.weixin.qq.com/s?__biz=Mzk5MDc5ODI3MA==&amp;mid=2247484942&amp;idx=1&amp;sn=1a31d010c1b1891202ca65012e2054da</w:t>
      </w:r>
      <w:bookmarkEnd w:id="10196"/>
    </w:p>
  </w:footnote>
  <w:footnote w:id="197">
    <w:p>
      <w:pPr>
        <w:pStyle w:val="FootnoteText"/>
        <w:spacing w:before="0" w:after="0" w:line="200" w:lineRule="exact"/>
      </w:pPr>
      <w:bookmarkStart w:id="10197" w:name="_Ref_Footnote_197"/>
      <w:r>
        <w:rPr>
          <w:rStyle w:val="FootnoteReference"/>
          <w:vertAlign w:val="superscript"/>
        </w:rPr>
        <w:footnoteRef/>
      </w:r>
      <w:r>
        <w:rPr>
          <w:sz w:val="18"/>
          <w:szCs w:val="18"/>
        </w:rPr>
        <w:t xml:space="preserve"> 雪球. https://xueqiu.com/5430037154/374694134</w:t>
      </w:r>
      <w:bookmarkEnd w:id="10197"/>
    </w:p>
  </w:footnote>
  <w:footnote w:id="198">
    <w:p>
      <w:pPr>
        <w:pStyle w:val="FootnoteText"/>
        <w:spacing w:before="0" w:after="0" w:line="200" w:lineRule="exact"/>
      </w:pPr>
      <w:bookmarkStart w:id="10198" w:name="_Ref_Footnote_198"/>
      <w:r>
        <w:rPr>
          <w:rStyle w:val="FootnoteReference"/>
          <w:vertAlign w:val="superscript"/>
        </w:rPr>
        <w:footnoteRef/>
      </w:r>
      <w:r>
        <w:rPr>
          <w:sz w:val="18"/>
          <w:szCs w:val="18"/>
        </w:rPr>
        <w:t xml:space="preserve"> sina.cn. https://cj.sina.cn/articles/view/7879922977/1d5ae152101901c10o?froms=ggmp</w:t>
      </w:r>
      <w:bookmarkEnd w:id="10198"/>
    </w:p>
  </w:footnote>
  <w:footnote w:id="199">
    <w:p>
      <w:pPr>
        <w:pStyle w:val="FootnoteText"/>
        <w:spacing w:before="0" w:after="0" w:line="200" w:lineRule="exact"/>
      </w:pPr>
      <w:bookmarkStart w:id="10199" w:name="_Ref_Footnote_199"/>
      <w:r>
        <w:rPr>
          <w:rStyle w:val="FootnoteReference"/>
          <w:vertAlign w:val="superscript"/>
        </w:rPr>
        <w:footnoteRef/>
      </w:r>
      <w:r>
        <w:rPr>
          <w:sz w:val="18"/>
          <w:szCs w:val="18"/>
        </w:rPr>
        <w:t xml:space="preserve"> 智通财经网. https://www.zhitongcaijing.com/content/detail/1177585.html</w:t>
      </w:r>
      <w:bookmarkEnd w:id="10199"/>
    </w:p>
  </w:footnote>
  <w:footnote w:id="200">
    <w:p>
      <w:pPr>
        <w:pStyle w:val="FootnoteText"/>
        <w:spacing w:before="0" w:after="0" w:line="200" w:lineRule="exact"/>
      </w:pPr>
      <w:bookmarkStart w:id="10200" w:name="_Ref_Footnote_200"/>
      <w:r>
        <w:rPr>
          <w:rStyle w:val="FootnoteReference"/>
          <w:vertAlign w:val="superscript"/>
        </w:rPr>
        <w:footnoteRef/>
      </w:r>
      <w:r>
        <w:rPr>
          <w:sz w:val="18"/>
          <w:szCs w:val="18"/>
        </w:rPr>
        <w:t xml:space="preserve"> 微信公众号(老赵的投资札记). http://mp.weixin.qq.com/s?__biz=MzkxNDg3NzY0Nw==&amp;mid=2247487875&amp;idx=1&amp;sn=56aca350ad17fc604aa9642f9d0effde</w:t>
      </w:r>
      <w:bookmarkEnd w:id="10200"/>
    </w:p>
  </w:footnote>
  <w:footnote w:id="201">
    <w:p>
      <w:pPr>
        <w:pStyle w:val="FootnoteText"/>
        <w:spacing w:before="0" w:after="0" w:line="200" w:lineRule="exact"/>
      </w:pPr>
      <w:bookmarkStart w:id="10201" w:name="_Ref_Footnote_201"/>
      <w:r>
        <w:rPr>
          <w:rStyle w:val="FootnoteReference"/>
          <w:vertAlign w:val="superscript"/>
        </w:rPr>
        <w:footnoteRef/>
      </w:r>
      <w:r>
        <w:rPr>
          <w:sz w:val="18"/>
          <w:szCs w:val="18"/>
        </w:rPr>
        <w:t xml:space="preserve"> 雪球. https://xueqiu.com/2915995201/352439679</w:t>
      </w:r>
      <w:bookmarkEnd w:id="10201"/>
    </w:p>
  </w:footnote>
  <w:footnote w:id="202">
    <w:p>
      <w:pPr>
        <w:pStyle w:val="FootnoteText"/>
        <w:spacing w:before="0" w:after="0" w:line="200" w:lineRule="exact"/>
      </w:pPr>
      <w:bookmarkStart w:id="10202" w:name="_Ref_Footnote_202"/>
      <w:r>
        <w:rPr>
          <w:rStyle w:val="FootnoteReference"/>
          <w:vertAlign w:val="superscript"/>
        </w:rPr>
        <w:footnoteRef/>
      </w:r>
      <w:r>
        <w:rPr>
          <w:sz w:val="18"/>
          <w:szCs w:val="18"/>
        </w:rPr>
        <w:t xml:space="preserve"> 搜狐. https://www.sohu.com/a/863011511_121925623</w:t>
      </w:r>
      <w:bookmarkEnd w:id="10202"/>
    </w:p>
  </w:footnote>
  <w:footnote w:id="203">
    <w:p>
      <w:pPr>
        <w:pStyle w:val="FootnoteText"/>
        <w:spacing w:before="0" w:after="0" w:line="200" w:lineRule="exact"/>
      </w:pPr>
      <w:bookmarkStart w:id="10203" w:name="_Ref_Footnote_203"/>
      <w:r>
        <w:rPr>
          <w:rStyle w:val="FootnoteReference"/>
          <w:vertAlign w:val="superscript"/>
        </w:rPr>
        <w:footnoteRef/>
      </w:r>
      <w:r>
        <w:rPr>
          <w:sz w:val="18"/>
          <w:szCs w:val="18"/>
        </w:rPr>
        <w:t xml:space="preserve"> 财联社. https://www.cls.cn/detail/937198</w:t>
      </w:r>
      <w:bookmarkEnd w:id="10203"/>
    </w:p>
  </w:footnote>
  <w:footnote w:id="204">
    <w:p>
      <w:pPr>
        <w:pStyle w:val="FootnoteText"/>
        <w:spacing w:before="0" w:after="0" w:line="200" w:lineRule="exact"/>
      </w:pPr>
      <w:bookmarkStart w:id="10204" w:name="_Ref_Footnote_204"/>
      <w:r>
        <w:rPr>
          <w:rStyle w:val="FootnoteReference"/>
          <w:vertAlign w:val="superscript"/>
        </w:rPr>
        <w:footnoteRef/>
      </w:r>
      <w:r>
        <w:rPr>
          <w:sz w:val="18"/>
          <w:szCs w:val="18"/>
        </w:rPr>
        <w:t xml:space="preserve"> 微信公众平台. http://mp.weixin.qq.com/s?__biz=MjM5NzAwMjQ0MA==&amp;mid=2652984470&amp;idx=1&amp;sn=bd74d67aa179cf0eccfe3cfc28722187</w:t>
      </w:r>
      <w:bookmarkEnd w:id="10204"/>
    </w:p>
  </w:footnote>
  <w:footnote w:id="205">
    <w:p>
      <w:pPr>
        <w:pStyle w:val="FootnoteText"/>
        <w:spacing w:before="0" w:after="0" w:line="200" w:lineRule="exact"/>
      </w:pPr>
      <w:bookmarkStart w:id="10205" w:name="_Ref_Footnote_205"/>
      <w:r>
        <w:rPr>
          <w:rStyle w:val="FootnoteReference"/>
          <w:vertAlign w:val="superscript"/>
        </w:rPr>
        <w:footnoteRef/>
      </w:r>
      <w:r>
        <w:rPr>
          <w:sz w:val="18"/>
          <w:szCs w:val="18"/>
        </w:rPr>
        <w:t xml:space="preserve"> C114通信网. https://m.c114.com.cn/w5472-1309761.html</w:t>
      </w:r>
      <w:bookmarkEnd w:id="10205"/>
    </w:p>
  </w:footnote>
  <w:footnote w:id="206">
    <w:p>
      <w:pPr>
        <w:pStyle w:val="FootnoteText"/>
        <w:spacing w:before="0" w:after="0" w:line="200" w:lineRule="exact"/>
      </w:pPr>
      <w:bookmarkStart w:id="10206" w:name="_Ref_Footnote_206"/>
      <w:r>
        <w:rPr>
          <w:rStyle w:val="FootnoteReference"/>
          <w:vertAlign w:val="superscript"/>
        </w:rPr>
        <w:footnoteRef/>
      </w:r>
      <w:r>
        <w:rPr>
          <w:sz w:val="18"/>
          <w:szCs w:val="18"/>
        </w:rPr>
        <w:t xml:space="preserve"> 21财经. https://m.21jingji.com/article/20250415/b64a5a4b0c6ed9e4dc6485312131d9f1_zaker.html</w:t>
      </w:r>
      <w:bookmarkEnd w:id="10206"/>
    </w:p>
  </w:footnote>
  <w:footnote w:id="207">
    <w:p>
      <w:pPr>
        <w:pStyle w:val="FootnoteText"/>
        <w:spacing w:before="0" w:after="0" w:line="200" w:lineRule="exact"/>
      </w:pPr>
      <w:bookmarkStart w:id="10207" w:name="_Ref_Footnote_207"/>
      <w:r>
        <w:rPr>
          <w:rStyle w:val="FootnoteReference"/>
          <w:vertAlign w:val="superscript"/>
        </w:rPr>
        <w:footnoteRef/>
      </w:r>
      <w:r>
        <w:rPr>
          <w:sz w:val="18"/>
          <w:szCs w:val="18"/>
        </w:rPr>
        <w:t xml:space="preserve"> 网易. https://www.163.com/dy/article/KRGQAIUS0553AF6B.html</w:t>
      </w:r>
      <w:bookmarkEnd w:id="10207"/>
    </w:p>
  </w:footnote>
  <w:footnote w:id="208">
    <w:p>
      <w:pPr>
        <w:pStyle w:val="FootnoteText"/>
        <w:spacing w:before="0" w:after="0" w:line="200" w:lineRule="exact"/>
      </w:pPr>
      <w:bookmarkStart w:id="10208" w:name="_Ref_Footnote_208"/>
      <w:r>
        <w:rPr>
          <w:rStyle w:val="FootnoteReference"/>
          <w:vertAlign w:val="superscript"/>
        </w:rPr>
        <w:footnoteRef/>
      </w:r>
      <w:r>
        <w:rPr>
          <w:sz w:val="18"/>
          <w:szCs w:val="18"/>
        </w:rPr>
        <w:t xml:space="preserve"> 财新网. https://weekly.caixin.com/2023-10-21/102119075.html?originReferrer=kimi</w:t>
      </w:r>
      <w:bookmarkEnd w:id="10208"/>
    </w:p>
  </w:footnote>
  <w:footnote w:id="209">
    <w:p>
      <w:pPr>
        <w:pStyle w:val="FootnoteText"/>
        <w:spacing w:before="0" w:after="0" w:line="200" w:lineRule="exact"/>
      </w:pPr>
      <w:bookmarkStart w:id="10209" w:name="_Ref_Footnote_209"/>
      <w:r>
        <w:rPr>
          <w:rStyle w:val="FootnoteReference"/>
          <w:vertAlign w:val="superscript"/>
        </w:rPr>
        <w:footnoteRef/>
      </w:r>
      <w:r>
        <w:rPr>
          <w:sz w:val="18"/>
          <w:szCs w:val="18"/>
        </w:rPr>
        <w:t xml:space="preserve"> 新浪财经. https://finance.sina.cn/2025-12-13/detail-inharzei4077696.d.html?from=wap</w:t>
      </w:r>
      <w:bookmarkEnd w:id="10209"/>
    </w:p>
  </w:footnote>
  <w:footnote w:id="210">
    <w:p>
      <w:pPr>
        <w:pStyle w:val="FootnoteText"/>
        <w:spacing w:before="0" w:after="0" w:line="200" w:lineRule="exact"/>
      </w:pPr>
      <w:bookmarkStart w:id="10210" w:name="_Ref_Footnote_210"/>
      <w:r>
        <w:rPr>
          <w:rStyle w:val="FootnoteReference"/>
          <w:vertAlign w:val="superscript"/>
        </w:rPr>
        <w:footnoteRef/>
      </w:r>
      <w:r>
        <w:rPr>
          <w:sz w:val="18"/>
          <w:szCs w:val="18"/>
        </w:rPr>
        <w:t xml:space="preserve"> eastmoney.com. https://emcreative.eastmoney.com/app_fortune/article/index.html?artCode=20250413004544746196770&amp;postId=1539121098</w:t>
      </w:r>
      <w:bookmarkEnd w:id="10210"/>
    </w:p>
  </w:footnote>
  <w:footnote w:id="211">
    <w:p>
      <w:pPr>
        <w:pStyle w:val="FootnoteText"/>
        <w:spacing w:before="0" w:after="0" w:line="200" w:lineRule="exact"/>
      </w:pPr>
      <w:bookmarkStart w:id="10211" w:name="_Ref_Footnote_211"/>
      <w:r>
        <w:rPr>
          <w:rStyle w:val="FootnoteReference"/>
          <w:vertAlign w:val="superscript"/>
        </w:rPr>
        <w:footnoteRef/>
      </w:r>
      <w:r>
        <w:rPr>
          <w:sz w:val="18"/>
          <w:szCs w:val="18"/>
        </w:rPr>
        <w:t xml:space="preserve"> weeklyonstock.com. https://static.weeklyonstock.com/26/0416/wd203647.html</w:t>
      </w:r>
      <w:bookmarkEnd w:id="10211"/>
    </w:p>
  </w:footnote>
  <w:footnote w:id="212">
    <w:p>
      <w:pPr>
        <w:pStyle w:val="FootnoteText"/>
        <w:spacing w:before="0" w:after="0" w:line="200" w:lineRule="exact"/>
      </w:pPr>
      <w:bookmarkStart w:id="10212" w:name="_Ref_Footnote_212"/>
      <w:r>
        <w:rPr>
          <w:rStyle w:val="FootnoteReference"/>
          <w:vertAlign w:val="superscript"/>
        </w:rPr>
        <w:footnoteRef/>
      </w:r>
      <w:r>
        <w:rPr>
          <w:sz w:val="18"/>
          <w:szCs w:val="18"/>
        </w:rPr>
        <w:t xml:space="preserve"> cninfo.com.cn. http://static.cninfo.com.cn/finalpage/2025-11-29/1224836002.PDF</w:t>
      </w:r>
      <w:bookmarkEnd w:id="10212"/>
    </w:p>
  </w:footnote>
  <w:footnote w:id="213">
    <w:p>
      <w:pPr>
        <w:pStyle w:val="FootnoteText"/>
        <w:spacing w:before="0" w:after="0" w:line="200" w:lineRule="exact"/>
      </w:pPr>
      <w:bookmarkStart w:id="10213" w:name="_Ref_Footnote_213"/>
      <w:r>
        <w:rPr>
          <w:rStyle w:val="FootnoteReference"/>
          <w:vertAlign w:val="superscript"/>
        </w:rPr>
        <w:footnoteRef/>
      </w:r>
      <w:r>
        <w:rPr>
          <w:sz w:val="18"/>
          <w:szCs w:val="18"/>
        </w:rPr>
        <w:t xml:space="preserve"> 东方财富网. https://wap.eastmoney.com/a/202510313552136469.html</w:t>
      </w:r>
      <w:bookmarkEnd w:id="10213"/>
    </w:p>
  </w:footnote>
  <w:footnote w:id="214">
    <w:p>
      <w:pPr>
        <w:pStyle w:val="FootnoteText"/>
        <w:spacing w:before="0" w:after="0" w:line="200" w:lineRule="exact"/>
      </w:pPr>
      <w:bookmarkStart w:id="10214" w:name="_Ref_Footnote_214"/>
      <w:r>
        <w:rPr>
          <w:rStyle w:val="FootnoteReference"/>
          <w:vertAlign w:val="superscript"/>
        </w:rPr>
        <w:footnoteRef/>
      </w:r>
      <w:r>
        <w:rPr>
          <w:sz w:val="18"/>
          <w:szCs w:val="18"/>
        </w:rPr>
        <w:t xml:space="preserve"> 理杏仁. https://www.lixinger.com/equity/company/detail/sz/300308/300308/shareholders-interactions#!</w:t>
      </w:r>
      <w:bookmarkEnd w:id="10214"/>
    </w:p>
  </w:footnote>
  <w:footnote w:id="215">
    <w:p>
      <w:pPr>
        <w:pStyle w:val="FootnoteText"/>
        <w:spacing w:before="0" w:after="0" w:line="200" w:lineRule="exact"/>
      </w:pPr>
      <w:bookmarkStart w:id="10215" w:name="_Ref_Footnote_215"/>
      <w:r>
        <w:rPr>
          <w:rStyle w:val="FootnoteReference"/>
          <w:vertAlign w:val="superscript"/>
        </w:rPr>
        <w:footnoteRef/>
      </w:r>
      <w:r>
        <w:rPr>
          <w:sz w:val="18"/>
          <w:szCs w:val="18"/>
        </w:rPr>
        <w:t xml:space="preserve"> 新浪财经. https://finance.sina.com.cn/stock/observe/2026-05-08/doc-inhxerwc7561512.shtml?cre=tianyi&amp;mod=pchp&amp;loc=18&amp;r=0&amp;rfunc=27&amp;tj=cxvertical_pc_hp&amp;tr=12</w:t>
      </w:r>
      <w:bookmarkEnd w:id="10215"/>
    </w:p>
  </w:footnote>
  <w:footnote w:id="216">
    <w:p>
      <w:pPr>
        <w:pStyle w:val="FootnoteText"/>
        <w:spacing w:before="0" w:after="0" w:line="200" w:lineRule="exact"/>
      </w:pPr>
      <w:bookmarkStart w:id="10216" w:name="_Ref_Footnote_216"/>
      <w:r>
        <w:rPr>
          <w:rStyle w:val="FootnoteReference"/>
          <w:vertAlign w:val="superscript"/>
        </w:rPr>
        <w:footnoteRef/>
      </w:r>
      <w:r>
        <w:rPr>
          <w:sz w:val="18"/>
          <w:szCs w:val="18"/>
        </w:rPr>
        <w:t xml:space="preserve"> 微信公众号(晨星投研). http://mp.weixin.qq.com/s?__biz=MzUyMzc3MzgwNw==&amp;mid=2247548421&amp;idx=8&amp;sn=4f6bd81491e4e6c7460f916649fb31d8</w:t>
      </w:r>
      <w:bookmarkEnd w:id="10216"/>
    </w:p>
  </w:footnote>
  <w:footnote w:id="217">
    <w:p>
      <w:pPr>
        <w:pStyle w:val="FootnoteText"/>
        <w:spacing w:before="0" w:after="0" w:line="200" w:lineRule="exact"/>
      </w:pPr>
      <w:bookmarkStart w:id="10217" w:name="_Ref_Footnote_217"/>
      <w:r>
        <w:rPr>
          <w:rStyle w:val="FootnoteReference"/>
          <w:vertAlign w:val="superscript"/>
        </w:rPr>
        <w:footnoteRef/>
      </w:r>
      <w:r>
        <w:rPr>
          <w:sz w:val="18"/>
          <w:szCs w:val="18"/>
        </w:rPr>
        <w:t xml:space="preserve"> ifeng.com. https://h5.ifeng.com/c/vivo/v00290bF1iglxxIJDqsYoWbYUmPyEx2f7IEz8oQWSgg0BJM__?vivoBusiness=hiboardnews</w:t>
      </w:r>
      <w:bookmarkEnd w:id="10217"/>
    </w:p>
  </w:footnote>
  <w:footnote w:id="218">
    <w:p>
      <w:pPr>
        <w:pStyle w:val="FootnoteText"/>
        <w:spacing w:before="0" w:after="0" w:line="200" w:lineRule="exact"/>
      </w:pPr>
      <w:bookmarkStart w:id="10218" w:name="_Ref_Footnote_218"/>
      <w:r>
        <w:rPr>
          <w:rStyle w:val="FootnoteReference"/>
          <w:vertAlign w:val="superscript"/>
        </w:rPr>
        <w:footnoteRef/>
      </w:r>
      <w:r>
        <w:rPr>
          <w:sz w:val="18"/>
          <w:szCs w:val="18"/>
        </w:rPr>
        <w:t xml:space="preserve"> 今日头条. https://www.toutiao.com/w/1861031437975691/</w:t>
      </w:r>
      <w:bookmarkEnd w:id="10218"/>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44" Target="media/rId44.png"/><Relationship Type="http://schemas.openxmlformats.org/officeDocument/2006/relationships/image" Id="rId27" Target="media/rId27.png"/><Relationship Type="http://schemas.openxmlformats.org/officeDocument/2006/relationships/image" Id="rId35" Target="media/rId35.png"/><Relationship Type="http://schemas.openxmlformats.org/officeDocument/2006/relationships/image" Id="rId71" Target="media/rId71.png"/><Relationship Type="http://schemas.openxmlformats.org/officeDocument/2006/relationships/image" Id="rId59" Target="media/rId59.png"/><Relationship Type="http://schemas.openxmlformats.org/officeDocument/2006/relationships/image" Id="rId68" Target="media/rId68.png"/><Relationship Type="http://schemas.openxmlformats.org/officeDocument/2006/relationships/image" Id="rId93" Target="media/rId93.png"/><Relationship Type="http://schemas.openxmlformats.org/officeDocument/2006/relationships/image" Id="rId89" Target="media/rId89.png"/><Relationship Type="http://schemas.openxmlformats.org/officeDocument/2006/relationships/image" Id="rId105" Target="media/rId105.png"/><Relationship Type="http://schemas.openxmlformats.org/officeDocument/2006/relationships/image" Id="rId99" Target="media/rId99.png"/><Relationship Type="http://schemas.openxmlformats.org/officeDocument/2006/relationships/image" Id="rId127" Target="media/rId127.png"/><Relationship Id="rId128"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2026-05-14T15:05:00Z</dcterms:created>
  <dcterms:modified xsi:type="dcterms:W3CDTF">2026-05-14T15:05:00Z</dcterms:modified>
</cp:coreProperties>
</file>

<file path=docProps/custom.xml><?xml version="1.0" encoding="utf-8"?>
<Properties xmlns="http://schemas.openxmlformats.org/officeDocument/2006/custom-properties" xmlns:vt="http://schemas.openxmlformats.org/officeDocument/2006/docPropsVTypes"/>
</file>