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0D4A" w14:textId="437BC302" w:rsidR="00556F3E" w:rsidRDefault="00852298">
      <w:r>
        <w:rPr>
          <w:rFonts w:hint="eastAsia"/>
        </w:rPr>
        <w:t>Q1.光芯片的传输速率对下游有何影响？</w:t>
      </w:r>
    </w:p>
    <w:p w14:paraId="39C1E015" w14:textId="1713CF4A" w:rsidR="00852298" w:rsidRDefault="00852298">
      <w:r>
        <w:rPr>
          <w:rFonts w:hint="eastAsia"/>
        </w:rPr>
        <w:t>A：</w:t>
      </w:r>
    </w:p>
    <w:p w14:paraId="2B60557B" w14:textId="3A3485A2" w:rsidR="00852298" w:rsidRDefault="00852298" w:rsidP="00852298">
      <w:r>
        <w:rPr>
          <w:rFonts w:hint="eastAsia"/>
        </w:rPr>
        <w:t>1.决定光模块产品代际</w:t>
      </w:r>
    </w:p>
    <w:p w14:paraId="3CB13172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光芯片是光模块的"心脏"，其速率上限直接框定了光模块的规格：</w:t>
      </w:r>
    </w:p>
    <w:p w14:paraId="74C2BC2D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25G/50G 光芯片 → 100G/200G 光模块（早期数据中心）</w:t>
      </w:r>
    </w:p>
    <w:p w14:paraId="6DB9FB69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100G 单通道 → 400G/800G 光模块（当前主流）</w:t>
      </w:r>
    </w:p>
    <w:p w14:paraId="406B1629" w14:textId="12EEEF19" w:rsidR="00852298" w:rsidRDefault="00852298" w:rsidP="00852298">
      <w:r>
        <w:rPr>
          <w:rFonts w:hint="eastAsia"/>
        </w:rPr>
        <w:t>200G/400G 单通道 → 1.6T/3.2T 光模块（下一代演进）</w:t>
      </w:r>
    </w:p>
    <w:p w14:paraId="2EF1038D" w14:textId="77777777" w:rsidR="00852298" w:rsidRDefault="00852298" w:rsidP="00852298"/>
    <w:p w14:paraId="0F4A791B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2. 重塑数据中心网络架构</w:t>
      </w:r>
    </w:p>
    <w:p w14:paraId="3714CC43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传输速率的跃升会改变数据中心的连接拓扑和设备形态：</w:t>
      </w:r>
    </w:p>
    <w:p w14:paraId="33ECFCCF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表格</w:t>
      </w:r>
    </w:p>
    <w:p w14:paraId="25AB5C34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速率阶段</w:t>
      </w:r>
      <w:r>
        <w:rPr>
          <w:rFonts w:hint="eastAsia"/>
        </w:rPr>
        <w:tab/>
        <w:t>典型架构</w:t>
      </w:r>
      <w:r>
        <w:rPr>
          <w:rFonts w:hint="eastAsia"/>
        </w:rPr>
        <w:tab/>
        <w:t>下游设备变化</w:t>
      </w:r>
    </w:p>
    <w:p w14:paraId="39FD09E9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100G时代</w:t>
      </w:r>
      <w:r>
        <w:rPr>
          <w:rFonts w:hint="eastAsia"/>
        </w:rPr>
        <w:tab/>
      </w:r>
      <w:proofErr w:type="gramStart"/>
      <w:r>
        <w:rPr>
          <w:rFonts w:hint="eastAsia"/>
        </w:rPr>
        <w:t>脊叶架构</w:t>
      </w:r>
      <w:proofErr w:type="gramEnd"/>
      <w:r>
        <w:rPr>
          <w:rFonts w:hint="eastAsia"/>
        </w:rPr>
        <w:t>（Spine-Leaf）</w:t>
      </w:r>
      <w:r>
        <w:rPr>
          <w:rFonts w:hint="eastAsia"/>
        </w:rPr>
        <w:tab/>
        <w:t>交换机端口密度低，服务器网卡25G</w:t>
      </w:r>
    </w:p>
    <w:p w14:paraId="3B721360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400G时代</w:t>
      </w:r>
      <w:r>
        <w:rPr>
          <w:rFonts w:hint="eastAsia"/>
        </w:rPr>
        <w:tab/>
      </w:r>
      <w:proofErr w:type="gramStart"/>
      <w:r>
        <w:rPr>
          <w:rFonts w:hint="eastAsia"/>
        </w:rPr>
        <w:t>胖树架构</w:t>
      </w:r>
      <w:proofErr w:type="gramEnd"/>
      <w:r>
        <w:rPr>
          <w:rFonts w:hint="eastAsia"/>
        </w:rPr>
        <w:t>升级</w:t>
      </w:r>
      <w:r>
        <w:rPr>
          <w:rFonts w:hint="eastAsia"/>
        </w:rPr>
        <w:tab/>
        <w:t>交换机向51.2T/102.4T背板演进，网卡升级100G/200G</w:t>
      </w:r>
    </w:p>
    <w:p w14:paraId="07FF2E4B" w14:textId="225E1AA6" w:rsidR="00852298" w:rsidRDefault="00852298" w:rsidP="00852298">
      <w:r>
        <w:rPr>
          <w:rFonts w:hint="eastAsia"/>
        </w:rPr>
        <w:t>800G/1.6T时代</w:t>
      </w:r>
      <w:r>
        <w:rPr>
          <w:rFonts w:hint="eastAsia"/>
        </w:rPr>
        <w:tab/>
        <w:t>直连/全光交换探索</w:t>
      </w:r>
      <w:r>
        <w:rPr>
          <w:rFonts w:hint="eastAsia"/>
        </w:rPr>
        <w:tab/>
        <w:t>CPO（共封装光学） 取代可插拔光模块，交换机与光引擎集成</w:t>
      </w:r>
    </w:p>
    <w:p w14:paraId="6B5DA5C9" w14:textId="77777777" w:rsidR="00852298" w:rsidRDefault="00852298" w:rsidP="00852298"/>
    <w:p w14:paraId="3BBA0035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算力集群</w:t>
      </w:r>
      <w:proofErr w:type="gramEnd"/>
      <w:r>
        <w:rPr>
          <w:rFonts w:hint="eastAsia"/>
        </w:rPr>
        <w:t>的"内存墙"与扩展瓶颈</w:t>
      </w:r>
    </w:p>
    <w:p w14:paraId="69A6CC24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在AI训练集群中，GPU/TPU之间的通信速率是 scaling efficiency 的关键：</w:t>
      </w:r>
    </w:p>
    <w:p w14:paraId="3EF26795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速率不足 → 节点间通信延迟高 → 大模型并行训练效率下降（线性度差）</w:t>
      </w:r>
    </w:p>
    <w:p w14:paraId="747C852F" w14:textId="77777777" w:rsidR="00852298" w:rsidRDefault="00852298" w:rsidP="00852298">
      <w:pPr>
        <w:rPr>
          <w:rFonts w:hint="eastAsia"/>
        </w:rPr>
      </w:pPr>
      <w:r>
        <w:rPr>
          <w:rFonts w:hint="eastAsia"/>
        </w:rPr>
        <w:t>速率提升 → 支持更大规模的参数同步（如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 xml:space="preserve"> + 高速光互联）</w:t>
      </w:r>
    </w:p>
    <w:p w14:paraId="67E84C86" w14:textId="680E55E8" w:rsidR="00852298" w:rsidRDefault="00852298" w:rsidP="00852298">
      <w:pPr>
        <w:rPr>
          <w:rFonts w:hint="eastAsia"/>
        </w:rPr>
      </w:pPr>
      <w:r>
        <w:rPr>
          <w:rFonts w:hint="eastAsia"/>
        </w:rPr>
        <w:t>下游影响：直接影响云厂商（AWS、Azure、Google、阿里云）</w:t>
      </w:r>
      <w:proofErr w:type="gramStart"/>
      <w:r>
        <w:rPr>
          <w:rFonts w:hint="eastAsia"/>
        </w:rPr>
        <w:t>的算力采购</w:t>
      </w:r>
      <w:proofErr w:type="gramEnd"/>
      <w:r>
        <w:rPr>
          <w:rFonts w:hint="eastAsia"/>
        </w:rPr>
        <w:t>策略和集群拓扑设计。例如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DGX GB200系统对1.6T光互联的依赖，会</w:t>
      </w:r>
      <w:proofErr w:type="gramStart"/>
      <w:r>
        <w:rPr>
          <w:rFonts w:hint="eastAsia"/>
        </w:rPr>
        <w:t>倒逼光芯片</w:t>
      </w:r>
      <w:proofErr w:type="gramEnd"/>
      <w:r>
        <w:rPr>
          <w:rFonts w:hint="eastAsia"/>
        </w:rPr>
        <w:t>厂商的交付节奏。</w:t>
      </w:r>
    </w:p>
    <w:sectPr w:rsidR="00852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00ADF" w14:textId="77777777" w:rsidR="00941835" w:rsidRDefault="00941835" w:rsidP="008522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326A59" w14:textId="77777777" w:rsidR="00941835" w:rsidRDefault="00941835" w:rsidP="008522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D2A0" w14:textId="77777777" w:rsidR="00941835" w:rsidRDefault="00941835" w:rsidP="008522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5DFB0A" w14:textId="77777777" w:rsidR="00941835" w:rsidRDefault="00941835" w:rsidP="008522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132B4"/>
    <w:multiLevelType w:val="hybridMultilevel"/>
    <w:tmpl w:val="B71050C4"/>
    <w:lvl w:ilvl="0" w:tplc="D1343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A66FC4"/>
    <w:multiLevelType w:val="hybridMultilevel"/>
    <w:tmpl w:val="954E6ADA"/>
    <w:lvl w:ilvl="0" w:tplc="C6BE1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9485704">
    <w:abstractNumId w:val="1"/>
  </w:num>
  <w:num w:numId="2" w16cid:durableId="112835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72"/>
    <w:rsid w:val="00556F3E"/>
    <w:rsid w:val="007A3B00"/>
    <w:rsid w:val="007D797E"/>
    <w:rsid w:val="00852298"/>
    <w:rsid w:val="008D6572"/>
    <w:rsid w:val="00941835"/>
    <w:rsid w:val="009655E1"/>
    <w:rsid w:val="00B0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06B94"/>
  <w15:chartTrackingRefBased/>
  <w15:docId w15:val="{1C7CBF82-166A-4626-942E-1C808098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5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5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5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5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5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5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5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5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6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5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5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65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5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5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5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5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5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5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65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22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22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22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22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278</Words>
  <Characters>329</Characters>
  <Application>Microsoft Office Word</Application>
  <DocSecurity>0</DocSecurity>
  <Lines>21</Lines>
  <Paragraphs>19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Zijun Zhou</cp:lastModifiedBy>
  <cp:revision>2</cp:revision>
  <dcterms:created xsi:type="dcterms:W3CDTF">2026-05-04T04:43:00Z</dcterms:created>
  <dcterms:modified xsi:type="dcterms:W3CDTF">2026-05-04T06:26:00Z</dcterms:modified>
</cp:coreProperties>
</file>