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FA99C6" w14:textId="4134B098" w:rsidR="00B7721B" w:rsidRPr="008F446E" w:rsidRDefault="00B7721B" w:rsidP="008D3FA1">
      <w:pPr>
        <w:pStyle w:val="1"/>
        <w:rPr>
          <w:rFonts w:ascii="楷体" w:eastAsia="楷体" w:hAnsi="楷体" w:hint="eastAsia"/>
        </w:rPr>
      </w:pPr>
      <w:r w:rsidRPr="008F446E">
        <w:rPr>
          <w:rFonts w:ascii="楷体" w:eastAsia="楷体" w:hAnsi="楷体" w:hint="eastAsia"/>
        </w:rPr>
        <w:t>2.投资逻辑</w:t>
      </w:r>
    </w:p>
    <w:p w14:paraId="2A42F1F7" w14:textId="5926D10D" w:rsidR="00B7721B" w:rsidRPr="008F446E" w:rsidRDefault="00B7721B" w:rsidP="00C9712A">
      <w:pPr>
        <w:pStyle w:val="2"/>
        <w:rPr>
          <w:rFonts w:ascii="楷体" w:eastAsia="楷体" w:hAnsi="楷体" w:hint="eastAsia"/>
        </w:rPr>
      </w:pPr>
      <w:r w:rsidRPr="008F446E">
        <w:rPr>
          <w:rFonts w:ascii="楷体" w:eastAsia="楷体" w:hAnsi="楷体" w:hint="eastAsia"/>
        </w:rPr>
        <w:t xml:space="preserve">1. </w:t>
      </w:r>
      <w:r w:rsidR="00CD336A" w:rsidRPr="008F446E">
        <w:rPr>
          <w:rFonts w:ascii="楷体" w:eastAsia="楷体" w:hAnsi="楷体" w:hint="eastAsia"/>
        </w:rPr>
        <w:t>AI的需求是最大的催化剂</w:t>
      </w:r>
    </w:p>
    <w:p w14:paraId="228F9ECF" w14:textId="0E9872D4" w:rsidR="00CD336A" w:rsidRPr="008F446E" w:rsidRDefault="00C9712A" w:rsidP="00C9712A">
      <w:pPr>
        <w:rPr>
          <w:rFonts w:ascii="楷体" w:eastAsia="楷体" w:hAnsi="楷体" w:hint="eastAsia"/>
        </w:rPr>
      </w:pPr>
      <w:r w:rsidRPr="008F446E">
        <w:rPr>
          <w:rFonts w:ascii="楷体" w:eastAsia="楷体" w:hAnsi="楷体" w:hint="eastAsia"/>
        </w:rPr>
        <w:t>AI是本轮通信行业发展最重要的推动力，AI模型训练和推理的需求促成了对于AIDC全产业链的需求传导，进一步地传导到所有可以参与数据通信的器件，以及云服务。发展算力已经成为当前半导体，通信，计算机的核心矛盾</w:t>
      </w:r>
      <w:r w:rsidR="00CD336A" w:rsidRPr="008F446E">
        <w:rPr>
          <w:rFonts w:ascii="楷体" w:eastAsia="楷体" w:hAnsi="楷体" w:hint="eastAsia"/>
        </w:rPr>
        <w:t>，</w:t>
      </w:r>
      <w:r w:rsidR="00CD336A" w:rsidRPr="008F446E">
        <w:rPr>
          <w:rFonts w:ascii="楷体" w:eastAsia="楷体" w:hAnsi="楷体"/>
        </w:rPr>
        <w:t>正在重构通信行业的需求底层</w:t>
      </w:r>
      <w:r w:rsidRPr="008F446E">
        <w:rPr>
          <w:rFonts w:ascii="楷体" w:eastAsia="楷体" w:hAnsi="楷体" w:hint="eastAsia"/>
        </w:rPr>
        <w:t>。</w:t>
      </w:r>
      <w:r w:rsidR="00CD336A" w:rsidRPr="008F446E">
        <w:rPr>
          <w:rFonts w:ascii="楷体" w:eastAsia="楷体" w:hAnsi="楷体" w:hint="eastAsia"/>
        </w:rPr>
        <w:t>产业链价值中心的迁移迹象已经出现，</w:t>
      </w:r>
      <w:r w:rsidR="00CD336A" w:rsidRPr="008F446E">
        <w:rPr>
          <w:rFonts w:ascii="楷体" w:eastAsia="楷体" w:hAnsi="楷体"/>
        </w:rPr>
        <w:t>AIDC（AI数据中心）建设从半导体（GPU/ASIC）出发，向上游传导至光模块、交换机、高速铜缆等互联器件，再向上延伸至云服务与算力调度平台。在这一传导链条中，通信设备不再是传统意义上的"基础设施配套"，而是算力网络的物理载体与瓶颈环节</w:t>
      </w:r>
      <w:r w:rsidR="00CD336A" w:rsidRPr="008F446E">
        <w:rPr>
          <w:rFonts w:ascii="楷体" w:eastAsia="楷体" w:hAnsi="楷体" w:hint="eastAsia"/>
        </w:rPr>
        <w:t>。</w:t>
      </w:r>
      <w:r w:rsidR="00CD336A" w:rsidRPr="008F446E">
        <w:rPr>
          <w:rFonts w:ascii="楷体" w:eastAsia="楷体" w:hAnsi="楷体"/>
        </w:rPr>
        <w:t>当前半导体、通信、计算机三大行业的资本开支与研发投入，正围绕"算力最大化"这一核心矛盾形成共振，通信产业由此被嵌入一条非周期性的高成长轨道。</w:t>
      </w:r>
    </w:p>
    <w:p w14:paraId="6FA999FC" w14:textId="09C0DEBB" w:rsidR="00C9712A" w:rsidRPr="008F446E" w:rsidRDefault="00C9712A" w:rsidP="00C9712A">
      <w:pPr>
        <w:pStyle w:val="2"/>
        <w:rPr>
          <w:rFonts w:ascii="楷体" w:eastAsia="楷体" w:hAnsi="楷体" w:hint="eastAsia"/>
        </w:rPr>
      </w:pPr>
      <w:r w:rsidRPr="008F446E">
        <w:rPr>
          <w:rFonts w:ascii="楷体" w:eastAsia="楷体" w:hAnsi="楷体" w:hint="eastAsia"/>
        </w:rPr>
        <w:t xml:space="preserve">2. </w:t>
      </w:r>
      <w:r w:rsidR="00CD336A" w:rsidRPr="008F446E">
        <w:rPr>
          <w:rFonts w:ascii="楷体" w:eastAsia="楷体" w:hAnsi="楷体" w:hint="eastAsia"/>
        </w:rPr>
        <w:t>通信从成熟期向混合阶段的变化</w:t>
      </w:r>
    </w:p>
    <w:p w14:paraId="08A2DC30" w14:textId="77777777" w:rsidR="00CD336A" w:rsidRPr="008F446E" w:rsidRDefault="00CD336A" w:rsidP="00CD336A">
      <w:pPr>
        <w:rPr>
          <w:rFonts w:ascii="楷体" w:eastAsia="楷体" w:hAnsi="楷体" w:hint="eastAsia"/>
        </w:rPr>
      </w:pPr>
      <w:r w:rsidRPr="008F446E">
        <w:rPr>
          <w:rFonts w:ascii="楷体" w:eastAsia="楷体" w:hAnsi="楷体"/>
        </w:rPr>
        <w:t>AI的渗透并非仅限于算力基建本身，它同时充当着传统通信业态的转型催化剂。以运营商为例，2024年起中国移动、中国电信、中国联通的资本开支结构出现显著拐点：5G网络投资占比下降，而算力网络/智算中心投资</w:t>
      </w:r>
      <w:r w:rsidRPr="008F446E">
        <w:rPr>
          <w:rFonts w:ascii="楷体" w:eastAsia="楷体" w:hAnsi="楷体" w:hint="eastAsia"/>
        </w:rPr>
        <w:t>占比在22-28%之间，2026年的相关投资预算占比在35%左右</w:t>
      </w:r>
      <w:r w:rsidRPr="008F446E">
        <w:rPr>
          <w:rFonts w:ascii="楷体" w:eastAsia="楷体" w:hAnsi="楷体"/>
        </w:rPr>
        <w:t>，</w:t>
      </w:r>
      <w:r w:rsidRPr="008F446E">
        <w:rPr>
          <w:rFonts w:ascii="楷体" w:eastAsia="楷体" w:hAnsi="楷体" w:hint="eastAsia"/>
        </w:rPr>
        <w:t>可见</w:t>
      </w:r>
      <w:r w:rsidRPr="008F446E">
        <w:rPr>
          <w:rFonts w:ascii="楷体" w:eastAsia="楷体" w:hAnsi="楷体"/>
        </w:rPr>
        <w:t>运营商正从"连接提供商"向"算力服务商"身份迁移。</w:t>
      </w:r>
    </w:p>
    <w:p w14:paraId="02560FC0" w14:textId="31B1AF67" w:rsidR="00CD336A" w:rsidRPr="008F446E" w:rsidRDefault="00CD336A" w:rsidP="00CD336A">
      <w:pPr>
        <w:rPr>
          <w:rFonts w:ascii="楷体" w:eastAsia="楷体" w:hAnsi="楷体" w:hint="eastAsia"/>
        </w:rPr>
      </w:pPr>
      <w:r w:rsidRPr="008F446E">
        <w:rPr>
          <w:rFonts w:ascii="楷体" w:eastAsia="楷体" w:hAnsi="楷体"/>
        </w:rPr>
        <w:t>另一典型是光纤产业——这一曾被视作高度周期性的"基建材料"，在AI数据中心内部互联需求的拉动下，经历了从电信传输介质（单模长距）到数据中心短距高密度互联（多模OM4/OM5、MPO预端接方案）的产品范式跃迁，其定价逻辑从"按芯公里计价"转向"按链路解决方案计价"，毛利率中枢获得系统性抬升。类似地，基站正在从"信号覆盖设备"演变为边缘计算节点，光模块从电信传输配件升级为算力网络的"光学引擎"。AI赋予这些成熟业务以新的成长叙事，使其估值框架从周期股向成长股切换。</w:t>
      </w:r>
    </w:p>
    <w:p w14:paraId="002B1B90" w14:textId="1A19089B" w:rsidR="00C9712A" w:rsidRPr="008F446E" w:rsidRDefault="00C9712A" w:rsidP="00C9712A">
      <w:pPr>
        <w:pStyle w:val="2"/>
        <w:rPr>
          <w:rFonts w:ascii="楷体" w:eastAsia="楷体" w:hAnsi="楷体" w:hint="eastAsia"/>
        </w:rPr>
      </w:pPr>
      <w:r w:rsidRPr="008F446E">
        <w:rPr>
          <w:rFonts w:ascii="楷体" w:eastAsia="楷体" w:hAnsi="楷体" w:hint="eastAsia"/>
        </w:rPr>
        <w:t xml:space="preserve">3. </w:t>
      </w:r>
      <w:r w:rsidR="00475FD4" w:rsidRPr="008F446E">
        <w:rPr>
          <w:rFonts w:ascii="楷体" w:eastAsia="楷体" w:hAnsi="楷体" w:hint="eastAsia"/>
        </w:rPr>
        <w:t>远期期权：</w:t>
      </w:r>
      <w:r w:rsidRPr="008F446E">
        <w:rPr>
          <w:rFonts w:ascii="楷体" w:eastAsia="楷体" w:hAnsi="楷体" w:hint="eastAsia"/>
        </w:rPr>
        <w:t>5G-A，</w:t>
      </w:r>
      <w:r w:rsidR="00475FD4" w:rsidRPr="008F446E">
        <w:rPr>
          <w:rFonts w:ascii="楷体" w:eastAsia="楷体" w:hAnsi="楷体" w:hint="eastAsia"/>
        </w:rPr>
        <w:t>6G与</w:t>
      </w:r>
      <w:r w:rsidRPr="008F446E">
        <w:rPr>
          <w:rFonts w:ascii="楷体" w:eastAsia="楷体" w:hAnsi="楷体" w:hint="eastAsia"/>
        </w:rPr>
        <w:t>星间</w:t>
      </w:r>
    </w:p>
    <w:p w14:paraId="322DD6C4" w14:textId="22F851BB" w:rsidR="00CD336A" w:rsidRDefault="008F446E" w:rsidP="00CD336A">
      <w:pPr>
        <w:rPr>
          <w:rFonts w:ascii="楷体" w:eastAsia="楷体" w:hAnsi="楷体" w:hint="eastAsia"/>
        </w:rPr>
      </w:pPr>
      <w:r w:rsidRPr="008F446E">
        <w:rPr>
          <w:rFonts w:ascii="楷体" w:eastAsia="楷体" w:hAnsi="楷体" w:hint="eastAsia"/>
        </w:rPr>
        <w:t>首先是5G-A</w:t>
      </w:r>
      <w:r>
        <w:rPr>
          <w:rFonts w:ascii="楷体" w:eastAsia="楷体" w:hAnsi="楷体" w:hint="eastAsia"/>
        </w:rPr>
        <w:t>。5G-A作为国家电信下一阶段的发展目标，其定位与5G广覆盖高带宽之叙事其实不同，5G-A的核心增量在于场景化的解锁，比如通感（通信感知融合），低空经济（无人机物流，城际中短途空中交通），网络智能化（AI实时调度频谱）。主要的落地场景在于低空走廊，工业制造园区，智慧港口等高价值场景</w:t>
      </w:r>
      <w:r w:rsidR="00F14630">
        <w:rPr>
          <w:rFonts w:ascii="楷体" w:eastAsia="楷体" w:hAnsi="楷体" w:hint="eastAsia"/>
        </w:rPr>
        <w:t>，目前5G-A已经有一部分场景落地。</w:t>
      </w:r>
    </w:p>
    <w:p w14:paraId="7F9ADA77" w14:textId="271E6886" w:rsidR="00CC6107" w:rsidRDefault="00CC6107" w:rsidP="00CD336A">
      <w:pPr>
        <w:rPr>
          <w:rFonts w:ascii="楷体" w:eastAsia="楷体" w:hAnsi="楷体"/>
        </w:rPr>
      </w:pPr>
      <w:r>
        <w:rPr>
          <w:rFonts w:ascii="楷体" w:eastAsia="楷体" w:hAnsi="楷体" w:hint="eastAsia"/>
        </w:rPr>
        <w:t>其次，</w:t>
      </w:r>
      <w:r w:rsidR="006909EF" w:rsidRPr="006909EF">
        <w:rPr>
          <w:rFonts w:ascii="楷体" w:eastAsia="楷体" w:hAnsi="楷体"/>
        </w:rPr>
        <w:t>6G目前处于ITU-R愿景建议书（2030年商用目标）与3GPP预研启动的交汇点，市场对其投资必要性的质疑集中于"技术路径未定、回报周期过长"。但恰恰是这种高度不确定性，构成了6G作为远期期权的独特价值。</w:t>
      </w:r>
    </w:p>
    <w:p w14:paraId="17A9054E" w14:textId="5FC60A74" w:rsidR="006909EF" w:rsidRPr="00B44AA2" w:rsidRDefault="006909EF" w:rsidP="00CD336A">
      <w:pPr>
        <w:rPr>
          <w:rFonts w:ascii="楷体" w:eastAsia="Yu Mincho" w:hAnsi="楷体" w:hint="eastAsia"/>
          <w:lang w:eastAsia="ja-JP"/>
        </w:rPr>
      </w:pPr>
      <w:r>
        <w:rPr>
          <w:rFonts w:ascii="楷体" w:eastAsia="楷体" w:hAnsi="楷体" w:hint="eastAsia"/>
        </w:rPr>
        <w:lastRenderedPageBreak/>
        <w:t>第三，</w:t>
      </w:r>
      <w:r w:rsidRPr="006909EF">
        <w:rPr>
          <w:rFonts w:ascii="楷体" w:eastAsia="楷体" w:hAnsi="楷体"/>
        </w:rPr>
        <w:t>星间通信（Inter-Satellite Link, ISL）是卫星互联网从"地面中继"模式向"空间组网"模式跃迁的关键技术，其投资必要性需置于轨道-频谱资源的硬约束下理解。ITU的"先占先得"规则与低轨星座的轨道面容量限制（LEO轨道在600-1200km高度可容纳的卫星总数存在物理上限）意味着，未来五年的星座发射节奏不仅决定商业成败，更关乎国家信息基础设施的主权完整性。星间通信的技术路线——无论是微波链路还是激光通信（空间光通信，OISL）——直接影响星座的时延性能、覆盖效率与抗干扰能力。SpaceX星链已验证激光星间链路可将单跳时延降至毫秒级，而国内星网、G60千帆星座的ISL方案尚在工程化攻关阶段。这一差距构成了紧迫的技术投资窗口</w:t>
      </w:r>
      <w:r>
        <w:rPr>
          <w:rFonts w:ascii="楷体" w:eastAsia="楷体" w:hAnsi="楷体" w:hint="eastAsia"/>
        </w:rPr>
        <w:t>。</w:t>
      </w:r>
    </w:p>
    <w:p w14:paraId="13878213" w14:textId="3E1B50BC" w:rsidR="00C9712A" w:rsidRPr="008F446E" w:rsidRDefault="00C9712A" w:rsidP="00C9712A">
      <w:pPr>
        <w:pStyle w:val="2"/>
        <w:rPr>
          <w:rFonts w:ascii="楷体" w:eastAsia="楷体" w:hAnsi="楷体" w:hint="eastAsia"/>
        </w:rPr>
      </w:pPr>
      <w:r w:rsidRPr="008F446E">
        <w:rPr>
          <w:rFonts w:ascii="楷体" w:eastAsia="楷体" w:hAnsi="楷体" w:hint="eastAsia"/>
        </w:rPr>
        <w:t>4. 去美国化逻辑</w:t>
      </w:r>
    </w:p>
    <w:p w14:paraId="7CA7D881" w14:textId="77777777" w:rsidR="008F446E" w:rsidRPr="008F446E" w:rsidRDefault="008F446E" w:rsidP="008F446E">
      <w:pPr>
        <w:rPr>
          <w:rFonts w:ascii="楷体" w:eastAsia="楷体" w:hAnsi="楷体" w:hint="eastAsia"/>
        </w:rPr>
      </w:pPr>
    </w:p>
    <w:p w14:paraId="429E0DE1" w14:textId="285BEF5D" w:rsidR="00675F7C" w:rsidRPr="008F446E" w:rsidRDefault="00CF2996" w:rsidP="008D3FA1">
      <w:pPr>
        <w:pStyle w:val="1"/>
        <w:rPr>
          <w:rFonts w:ascii="楷体" w:eastAsia="楷体" w:hAnsi="楷体" w:hint="eastAsia"/>
        </w:rPr>
      </w:pPr>
      <w:r w:rsidRPr="008F446E">
        <w:rPr>
          <w:rFonts w:ascii="楷体" w:eastAsia="楷体" w:hAnsi="楷体" w:hint="eastAsia"/>
        </w:rPr>
        <w:t>3.行业概况</w:t>
      </w:r>
    </w:p>
    <w:p w14:paraId="3B92CC47" w14:textId="59ACD9E4" w:rsidR="00015F58" w:rsidRPr="008F446E" w:rsidRDefault="00015F58" w:rsidP="00015F58">
      <w:pPr>
        <w:rPr>
          <w:rFonts w:ascii="楷体" w:eastAsia="楷体" w:hAnsi="楷体" w:hint="eastAsia"/>
        </w:rPr>
      </w:pPr>
      <w:r w:rsidRPr="008F446E">
        <w:rPr>
          <w:rFonts w:ascii="楷体" w:eastAsia="楷体" w:hAnsi="楷体" w:hint="eastAsia"/>
        </w:rPr>
        <w:t>Brainstorm</w:t>
      </w:r>
    </w:p>
    <w:p w14:paraId="7A7C8FB3" w14:textId="1FAC1986" w:rsidR="00015F58" w:rsidRPr="008F446E" w:rsidRDefault="00B7721B" w:rsidP="00B7721B">
      <w:pPr>
        <w:rPr>
          <w:rFonts w:ascii="楷体" w:eastAsia="楷体" w:hAnsi="楷体" w:hint="eastAsia"/>
        </w:rPr>
      </w:pPr>
      <w:r w:rsidRPr="008F446E">
        <w:rPr>
          <w:rFonts w:ascii="楷体" w:eastAsia="楷体" w:hAnsi="楷体" w:hint="eastAsia"/>
        </w:rPr>
        <w:t>从行业所属的生命</w:t>
      </w:r>
      <w:r w:rsidR="00015F58" w:rsidRPr="008F446E">
        <w:rPr>
          <w:rFonts w:ascii="楷体" w:eastAsia="楷体" w:hAnsi="楷体" w:hint="eastAsia"/>
        </w:rPr>
        <w:t>阶段来讲，通信属于</w:t>
      </w:r>
      <w:r w:rsidRPr="008F446E">
        <w:rPr>
          <w:rFonts w:ascii="楷体" w:eastAsia="楷体" w:hAnsi="楷体" w:hint="eastAsia"/>
        </w:rPr>
        <w:t>多个阶段混合转型的时期，各个主要子版块都有自己所处的阶段</w:t>
      </w:r>
    </w:p>
    <w:p w14:paraId="75AB29CB" w14:textId="6EA7D3DA" w:rsidR="002D0CD8" w:rsidRPr="008F446E" w:rsidRDefault="002D0CD8" w:rsidP="00015F58">
      <w:pPr>
        <w:rPr>
          <w:rFonts w:ascii="楷体" w:eastAsia="楷体" w:hAnsi="楷体" w:hint="eastAsia"/>
        </w:rPr>
      </w:pPr>
      <w:r w:rsidRPr="008F446E">
        <w:rPr>
          <w:rFonts w:ascii="楷体" w:eastAsia="楷体" w:hAnsi="楷体"/>
          <w:noProof/>
        </w:rPr>
        <w:drawing>
          <wp:inline distT="0" distB="0" distL="0" distR="0" wp14:anchorId="37773CF8" wp14:editId="31FE9650">
            <wp:extent cx="5274310" cy="1725930"/>
            <wp:effectExtent l="0" t="0" r="2540" b="7620"/>
            <wp:docPr id="18150602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60219" name=""/>
                    <pic:cNvPicPr/>
                  </pic:nvPicPr>
                  <pic:blipFill>
                    <a:blip r:embed="rId7"/>
                    <a:stretch>
                      <a:fillRect/>
                    </a:stretch>
                  </pic:blipFill>
                  <pic:spPr>
                    <a:xfrm>
                      <a:off x="0" y="0"/>
                      <a:ext cx="5274310" cy="1725930"/>
                    </a:xfrm>
                    <a:prstGeom prst="rect">
                      <a:avLst/>
                    </a:prstGeom>
                  </pic:spPr>
                </pic:pic>
              </a:graphicData>
            </a:graphic>
          </wp:inline>
        </w:drawing>
      </w:r>
    </w:p>
    <w:p w14:paraId="7E9D68AB" w14:textId="3A71EB1C" w:rsidR="00CD5871" w:rsidRPr="008F446E" w:rsidRDefault="00CD5871" w:rsidP="00015F58">
      <w:pPr>
        <w:rPr>
          <w:rFonts w:ascii="楷体" w:eastAsia="楷体" w:hAnsi="楷体" w:hint="eastAsia"/>
        </w:rPr>
      </w:pPr>
      <w:r w:rsidRPr="008F446E">
        <w:rPr>
          <w:rFonts w:ascii="楷体" w:eastAsia="楷体" w:hAnsi="楷体" w:hint="eastAsia"/>
        </w:rPr>
        <w:t>从产业生命周期视角，通信行业已跨越由5G驱动的第一轮高速成长期，整体进入成熟期基底。但AI大模型与算力集群的爆发，正在催生第二轮技术迭代周期——数据中心内部及之间的连接密度、带宽、延迟要求被重新定义，光通信从'电信配套'升级为'算力核心基建'。这使得通信行业在宏观上呈现'成熟期+二次成长'的复合形态：传统通信提供现金流安全垫与股息防御属性，新型算力通信提供估值弹性与成长期权。</w:t>
      </w:r>
    </w:p>
    <w:p w14:paraId="4047EE5C" w14:textId="7E7EC6A4" w:rsidR="002D0CD8" w:rsidRPr="008F446E" w:rsidRDefault="00314A0D" w:rsidP="00015F58">
      <w:pPr>
        <w:rPr>
          <w:rFonts w:ascii="楷体" w:eastAsia="楷体" w:hAnsi="楷体" w:hint="eastAsia"/>
        </w:rPr>
      </w:pPr>
      <w:r w:rsidRPr="008F446E">
        <w:rPr>
          <w:rFonts w:ascii="楷体" w:eastAsia="楷体" w:hAnsi="楷体" w:hint="eastAsia"/>
        </w:rPr>
        <w:t>从产业生命阶段横向观察，从传统到新型的老中青</w:t>
      </w:r>
      <w:r w:rsidR="004642B3" w:rsidRPr="008F446E">
        <w:rPr>
          <w:rFonts w:ascii="楷体" w:eastAsia="楷体" w:hAnsi="楷体" w:hint="eastAsia"/>
        </w:rPr>
        <w:t>状态非常明显</w:t>
      </w:r>
    </w:p>
    <w:p w14:paraId="1CE308C6" w14:textId="77777777" w:rsidR="00014D4A" w:rsidRPr="008F446E" w:rsidRDefault="004642B3" w:rsidP="008D3FA1">
      <w:pPr>
        <w:pStyle w:val="2"/>
        <w:rPr>
          <w:rFonts w:ascii="楷体" w:eastAsia="楷体" w:hAnsi="楷体" w:hint="eastAsia"/>
        </w:rPr>
      </w:pPr>
      <w:r w:rsidRPr="008F446E">
        <w:rPr>
          <w:rFonts w:ascii="楷体" w:eastAsia="楷体" w:hAnsi="楷体" w:hint="eastAsia"/>
        </w:rPr>
        <w:lastRenderedPageBreak/>
        <w:t>成熟期：</w:t>
      </w:r>
    </w:p>
    <w:p w14:paraId="0505E329" w14:textId="1B3CAA41" w:rsidR="00E931B9" w:rsidRPr="008F446E" w:rsidRDefault="004642B3" w:rsidP="008D3FA1">
      <w:pPr>
        <w:pStyle w:val="3"/>
        <w:rPr>
          <w:rFonts w:ascii="楷体" w:eastAsia="楷体" w:hAnsi="楷体" w:hint="eastAsia"/>
        </w:rPr>
      </w:pPr>
      <w:r w:rsidRPr="008F446E">
        <w:rPr>
          <w:rFonts w:ascii="楷体" w:eastAsia="楷体" w:hAnsi="楷体" w:hint="eastAsia"/>
        </w:rPr>
        <w:t>运营商</w:t>
      </w:r>
      <w:r w:rsidR="00014D4A" w:rsidRPr="008F446E">
        <w:rPr>
          <w:rFonts w:ascii="楷体" w:eastAsia="楷体" w:hAnsi="楷体" w:hint="eastAsia"/>
        </w:rPr>
        <w:t>移动/固网/5g业务</w:t>
      </w:r>
    </w:p>
    <w:p w14:paraId="4CC7278A" w14:textId="2CB19910" w:rsidR="00076D3A" w:rsidRPr="008F446E" w:rsidRDefault="00076D3A" w:rsidP="00076D3A">
      <w:pPr>
        <w:rPr>
          <w:rFonts w:ascii="楷体" w:eastAsia="楷体" w:hAnsi="楷体" w:hint="eastAsia"/>
        </w:rPr>
      </w:pPr>
      <w:r w:rsidRPr="008F446E">
        <w:rPr>
          <w:rFonts w:ascii="楷体" w:eastAsia="楷体" w:hAnsi="楷体" w:hint="eastAsia"/>
        </w:rPr>
        <w:t>运营商是前AI时代的通信产业主力</w:t>
      </w:r>
      <w:r w:rsidR="00796206" w:rsidRPr="008F446E">
        <w:rPr>
          <w:rFonts w:ascii="楷体" w:eastAsia="楷体" w:hAnsi="楷体" w:hint="eastAsia"/>
        </w:rPr>
        <w:t>。 经营业绩层面，据工信部统计，2025 年前三季度国内电信业务累计收入为 13270 亿元，同比增长 0.9%（9M24：2.6%），电信业务总量同比增长 9%（9M24：10.7%），较去年同期收入增速有所放缓。我们认为主要系当前国内移动电话用户数总量已达 18.28 亿户，5G 移动电话用户占比也已提升至 63.9%，移动电话用户量的增长逐步触及天花板。细分来看，移动互联网流量仍然保持较快增长，1-9 月移动互联网累计流量达到 2874 亿 GB，同比增长 16.6%，5月户均移动互联网接入流量（DOU）达到 21.23GB/户·月，同比增长 15.5%；固网业务方面，固网接入用户总数达到 6.95 亿户，较2024年末净增长 2486 万，千兆宽带用户数占比提升至 33.9%，固网业务市场收入仍然具备良好的成长性。传统业务基本盘仍然</w:t>
      </w:r>
      <w:commentRangeStart w:id="0"/>
      <w:commentRangeStart w:id="1"/>
      <w:r w:rsidR="00796206" w:rsidRPr="008F446E">
        <w:rPr>
          <w:rFonts w:ascii="楷体" w:eastAsia="楷体" w:hAnsi="楷体" w:hint="eastAsia"/>
        </w:rPr>
        <w:t>稳固</w:t>
      </w:r>
      <w:commentRangeEnd w:id="0"/>
      <w:r w:rsidR="00B7721B" w:rsidRPr="008F446E">
        <w:rPr>
          <w:rStyle w:val="af5"/>
          <w:rFonts w:ascii="楷体" w:eastAsia="楷体" w:hAnsi="楷体" w:hint="eastAsia"/>
          <w:sz w:val="22"/>
          <w:szCs w:val="24"/>
        </w:rPr>
        <w:commentReference w:id="0"/>
      </w:r>
      <w:commentRangeEnd w:id="1"/>
      <w:r w:rsidR="00B7721B" w:rsidRPr="008F446E">
        <w:rPr>
          <w:rStyle w:val="af5"/>
          <w:rFonts w:ascii="楷体" w:eastAsia="楷体" w:hAnsi="楷体" w:hint="eastAsia"/>
          <w:sz w:val="22"/>
          <w:szCs w:val="24"/>
        </w:rPr>
        <w:commentReference w:id="1"/>
      </w:r>
      <w:r w:rsidR="00796206" w:rsidRPr="008F446E">
        <w:rPr>
          <w:rFonts w:ascii="楷体" w:eastAsia="楷体" w:hAnsi="楷体" w:hint="eastAsia"/>
        </w:rPr>
        <w:t>。</w:t>
      </w:r>
    </w:p>
    <w:p w14:paraId="01112A21" w14:textId="77777777" w:rsidR="00275FE3" w:rsidRPr="008F446E" w:rsidRDefault="00275FE3" w:rsidP="00076D3A">
      <w:pPr>
        <w:rPr>
          <w:rFonts w:ascii="楷体" w:eastAsia="楷体" w:hAnsi="楷体" w:hint="eastAsia"/>
        </w:rPr>
      </w:pPr>
    </w:p>
    <w:p w14:paraId="648D3743" w14:textId="188E003A" w:rsidR="00796206" w:rsidRPr="008F446E" w:rsidRDefault="00796206" w:rsidP="00076D3A">
      <w:pPr>
        <w:rPr>
          <w:rFonts w:ascii="楷体" w:eastAsia="楷体" w:hAnsi="楷体" w:hint="eastAsia"/>
        </w:rPr>
      </w:pPr>
      <w:r w:rsidRPr="008F446E">
        <w:rPr>
          <w:rFonts w:ascii="楷体" w:eastAsia="楷体" w:hAnsi="楷体"/>
          <w:noProof/>
        </w:rPr>
        <w:drawing>
          <wp:inline distT="0" distB="0" distL="0" distR="0" wp14:anchorId="1AAB605A" wp14:editId="699E7D8F">
            <wp:extent cx="5274310" cy="2103755"/>
            <wp:effectExtent l="0" t="0" r="2540" b="0"/>
            <wp:docPr id="5238445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844596" name=""/>
                    <pic:cNvPicPr/>
                  </pic:nvPicPr>
                  <pic:blipFill>
                    <a:blip r:embed="rId12"/>
                    <a:stretch>
                      <a:fillRect/>
                    </a:stretch>
                  </pic:blipFill>
                  <pic:spPr>
                    <a:xfrm>
                      <a:off x="0" y="0"/>
                      <a:ext cx="5274310" cy="2103755"/>
                    </a:xfrm>
                    <a:prstGeom prst="rect">
                      <a:avLst/>
                    </a:prstGeom>
                  </pic:spPr>
                </pic:pic>
              </a:graphicData>
            </a:graphic>
          </wp:inline>
        </w:drawing>
      </w:r>
    </w:p>
    <w:p w14:paraId="45A4A4B6" w14:textId="3879316F" w:rsidR="00796206" w:rsidRPr="008F446E" w:rsidRDefault="00796206" w:rsidP="00076D3A">
      <w:pPr>
        <w:rPr>
          <w:rFonts w:ascii="楷体" w:eastAsia="楷体" w:hAnsi="楷体" w:hint="eastAsia"/>
        </w:rPr>
      </w:pPr>
      <w:r w:rsidRPr="008F446E">
        <w:rPr>
          <w:rFonts w:ascii="楷体" w:eastAsia="楷体" w:hAnsi="楷体"/>
          <w:noProof/>
        </w:rPr>
        <w:drawing>
          <wp:inline distT="0" distB="0" distL="0" distR="0" wp14:anchorId="1C6A40EC" wp14:editId="22C39A30">
            <wp:extent cx="5274310" cy="1952625"/>
            <wp:effectExtent l="0" t="0" r="2540" b="9525"/>
            <wp:docPr id="12663954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95493" name=""/>
                    <pic:cNvPicPr/>
                  </pic:nvPicPr>
                  <pic:blipFill>
                    <a:blip r:embed="rId13"/>
                    <a:stretch>
                      <a:fillRect/>
                    </a:stretch>
                  </pic:blipFill>
                  <pic:spPr>
                    <a:xfrm>
                      <a:off x="0" y="0"/>
                      <a:ext cx="5274310" cy="1952625"/>
                    </a:xfrm>
                    <a:prstGeom prst="rect">
                      <a:avLst/>
                    </a:prstGeom>
                  </pic:spPr>
                </pic:pic>
              </a:graphicData>
            </a:graphic>
          </wp:inline>
        </w:drawing>
      </w:r>
    </w:p>
    <w:p w14:paraId="1764F911" w14:textId="77777777" w:rsidR="009A5C53" w:rsidRPr="008F446E" w:rsidRDefault="009A5C53" w:rsidP="008D3FA1">
      <w:pPr>
        <w:pStyle w:val="2"/>
        <w:rPr>
          <w:rFonts w:ascii="楷体" w:eastAsia="楷体" w:hAnsi="楷体" w:hint="eastAsia"/>
        </w:rPr>
      </w:pPr>
      <w:r w:rsidRPr="008F446E">
        <w:rPr>
          <w:rFonts w:ascii="楷体" w:eastAsia="楷体" w:hAnsi="楷体" w:hint="eastAsia"/>
        </w:rPr>
        <w:lastRenderedPageBreak/>
        <w:t>成长期</w:t>
      </w:r>
    </w:p>
    <w:p w14:paraId="17B3AC90" w14:textId="77777777" w:rsidR="009A5C53" w:rsidRPr="008F446E" w:rsidRDefault="009A5C53" w:rsidP="00881CFD">
      <w:pPr>
        <w:pStyle w:val="3"/>
        <w:rPr>
          <w:rFonts w:ascii="楷体" w:eastAsia="楷体" w:hAnsi="楷体" w:hint="eastAsia"/>
        </w:rPr>
      </w:pPr>
      <w:r w:rsidRPr="008F446E">
        <w:rPr>
          <w:rFonts w:ascii="楷体" w:eastAsia="楷体" w:hAnsi="楷体" w:hint="eastAsia"/>
        </w:rPr>
        <w:t>光芯片</w:t>
      </w:r>
    </w:p>
    <w:p w14:paraId="7FFE6F6E" w14:textId="31EA2853" w:rsidR="00D21183" w:rsidRPr="008F446E" w:rsidRDefault="00D21183" w:rsidP="00D21183">
      <w:pPr>
        <w:pStyle w:val="4"/>
        <w:rPr>
          <w:rFonts w:ascii="楷体" w:eastAsia="楷体" w:hAnsi="楷体" w:hint="eastAsia"/>
        </w:rPr>
      </w:pPr>
      <w:r w:rsidRPr="008F446E">
        <w:rPr>
          <w:rFonts w:ascii="楷体" w:eastAsia="楷体" w:hAnsi="楷体" w:hint="eastAsia"/>
        </w:rPr>
        <w:t>概况</w:t>
      </w:r>
    </w:p>
    <w:p w14:paraId="59A9B61A" w14:textId="77777777" w:rsidR="00D21183" w:rsidRPr="008F446E" w:rsidRDefault="00D21183" w:rsidP="00D21183">
      <w:pPr>
        <w:rPr>
          <w:rFonts w:ascii="楷体" w:eastAsia="楷体" w:hAnsi="楷体" w:hint="eastAsia"/>
        </w:rPr>
      </w:pPr>
      <w:r w:rsidRPr="008F446E">
        <w:rPr>
          <w:rFonts w:ascii="楷体" w:eastAsia="楷体" w:hAnsi="楷体"/>
        </w:rPr>
        <w:t>激光器芯片分为VCSEL、DFB、EML芯片等。激光器芯片根据出光结构可以分成面发射芯片即激光垂直于反应区射出，以及边发射芯片即激光平行于反应区射出。面发射芯片包括VCSEL芯片，通常用于3D传感和数据中心柜内短距互联等场景。边发射芯片包括FP、DFB和EML芯片，其中FP和DFB均属于直接调制，DFB在FP的基础上通过布拉格光栅，实现稳定的单纵模输出，适配中长传输距离。EML属于外调制，集成DFB与EAM电吸收调制器，啁啾较DFB更小，在高速率、长距离传输场景下性能更佳，通常用于高速数据中心互联和长途电信干线网络等。</w:t>
      </w:r>
    </w:p>
    <w:p w14:paraId="3F5FCF8A" w14:textId="0C06234F" w:rsidR="00D21183" w:rsidRPr="008F446E" w:rsidRDefault="00D21183" w:rsidP="00D21183">
      <w:pPr>
        <w:rPr>
          <w:rFonts w:ascii="楷体" w:eastAsia="楷体" w:hAnsi="楷体" w:hint="eastAsia"/>
        </w:rPr>
      </w:pPr>
      <w:r w:rsidRPr="008F446E">
        <w:rPr>
          <w:rFonts w:ascii="楷体" w:eastAsia="楷体" w:hAnsi="楷体" w:hint="eastAsia"/>
          <w:noProof/>
        </w:rPr>
        <w:drawing>
          <wp:inline distT="0" distB="0" distL="0" distR="0" wp14:anchorId="68084C7C" wp14:editId="216B0D49">
            <wp:extent cx="5372100" cy="1952625"/>
            <wp:effectExtent l="0" t="0" r="0" b="9525"/>
            <wp:docPr id="169547676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72100" cy="1952625"/>
                    </a:xfrm>
                    <a:prstGeom prst="rect">
                      <a:avLst/>
                    </a:prstGeom>
                    <a:noFill/>
                  </pic:spPr>
                </pic:pic>
              </a:graphicData>
            </a:graphic>
          </wp:inline>
        </w:drawing>
      </w:r>
    </w:p>
    <w:p w14:paraId="0DFDFAA8" w14:textId="66162B6D" w:rsidR="002D186A" w:rsidRPr="008F446E" w:rsidRDefault="002D186A" w:rsidP="002D186A">
      <w:pPr>
        <w:rPr>
          <w:rFonts w:ascii="楷体" w:eastAsia="楷体" w:hAnsi="楷体" w:hint="eastAsia"/>
        </w:rPr>
      </w:pPr>
      <w:r w:rsidRPr="008F446E">
        <w:rPr>
          <w:rFonts w:ascii="楷体" w:eastAsia="楷体" w:hAnsi="楷体" w:hint="eastAsia"/>
        </w:rPr>
        <w:t>市场格局上，海外厂商把控光芯片市场。全球光通信芯片市场呈现出明显的梯队竞争格局。Broadcom、Lumentum、Coherent等欧美企业凭借深厚的技术积累、长期的市场耕耘以及强大的研发实力，处于第一梯队，牢牢占据主要市场份额。在高端产品领域，如高速率、高性能的EML芯片、复杂的光集成芯片等方面，它们拥有绝对优势，广泛应用于对性能要求极高的数据中心核心交换、长距离骨干网通信等场景。</w:t>
      </w:r>
    </w:p>
    <w:p w14:paraId="6385B640" w14:textId="77777777" w:rsidR="002D186A" w:rsidRPr="008F446E" w:rsidRDefault="002D186A" w:rsidP="002D186A">
      <w:pPr>
        <w:rPr>
          <w:rFonts w:ascii="楷体" w:eastAsia="楷体" w:hAnsi="楷体" w:hint="eastAsia"/>
        </w:rPr>
      </w:pPr>
      <w:r w:rsidRPr="008F446E">
        <w:rPr>
          <w:rFonts w:ascii="楷体" w:eastAsia="楷体" w:hAnsi="楷体" w:hint="eastAsia"/>
        </w:rPr>
        <w:t>国内高端光芯片（25G+）国产化率仅约4%。海外光芯片公司普遍具有从光芯片、光收发组件、光模块全产业链覆盖能力。除了衬底需要对外采购，海外领先光芯片企业可自行完成芯片设计、晶圆外延等关键工序，可量产25G及以上速率光芯片。此外，海外领先光芯片企业在高端通信激光器领域已经广泛布局，在可调谐激光器、超窄线宽激光器、大功率激光器等领域也已有深厚积累。</w:t>
      </w:r>
    </w:p>
    <w:tbl>
      <w:tblPr>
        <w:tblStyle w:val="af2"/>
        <w:tblW w:w="0" w:type="auto"/>
        <w:tblLook w:val="04A0" w:firstRow="1" w:lastRow="0" w:firstColumn="1" w:lastColumn="0" w:noHBand="0" w:noVBand="1"/>
      </w:tblPr>
      <w:tblGrid>
        <w:gridCol w:w="1215"/>
        <w:gridCol w:w="1215"/>
        <w:gridCol w:w="3231"/>
        <w:gridCol w:w="2635"/>
      </w:tblGrid>
      <w:tr w:rsidR="00F14AFB" w:rsidRPr="008F446E" w14:paraId="1F851B45" w14:textId="77777777" w:rsidTr="00F14AFB">
        <w:trPr>
          <w:trHeight w:val="285"/>
        </w:trPr>
        <w:tc>
          <w:tcPr>
            <w:tcW w:w="1960" w:type="dxa"/>
            <w:noWrap/>
            <w:hideMark/>
          </w:tcPr>
          <w:p w14:paraId="0AD46173" w14:textId="77777777" w:rsidR="00F14AFB" w:rsidRPr="008F446E" w:rsidRDefault="00F14AFB" w:rsidP="00F14AFB">
            <w:pPr>
              <w:rPr>
                <w:rFonts w:ascii="楷体" w:eastAsia="楷体" w:hAnsi="楷体" w:hint="eastAsia"/>
              </w:rPr>
            </w:pPr>
            <w:r w:rsidRPr="008F446E">
              <w:rPr>
                <w:rFonts w:ascii="楷体" w:eastAsia="楷体" w:hAnsi="楷体"/>
              </w:rPr>
              <w:t>类型</w:t>
            </w:r>
          </w:p>
        </w:tc>
        <w:tc>
          <w:tcPr>
            <w:tcW w:w="1960" w:type="dxa"/>
            <w:noWrap/>
            <w:hideMark/>
          </w:tcPr>
          <w:p w14:paraId="10AB41D6" w14:textId="77777777" w:rsidR="00F14AFB" w:rsidRPr="008F446E" w:rsidRDefault="00F14AFB">
            <w:pPr>
              <w:rPr>
                <w:rFonts w:ascii="楷体" w:eastAsia="楷体" w:hAnsi="楷体" w:hint="eastAsia"/>
              </w:rPr>
            </w:pPr>
            <w:r w:rsidRPr="008F446E">
              <w:rPr>
                <w:rFonts w:ascii="楷体" w:eastAsia="楷体" w:hAnsi="楷体"/>
              </w:rPr>
              <w:t>厂商代表</w:t>
            </w:r>
          </w:p>
        </w:tc>
        <w:tc>
          <w:tcPr>
            <w:tcW w:w="5480" w:type="dxa"/>
            <w:noWrap/>
            <w:hideMark/>
          </w:tcPr>
          <w:p w14:paraId="1509660B" w14:textId="77777777" w:rsidR="00F14AFB" w:rsidRPr="008F446E" w:rsidRDefault="00F14AFB">
            <w:pPr>
              <w:rPr>
                <w:rFonts w:ascii="楷体" w:eastAsia="楷体" w:hAnsi="楷体" w:hint="eastAsia"/>
              </w:rPr>
            </w:pPr>
            <w:r w:rsidRPr="008F446E">
              <w:rPr>
                <w:rFonts w:ascii="楷体" w:eastAsia="楷体" w:hAnsi="楷体"/>
              </w:rPr>
              <w:t>技术优势和主导产品</w:t>
            </w:r>
          </w:p>
        </w:tc>
        <w:tc>
          <w:tcPr>
            <w:tcW w:w="4440" w:type="dxa"/>
            <w:noWrap/>
            <w:hideMark/>
          </w:tcPr>
          <w:p w14:paraId="249C696C" w14:textId="77777777" w:rsidR="00F14AFB" w:rsidRPr="008F446E" w:rsidRDefault="00F14AFB">
            <w:pPr>
              <w:rPr>
                <w:rFonts w:ascii="楷体" w:eastAsia="楷体" w:hAnsi="楷体" w:hint="eastAsia"/>
              </w:rPr>
            </w:pPr>
            <w:r w:rsidRPr="008F446E">
              <w:rPr>
                <w:rFonts w:ascii="楷体" w:eastAsia="楷体" w:hAnsi="楷体"/>
              </w:rPr>
              <w:t>市场地位与动向</w:t>
            </w:r>
          </w:p>
        </w:tc>
      </w:tr>
      <w:tr w:rsidR="00F14AFB" w:rsidRPr="008F446E" w14:paraId="0123F715" w14:textId="77777777" w:rsidTr="00F14AFB">
        <w:trPr>
          <w:trHeight w:val="855"/>
        </w:trPr>
        <w:tc>
          <w:tcPr>
            <w:tcW w:w="1960" w:type="dxa"/>
            <w:hideMark/>
          </w:tcPr>
          <w:p w14:paraId="5073E109" w14:textId="77777777" w:rsidR="00F14AFB" w:rsidRPr="008F446E" w:rsidRDefault="00F14AFB">
            <w:pPr>
              <w:rPr>
                <w:rFonts w:ascii="楷体" w:eastAsia="楷体" w:hAnsi="楷体" w:hint="eastAsia"/>
              </w:rPr>
            </w:pPr>
            <w:r w:rsidRPr="008F446E">
              <w:rPr>
                <w:rFonts w:ascii="楷体" w:eastAsia="楷体" w:hAnsi="楷体"/>
              </w:rPr>
              <w:t>海外龙头</w:t>
            </w:r>
          </w:p>
        </w:tc>
        <w:tc>
          <w:tcPr>
            <w:tcW w:w="1960" w:type="dxa"/>
            <w:hideMark/>
          </w:tcPr>
          <w:p w14:paraId="088CEE3D" w14:textId="77777777" w:rsidR="00F14AFB" w:rsidRPr="008F446E" w:rsidRDefault="00F14AFB">
            <w:pPr>
              <w:rPr>
                <w:rFonts w:ascii="楷体" w:eastAsia="楷体" w:hAnsi="楷体" w:hint="eastAsia"/>
              </w:rPr>
            </w:pPr>
            <w:r w:rsidRPr="008F446E">
              <w:rPr>
                <w:rFonts w:ascii="楷体" w:eastAsia="楷体" w:hAnsi="楷体"/>
              </w:rPr>
              <w:t>Coherent (II-VI)、Lumentum、博通(Broadcom</w:t>
            </w:r>
            <w:r w:rsidRPr="008F446E">
              <w:rPr>
                <w:rFonts w:ascii="楷体" w:eastAsia="楷体" w:hAnsi="楷体"/>
              </w:rPr>
              <w:lastRenderedPageBreak/>
              <w:t>)</w:t>
            </w:r>
          </w:p>
        </w:tc>
        <w:tc>
          <w:tcPr>
            <w:tcW w:w="5480" w:type="dxa"/>
            <w:hideMark/>
          </w:tcPr>
          <w:p w14:paraId="219C5714" w14:textId="77777777" w:rsidR="00F14AFB" w:rsidRPr="008F446E" w:rsidRDefault="00F14AFB">
            <w:pPr>
              <w:rPr>
                <w:rFonts w:ascii="楷体" w:eastAsia="楷体" w:hAnsi="楷体" w:hint="eastAsia"/>
              </w:rPr>
            </w:pPr>
            <w:r w:rsidRPr="008F446E">
              <w:rPr>
                <w:rFonts w:ascii="楷体" w:eastAsia="楷体" w:hAnsi="楷体"/>
              </w:rPr>
              <w:lastRenderedPageBreak/>
              <w:t>主导25G及以上高速率EML、DFB芯片；布局200G+、硅光子、光子集成等前沿领域。</w:t>
            </w:r>
          </w:p>
        </w:tc>
        <w:tc>
          <w:tcPr>
            <w:tcW w:w="4440" w:type="dxa"/>
            <w:hideMark/>
          </w:tcPr>
          <w:p w14:paraId="05C56798" w14:textId="77777777" w:rsidR="00F14AFB" w:rsidRPr="008F446E" w:rsidRDefault="00F14AFB">
            <w:pPr>
              <w:rPr>
                <w:rFonts w:ascii="楷体" w:eastAsia="楷体" w:hAnsi="楷体" w:hint="eastAsia"/>
              </w:rPr>
            </w:pPr>
            <w:r w:rsidRPr="008F446E">
              <w:rPr>
                <w:rFonts w:ascii="楷体" w:eastAsia="楷体" w:hAnsi="楷体"/>
              </w:rPr>
              <w:t>占据高端市场绝对份额，正加速扩产并推进CPO技术。Lumentum表示其光芯片产能预计在未来几个季度内新增</w:t>
            </w:r>
            <w:r w:rsidRPr="008F446E">
              <w:rPr>
                <w:rFonts w:ascii="楷体" w:eastAsia="楷体" w:hAnsi="楷体"/>
              </w:rPr>
              <w:lastRenderedPageBreak/>
              <w:t>40%。4</w:t>
            </w:r>
          </w:p>
        </w:tc>
      </w:tr>
      <w:tr w:rsidR="00F14AFB" w:rsidRPr="008F446E" w14:paraId="1E043E5D" w14:textId="77777777" w:rsidTr="00F14AFB">
        <w:trPr>
          <w:trHeight w:val="570"/>
        </w:trPr>
        <w:tc>
          <w:tcPr>
            <w:tcW w:w="1960" w:type="dxa"/>
            <w:hideMark/>
          </w:tcPr>
          <w:p w14:paraId="5BCA9155" w14:textId="77777777" w:rsidR="00F14AFB" w:rsidRPr="008F446E" w:rsidRDefault="00F14AFB">
            <w:pPr>
              <w:rPr>
                <w:rFonts w:ascii="楷体" w:eastAsia="楷体" w:hAnsi="楷体" w:hint="eastAsia"/>
              </w:rPr>
            </w:pPr>
            <w:r w:rsidRPr="008F446E">
              <w:rPr>
                <w:rFonts w:ascii="楷体" w:eastAsia="楷体" w:hAnsi="楷体"/>
              </w:rPr>
              <w:lastRenderedPageBreak/>
              <w:t>海外龙头</w:t>
            </w:r>
          </w:p>
        </w:tc>
        <w:tc>
          <w:tcPr>
            <w:tcW w:w="1960" w:type="dxa"/>
            <w:hideMark/>
          </w:tcPr>
          <w:p w14:paraId="05364645" w14:textId="77777777" w:rsidR="00F14AFB" w:rsidRPr="008F446E" w:rsidRDefault="00F14AFB">
            <w:pPr>
              <w:rPr>
                <w:rFonts w:ascii="楷体" w:eastAsia="楷体" w:hAnsi="楷体" w:hint="eastAsia"/>
              </w:rPr>
            </w:pPr>
            <w:r w:rsidRPr="008F446E">
              <w:rPr>
                <w:rFonts w:ascii="楷体" w:eastAsia="楷体" w:hAnsi="楷体"/>
              </w:rPr>
              <w:t>日本三菱电机、住友电工</w:t>
            </w:r>
          </w:p>
        </w:tc>
        <w:tc>
          <w:tcPr>
            <w:tcW w:w="5480" w:type="dxa"/>
            <w:hideMark/>
          </w:tcPr>
          <w:p w14:paraId="0E328296" w14:textId="77777777" w:rsidR="00F14AFB" w:rsidRPr="008F446E" w:rsidRDefault="00F14AFB">
            <w:pPr>
              <w:rPr>
                <w:rFonts w:ascii="楷体" w:eastAsia="楷体" w:hAnsi="楷体" w:hint="eastAsia"/>
              </w:rPr>
            </w:pPr>
            <w:r w:rsidRPr="008F446E">
              <w:rPr>
                <w:rFonts w:ascii="楷体" w:eastAsia="楷体" w:hAnsi="楷体"/>
              </w:rPr>
              <w:t>在高速EML、DFB芯片领域有深厚积累。</w:t>
            </w:r>
          </w:p>
        </w:tc>
        <w:tc>
          <w:tcPr>
            <w:tcW w:w="4440" w:type="dxa"/>
            <w:hideMark/>
          </w:tcPr>
          <w:p w14:paraId="42C86CD7" w14:textId="77777777" w:rsidR="00F14AFB" w:rsidRPr="008F446E" w:rsidRDefault="00F14AFB">
            <w:pPr>
              <w:rPr>
                <w:rFonts w:ascii="楷体" w:eastAsia="楷体" w:hAnsi="楷体" w:hint="eastAsia"/>
              </w:rPr>
            </w:pPr>
            <w:r w:rsidRPr="008F446E">
              <w:rPr>
                <w:rFonts w:ascii="楷体" w:eastAsia="楷体" w:hAnsi="楷体"/>
              </w:rPr>
              <w:t>与美系厂商共同垄断高端EML市场。</w:t>
            </w:r>
          </w:p>
        </w:tc>
      </w:tr>
      <w:tr w:rsidR="00F14AFB" w:rsidRPr="008F446E" w14:paraId="69FB7980" w14:textId="77777777" w:rsidTr="00F14AFB">
        <w:trPr>
          <w:trHeight w:val="1140"/>
        </w:trPr>
        <w:tc>
          <w:tcPr>
            <w:tcW w:w="1960" w:type="dxa"/>
            <w:hideMark/>
          </w:tcPr>
          <w:p w14:paraId="23D9297D" w14:textId="77777777" w:rsidR="00F14AFB" w:rsidRPr="008F446E" w:rsidRDefault="00F14AFB">
            <w:pPr>
              <w:rPr>
                <w:rFonts w:ascii="楷体" w:eastAsia="楷体" w:hAnsi="楷体" w:hint="eastAsia"/>
              </w:rPr>
            </w:pPr>
            <w:r w:rsidRPr="008F446E">
              <w:rPr>
                <w:rFonts w:ascii="楷体" w:eastAsia="楷体" w:hAnsi="楷体"/>
              </w:rPr>
              <w:t>国内领先厂商</w:t>
            </w:r>
          </w:p>
        </w:tc>
        <w:tc>
          <w:tcPr>
            <w:tcW w:w="1960" w:type="dxa"/>
            <w:hideMark/>
          </w:tcPr>
          <w:p w14:paraId="5D19609F" w14:textId="77777777" w:rsidR="00F14AFB" w:rsidRPr="008F446E" w:rsidRDefault="00F14AFB">
            <w:pPr>
              <w:rPr>
                <w:rFonts w:ascii="楷体" w:eastAsia="楷体" w:hAnsi="楷体" w:hint="eastAsia"/>
              </w:rPr>
            </w:pPr>
            <w:r w:rsidRPr="008F446E">
              <w:rPr>
                <w:rFonts w:ascii="楷体" w:eastAsia="楷体" w:hAnsi="楷体"/>
              </w:rPr>
              <w:t>源杰科技、仕佳光子、长光华芯、鼎芯光电（永鼎股份子公司）</w:t>
            </w:r>
          </w:p>
        </w:tc>
        <w:tc>
          <w:tcPr>
            <w:tcW w:w="5480" w:type="dxa"/>
            <w:hideMark/>
          </w:tcPr>
          <w:p w14:paraId="319CA727" w14:textId="77777777" w:rsidR="00F14AFB" w:rsidRPr="008F446E" w:rsidRDefault="00F14AFB">
            <w:pPr>
              <w:rPr>
                <w:rFonts w:ascii="楷体" w:eastAsia="楷体" w:hAnsi="楷体" w:hint="eastAsia"/>
              </w:rPr>
            </w:pPr>
            <w:r w:rsidRPr="008F446E">
              <w:rPr>
                <w:rFonts w:ascii="楷体" w:eastAsia="楷体" w:hAnsi="楷体"/>
              </w:rPr>
              <w:t>CW光源：70mW/100mW产品已批量应用于硅光模块。EML：100G EML已实现量产，200G EML进入送样或量产阶段。</w:t>
            </w:r>
          </w:p>
        </w:tc>
        <w:tc>
          <w:tcPr>
            <w:tcW w:w="4440" w:type="dxa"/>
            <w:hideMark/>
          </w:tcPr>
          <w:p w14:paraId="61C55284" w14:textId="77777777" w:rsidR="00F14AFB" w:rsidRPr="008F446E" w:rsidRDefault="00F14AFB">
            <w:pPr>
              <w:rPr>
                <w:rFonts w:ascii="楷体" w:eastAsia="楷体" w:hAnsi="楷体" w:hint="eastAsia"/>
              </w:rPr>
            </w:pPr>
            <w:r w:rsidRPr="008F446E">
              <w:rPr>
                <w:rFonts w:ascii="楷体" w:eastAsia="楷体" w:hAnsi="楷体"/>
              </w:rPr>
              <w:t>国产替代主力军。CW光源随硅光渗透快速放量；高速EML正处于客户验证与规模化量产突破期。</w:t>
            </w:r>
          </w:p>
        </w:tc>
      </w:tr>
      <w:tr w:rsidR="00F14AFB" w:rsidRPr="008F446E" w14:paraId="2E5BA7D1" w14:textId="77777777" w:rsidTr="00F14AFB">
        <w:trPr>
          <w:trHeight w:val="570"/>
        </w:trPr>
        <w:tc>
          <w:tcPr>
            <w:tcW w:w="1960" w:type="dxa"/>
            <w:hideMark/>
          </w:tcPr>
          <w:p w14:paraId="6F7124C0" w14:textId="77777777" w:rsidR="00F14AFB" w:rsidRPr="008F446E" w:rsidRDefault="00F14AFB">
            <w:pPr>
              <w:rPr>
                <w:rFonts w:ascii="楷体" w:eastAsia="楷体" w:hAnsi="楷体" w:hint="eastAsia"/>
              </w:rPr>
            </w:pPr>
            <w:r w:rsidRPr="008F446E">
              <w:rPr>
                <w:rFonts w:ascii="楷体" w:eastAsia="楷体" w:hAnsi="楷体"/>
              </w:rPr>
              <w:t>国内领先厂商</w:t>
            </w:r>
          </w:p>
        </w:tc>
        <w:tc>
          <w:tcPr>
            <w:tcW w:w="1960" w:type="dxa"/>
            <w:hideMark/>
          </w:tcPr>
          <w:p w14:paraId="629BC040" w14:textId="77777777" w:rsidR="00F14AFB" w:rsidRPr="008F446E" w:rsidRDefault="00F14AFB">
            <w:pPr>
              <w:rPr>
                <w:rFonts w:ascii="楷体" w:eastAsia="楷体" w:hAnsi="楷体" w:hint="eastAsia"/>
              </w:rPr>
            </w:pPr>
            <w:r w:rsidRPr="008F446E">
              <w:rPr>
                <w:rFonts w:ascii="楷体" w:eastAsia="楷体" w:hAnsi="楷体"/>
              </w:rPr>
              <w:t>光迅科技</w:t>
            </w:r>
          </w:p>
        </w:tc>
        <w:tc>
          <w:tcPr>
            <w:tcW w:w="5480" w:type="dxa"/>
            <w:hideMark/>
          </w:tcPr>
          <w:p w14:paraId="0C2B43AD" w14:textId="77777777" w:rsidR="00F14AFB" w:rsidRPr="008F446E" w:rsidRDefault="00F14AFB">
            <w:pPr>
              <w:rPr>
                <w:rFonts w:ascii="楷体" w:eastAsia="楷体" w:hAnsi="楷体" w:hint="eastAsia"/>
              </w:rPr>
            </w:pPr>
            <w:r w:rsidRPr="008F446E">
              <w:rPr>
                <w:rFonts w:ascii="楷体" w:eastAsia="楷体" w:hAnsi="楷体"/>
              </w:rPr>
              <w:t>具备从芯片、器件到模块的垂直整合能力，自研光芯片。</w:t>
            </w:r>
          </w:p>
        </w:tc>
        <w:tc>
          <w:tcPr>
            <w:tcW w:w="4440" w:type="dxa"/>
            <w:hideMark/>
          </w:tcPr>
          <w:p w14:paraId="72CFF0F4" w14:textId="77777777" w:rsidR="00F14AFB" w:rsidRPr="008F446E" w:rsidRDefault="00F14AFB">
            <w:pPr>
              <w:rPr>
                <w:rFonts w:ascii="楷体" w:eastAsia="楷体" w:hAnsi="楷体" w:hint="eastAsia"/>
              </w:rPr>
            </w:pPr>
            <w:r w:rsidRPr="008F446E">
              <w:rPr>
                <w:rFonts w:ascii="楷体" w:eastAsia="楷体" w:hAnsi="楷体"/>
              </w:rPr>
              <w:t>在低速光芯片自供率较高，积极研发100G以上高速率产品，受益于国内AI算力建设。</w:t>
            </w:r>
          </w:p>
        </w:tc>
      </w:tr>
    </w:tbl>
    <w:p w14:paraId="16E1928D" w14:textId="77777777" w:rsidR="00DC5792" w:rsidRPr="008F446E" w:rsidRDefault="00DC5792" w:rsidP="002D186A">
      <w:pPr>
        <w:rPr>
          <w:rFonts w:ascii="楷体" w:eastAsia="楷体" w:hAnsi="楷体" w:hint="eastAsia"/>
        </w:rPr>
      </w:pPr>
    </w:p>
    <w:p w14:paraId="3E3395E7" w14:textId="65226730" w:rsidR="00943A27" w:rsidRPr="008F446E" w:rsidRDefault="002D186A" w:rsidP="002D186A">
      <w:pPr>
        <w:rPr>
          <w:rFonts w:ascii="楷体" w:eastAsia="楷体" w:hAnsi="楷体" w:hint="eastAsia"/>
        </w:rPr>
      </w:pPr>
      <w:r w:rsidRPr="008F446E">
        <w:rPr>
          <w:rFonts w:ascii="楷体" w:eastAsia="楷体" w:hAnsi="楷体" w:hint="eastAsia"/>
        </w:rPr>
        <w:t>国内的光芯片生产商普遍具有除晶圆外延环节之外的后端加工能力，而光芯片核心的外延技术并不成熟，高端的外延片需向国际外延厂进行采购，限制了高端光芯片的发展。国内相关企业仅在2.5G和10G光芯片领域实现核心技术的掌握，2.5G及以下速率光芯片国产化率超过90%；10G光芯片国产化率约60%；25Gbs及以上的光芯片国产化率低，仅有约4%。</w:t>
      </w:r>
      <w:r w:rsidR="00DD76AE" w:rsidRPr="008F446E">
        <w:rPr>
          <w:rFonts w:ascii="楷体" w:eastAsia="楷体" w:hAnsi="楷体"/>
        </w:rPr>
        <w:t>当前的结构性突破主要体现在两条路径：一是在EML芯片上，国内头部厂商正加速客户验证与量产爬坡；二是绕开传统EML路径，在硅光方案所需的CW（连续波）光源上实现快速放量，成为切入下游主流供应链的先锋。</w:t>
      </w:r>
    </w:p>
    <w:p w14:paraId="1A1DC3FC" w14:textId="77777777" w:rsidR="00943A27" w:rsidRPr="008F446E" w:rsidRDefault="00943A27" w:rsidP="00943A27">
      <w:pPr>
        <w:rPr>
          <w:rFonts w:ascii="楷体" w:eastAsia="楷体" w:hAnsi="楷体" w:hint="eastAsia"/>
        </w:rPr>
      </w:pPr>
    </w:p>
    <w:p w14:paraId="0EAEE312" w14:textId="3B772167" w:rsidR="00943A27" w:rsidRPr="008F446E" w:rsidRDefault="00943A27" w:rsidP="000D20B2">
      <w:pPr>
        <w:jc w:val="center"/>
        <w:rPr>
          <w:rFonts w:ascii="楷体" w:eastAsia="楷体" w:hAnsi="楷体" w:hint="eastAsia"/>
        </w:rPr>
      </w:pPr>
      <w:r w:rsidRPr="008F446E">
        <w:rPr>
          <w:rFonts w:ascii="楷体" w:eastAsia="楷体" w:hAnsi="楷体" w:hint="eastAsia"/>
        </w:rPr>
        <w:t>图：光芯片国产化情况</w:t>
      </w:r>
    </w:p>
    <w:p w14:paraId="09AA761D" w14:textId="6FA0AE5E" w:rsidR="00943A27" w:rsidRPr="008F446E" w:rsidRDefault="00943A27" w:rsidP="00943A27">
      <w:pPr>
        <w:rPr>
          <w:rFonts w:ascii="楷体" w:eastAsia="楷体" w:hAnsi="楷体" w:hint="eastAsia"/>
        </w:rPr>
      </w:pPr>
      <w:r w:rsidRPr="008F446E">
        <w:rPr>
          <w:rFonts w:ascii="楷体" w:eastAsia="楷体" w:hAnsi="楷体" w:hint="eastAsia"/>
          <w:noProof/>
        </w:rPr>
        <w:lastRenderedPageBreak/>
        <w:drawing>
          <wp:inline distT="0" distB="0" distL="0" distR="0" wp14:anchorId="6B505A4F" wp14:editId="300CA19C">
            <wp:extent cx="5753100" cy="2886075"/>
            <wp:effectExtent l="0" t="0" r="0" b="9525"/>
            <wp:docPr id="1351450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3100" cy="2886075"/>
                    </a:xfrm>
                    <a:prstGeom prst="rect">
                      <a:avLst/>
                    </a:prstGeom>
                    <a:noFill/>
                  </pic:spPr>
                </pic:pic>
              </a:graphicData>
            </a:graphic>
          </wp:inline>
        </w:drawing>
      </w:r>
    </w:p>
    <w:p w14:paraId="665ECE95" w14:textId="08AD11B9" w:rsidR="00943A27" w:rsidRPr="008F446E" w:rsidRDefault="00943A27" w:rsidP="00943A27">
      <w:pPr>
        <w:rPr>
          <w:rFonts w:ascii="楷体" w:eastAsia="楷体" w:hAnsi="楷体" w:hint="eastAsia"/>
        </w:rPr>
      </w:pPr>
      <w:r w:rsidRPr="008F446E">
        <w:rPr>
          <w:rFonts w:ascii="楷体" w:eastAsia="楷体" w:hAnsi="楷体" w:hint="eastAsia"/>
        </w:rPr>
        <w:t>数据来源：慧博投研</w:t>
      </w:r>
    </w:p>
    <w:p w14:paraId="7113EC9A" w14:textId="4D01A929" w:rsidR="00D21183" w:rsidRPr="008F446E" w:rsidRDefault="00D21183" w:rsidP="00D21183">
      <w:pPr>
        <w:pStyle w:val="4"/>
        <w:rPr>
          <w:rFonts w:ascii="楷体" w:eastAsia="楷体" w:hAnsi="楷体" w:hint="eastAsia"/>
        </w:rPr>
      </w:pPr>
      <w:r w:rsidRPr="008F446E">
        <w:rPr>
          <w:rFonts w:ascii="楷体" w:eastAsia="楷体" w:hAnsi="楷体" w:hint="eastAsia"/>
        </w:rPr>
        <w:t>供给侧</w:t>
      </w:r>
      <w:r w:rsidR="00D05FAD" w:rsidRPr="008F446E">
        <w:rPr>
          <w:rFonts w:ascii="楷体" w:eastAsia="楷体" w:hAnsi="楷体" w:hint="eastAsia"/>
        </w:rPr>
        <w:t>：</w:t>
      </w:r>
      <w:r w:rsidR="00D05FAD" w:rsidRPr="008F446E">
        <w:rPr>
          <w:rFonts w:ascii="楷体" w:eastAsia="楷体" w:hAnsi="楷体"/>
        </w:rPr>
        <w:t>技术、产能与产业链三重高壁垒</w:t>
      </w:r>
    </w:p>
    <w:p w14:paraId="4AE7FFCF" w14:textId="77777777" w:rsidR="004E287C" w:rsidRPr="008F446E" w:rsidRDefault="004E287C" w:rsidP="004E287C">
      <w:pPr>
        <w:rPr>
          <w:rFonts w:ascii="楷体" w:eastAsia="楷体" w:hAnsi="楷体" w:hint="eastAsia"/>
        </w:rPr>
      </w:pPr>
      <w:r w:rsidRPr="008F446E">
        <w:rPr>
          <w:rFonts w:ascii="楷体" w:eastAsia="楷体" w:hAnsi="楷体" w:hint="eastAsia"/>
        </w:rPr>
        <w:t>光芯片制造流程复杂，行业壁垒深厚，主要体现在：</w:t>
      </w:r>
    </w:p>
    <w:p w14:paraId="537A42B6" w14:textId="26753913" w:rsidR="004E287C" w:rsidRPr="008F446E" w:rsidRDefault="004E287C" w:rsidP="00D05FAD">
      <w:pPr>
        <w:pStyle w:val="a9"/>
        <w:numPr>
          <w:ilvl w:val="0"/>
          <w:numId w:val="1"/>
        </w:numPr>
        <w:rPr>
          <w:rFonts w:ascii="楷体" w:eastAsia="楷体" w:hAnsi="楷体" w:hint="eastAsia"/>
        </w:rPr>
      </w:pPr>
      <w:r w:rsidRPr="008F446E">
        <w:rPr>
          <w:rFonts w:ascii="楷体" w:eastAsia="楷体" w:hAnsi="楷体" w:hint="eastAsia"/>
        </w:rPr>
        <w:t>技术壁垒：外延生长与光栅工艺是核心难点，工艺窗口窄，对设备精度和参数控制要求达纳米级，导致良率提升困难。例如，EML芯片需要在单一外延片上集成DFB增益区与EA调制区，复杂度极高。</w:t>
      </w:r>
    </w:p>
    <w:p w14:paraId="145E2A85" w14:textId="59716372" w:rsidR="004E287C" w:rsidRPr="008F446E" w:rsidRDefault="004E287C" w:rsidP="00D05FAD">
      <w:pPr>
        <w:pStyle w:val="a9"/>
        <w:numPr>
          <w:ilvl w:val="0"/>
          <w:numId w:val="1"/>
        </w:numPr>
        <w:rPr>
          <w:rFonts w:ascii="楷体" w:eastAsia="楷体" w:hAnsi="楷体" w:hint="eastAsia"/>
        </w:rPr>
      </w:pPr>
      <w:r w:rsidRPr="008F446E">
        <w:rPr>
          <w:rFonts w:ascii="楷体" w:eastAsia="楷体" w:hAnsi="楷体" w:hint="eastAsia"/>
        </w:rPr>
        <w:t>产能壁垒：核心设备（如MOCVD、电子束光刻机EBL）交付与调试周期长，高端InP衬底被海外垄断，扩产周期长达1-2年</w:t>
      </w:r>
      <w:r w:rsidR="00D05FAD" w:rsidRPr="008F446E">
        <w:rPr>
          <w:rFonts w:ascii="楷体" w:eastAsia="楷体" w:hAnsi="楷体" w:hint="eastAsia"/>
        </w:rPr>
        <w:t>，且市场集中度高</w:t>
      </w:r>
      <w:r w:rsidR="00D05FAD" w:rsidRPr="008F446E">
        <w:rPr>
          <w:rFonts w:ascii="楷体" w:eastAsia="楷体" w:hAnsi="楷体"/>
        </w:rPr>
        <w:t>市场集中度高，前三大厂商（住友、北京通美、JX）占据90%以上份额</w:t>
      </w:r>
      <w:r w:rsidRPr="008F446E">
        <w:rPr>
          <w:rFonts w:ascii="楷体" w:eastAsia="楷体" w:hAnsi="楷体" w:hint="eastAsia"/>
        </w:rPr>
        <w:t>。设备供应商Aixtron表示，当前MOCVD设备交付需要9-12个月。</w:t>
      </w:r>
    </w:p>
    <w:p w14:paraId="56196BE5" w14:textId="7B91E117" w:rsidR="004E287C" w:rsidRPr="008F446E" w:rsidRDefault="004E287C" w:rsidP="00D05FAD">
      <w:pPr>
        <w:pStyle w:val="a9"/>
        <w:numPr>
          <w:ilvl w:val="0"/>
          <w:numId w:val="1"/>
        </w:numPr>
        <w:rPr>
          <w:rFonts w:ascii="楷体" w:eastAsia="楷体" w:hAnsi="楷体" w:hint="eastAsia"/>
        </w:rPr>
      </w:pPr>
      <w:r w:rsidRPr="008F446E">
        <w:rPr>
          <w:rFonts w:ascii="楷体" w:eastAsia="楷体" w:hAnsi="楷体" w:hint="eastAsia"/>
        </w:rPr>
        <w:t>客户验证壁垒：从芯片测试到终端客户认证，全流程周期可长达2年，客户粘性极强，新供应商切入困难</w:t>
      </w:r>
    </w:p>
    <w:p w14:paraId="0C6B173A" w14:textId="6ED849C1" w:rsidR="00D05FAD" w:rsidRPr="008F446E" w:rsidRDefault="00D05FAD" w:rsidP="00D05FAD">
      <w:pPr>
        <w:pStyle w:val="4"/>
        <w:rPr>
          <w:rFonts w:ascii="楷体" w:eastAsia="楷体" w:hAnsi="楷体" w:hint="eastAsia"/>
        </w:rPr>
      </w:pPr>
      <w:r w:rsidRPr="008F446E">
        <w:rPr>
          <w:rFonts w:ascii="楷体" w:eastAsia="楷体" w:hAnsi="楷体" w:hint="eastAsia"/>
        </w:rPr>
        <w:t>需求端：</w:t>
      </w:r>
      <w:r w:rsidR="0074168A" w:rsidRPr="008F446E">
        <w:rPr>
          <w:rFonts w:ascii="楷体" w:eastAsia="楷体" w:hAnsi="楷体"/>
        </w:rPr>
        <w:t>AI算力为核心驱动力，市场空间广阔</w:t>
      </w:r>
    </w:p>
    <w:p w14:paraId="3B0F6191" w14:textId="14221007" w:rsidR="006E0F5B" w:rsidRPr="008F446E" w:rsidRDefault="006E0F5B" w:rsidP="006E0F5B">
      <w:pPr>
        <w:rPr>
          <w:rFonts w:ascii="楷体" w:eastAsia="楷体" w:hAnsi="楷体" w:hint="eastAsia"/>
        </w:rPr>
      </w:pPr>
      <w:r w:rsidRPr="008F446E">
        <w:rPr>
          <w:rFonts w:ascii="楷体" w:eastAsia="楷体" w:hAnsi="楷体"/>
        </w:rPr>
        <w:t>需求爆发主要来自AI数据中心建设：</w:t>
      </w:r>
    </w:p>
    <w:p w14:paraId="639FC394" w14:textId="1CA5D454" w:rsidR="0074168A" w:rsidRPr="008F446E" w:rsidRDefault="0074168A" w:rsidP="006E0F5B">
      <w:pPr>
        <w:pStyle w:val="a9"/>
        <w:numPr>
          <w:ilvl w:val="0"/>
          <w:numId w:val="2"/>
        </w:numPr>
        <w:rPr>
          <w:rFonts w:ascii="楷体" w:eastAsia="楷体" w:hAnsi="楷体" w:hint="eastAsia"/>
        </w:rPr>
      </w:pPr>
      <w:r w:rsidRPr="008F446E">
        <w:rPr>
          <w:rFonts w:ascii="楷体" w:eastAsia="楷体" w:hAnsi="楷体" w:hint="eastAsia"/>
        </w:rPr>
        <w:t>算力需求激增：AI大模型训练与推理需要海量数据交换，直接拉动800G/1.6T高速光模块需求，进而驱动内部高速率光芯片用量和价值量提升。AI服务器对光模块的需求量显著高于传统服务器。</w:t>
      </w:r>
    </w:p>
    <w:p w14:paraId="031EDE29" w14:textId="20CF497F" w:rsidR="0074168A" w:rsidRPr="008F446E" w:rsidRDefault="0074168A" w:rsidP="006E0F5B">
      <w:pPr>
        <w:pStyle w:val="a9"/>
        <w:numPr>
          <w:ilvl w:val="0"/>
          <w:numId w:val="2"/>
        </w:numPr>
        <w:rPr>
          <w:rFonts w:ascii="楷体" w:eastAsia="楷体" w:hAnsi="楷体" w:hint="eastAsia"/>
        </w:rPr>
      </w:pPr>
      <w:r w:rsidRPr="008F446E">
        <w:rPr>
          <w:rFonts w:ascii="楷体" w:eastAsia="楷体" w:hAnsi="楷体" w:hint="eastAsia"/>
        </w:rPr>
        <w:t>市场规模持续扩张：LightCounting预测，2025年光模块销售额将达238亿美元，光通信芯片组市场2025-2030年复合年增长率（CAGR）预计为17%，2030年总销售额将超110亿美元。</w:t>
      </w:r>
    </w:p>
    <w:p w14:paraId="5FBE7A69" w14:textId="4B4362B4" w:rsidR="0074168A" w:rsidRPr="008F446E" w:rsidRDefault="0074168A" w:rsidP="006E0F5B">
      <w:pPr>
        <w:pStyle w:val="a9"/>
        <w:numPr>
          <w:ilvl w:val="0"/>
          <w:numId w:val="2"/>
        </w:numPr>
        <w:rPr>
          <w:rFonts w:ascii="楷体" w:eastAsia="楷体" w:hAnsi="楷体" w:hint="eastAsia"/>
        </w:rPr>
      </w:pPr>
      <w:r w:rsidRPr="008F446E">
        <w:rPr>
          <w:rFonts w:ascii="楷体" w:eastAsia="楷体" w:hAnsi="楷体" w:hint="eastAsia"/>
        </w:rPr>
        <w:t>技术迭代创造增量：硅光、CPO（共封装光学）、LPO（线性驱动可插拔光学）等新</w:t>
      </w:r>
      <w:r w:rsidRPr="008F446E">
        <w:rPr>
          <w:rFonts w:ascii="楷体" w:eastAsia="楷体" w:hAnsi="楷体" w:hint="eastAsia"/>
        </w:rPr>
        <w:lastRenderedPageBreak/>
        <w:t>技术路径不断演进，持续打开新的市场空间。LightCounting预测2026年硅光在高速率光模块中的渗透率将超50%。</w:t>
      </w:r>
    </w:p>
    <w:p w14:paraId="14653C47" w14:textId="7D1DCF09" w:rsidR="00E2648C" w:rsidRPr="008F446E" w:rsidRDefault="00E2648C" w:rsidP="00E2648C">
      <w:pPr>
        <w:pStyle w:val="3"/>
        <w:rPr>
          <w:rFonts w:ascii="楷体" w:eastAsia="楷体" w:hAnsi="楷体" w:hint="eastAsia"/>
        </w:rPr>
      </w:pPr>
      <w:r w:rsidRPr="008F446E">
        <w:rPr>
          <w:rFonts w:ascii="楷体" w:eastAsia="楷体" w:hAnsi="楷体" w:hint="eastAsia"/>
        </w:rPr>
        <w:t>电芯片</w:t>
      </w:r>
    </w:p>
    <w:p w14:paraId="0C065BE9" w14:textId="04980DDD" w:rsidR="00E2648C" w:rsidRPr="008F446E" w:rsidRDefault="00E2648C" w:rsidP="00E2648C">
      <w:pPr>
        <w:pStyle w:val="4"/>
        <w:rPr>
          <w:rFonts w:ascii="楷体" w:eastAsia="楷体" w:hAnsi="楷体" w:hint="eastAsia"/>
        </w:rPr>
      </w:pPr>
      <w:r w:rsidRPr="008F446E">
        <w:rPr>
          <w:rFonts w:ascii="楷体" w:eastAsia="楷体" w:hAnsi="楷体" w:hint="eastAsia"/>
        </w:rPr>
        <w:t>概况</w:t>
      </w:r>
    </w:p>
    <w:p w14:paraId="5FE8767E" w14:textId="5E122F3A" w:rsidR="00E2648C" w:rsidRPr="008F446E" w:rsidRDefault="00E2648C" w:rsidP="00E2648C">
      <w:pPr>
        <w:rPr>
          <w:rFonts w:ascii="楷体" w:eastAsia="楷体" w:hAnsi="楷体" w:hint="eastAsia"/>
        </w:rPr>
      </w:pPr>
      <w:r w:rsidRPr="008F446E">
        <w:rPr>
          <w:rFonts w:ascii="楷体" w:eastAsia="楷体" w:hAnsi="楷体"/>
        </w:rPr>
        <w:t>AI大模型的训练与推理催生了高速光模块的迭代浪潮，直接拉动了高速率电芯片的需求。</w:t>
      </w:r>
      <w:r w:rsidR="003170DF" w:rsidRPr="008F446E">
        <w:rPr>
          <w:rFonts w:ascii="楷体" w:eastAsia="楷体" w:hAnsi="楷体" w:hint="eastAsia"/>
        </w:rPr>
        <w:t>光模块的</w:t>
      </w:r>
      <w:r w:rsidRPr="008F446E">
        <w:rPr>
          <w:rFonts w:ascii="楷体" w:eastAsia="楷体" w:hAnsi="楷体"/>
        </w:rPr>
        <w:t>速率升级</w:t>
      </w:r>
      <w:r w:rsidR="003170DF" w:rsidRPr="008F446E">
        <w:rPr>
          <w:rFonts w:ascii="楷体" w:eastAsia="楷体" w:hAnsi="楷体" w:hint="eastAsia"/>
        </w:rPr>
        <w:t>也</w:t>
      </w:r>
      <w:r w:rsidRPr="008F446E">
        <w:rPr>
          <w:rFonts w:ascii="楷体" w:eastAsia="楷体" w:hAnsi="楷体"/>
        </w:rPr>
        <w:t>对电芯片的带宽、功耗、线性度提出了指数级增长的要求。</w:t>
      </w:r>
    </w:p>
    <w:p w14:paraId="512CA210" w14:textId="74F72D1D" w:rsidR="00E2648C" w:rsidRPr="008F446E" w:rsidRDefault="003170DF" w:rsidP="00E2648C">
      <w:pPr>
        <w:rPr>
          <w:rFonts w:ascii="楷体" w:eastAsia="楷体" w:hAnsi="楷体" w:hint="eastAsia"/>
        </w:rPr>
      </w:pPr>
      <w:r w:rsidRPr="008F446E">
        <w:rPr>
          <w:rFonts w:ascii="楷体" w:eastAsia="楷体" w:hAnsi="楷体"/>
        </w:rPr>
        <w:t>光通信电芯片作为光通信系统的核心上游元器件，其行业概况可概括为：市场处于由AI与数据中心驱动的高速增长期，竞争格局呈现明显的“速率分层”，国产厂商在中低速率领域已占据重要地位，但在高速率高端市场仍面临严峻的挑战与广阔的替代空间。</w:t>
      </w:r>
    </w:p>
    <w:p w14:paraId="6FC8BE1B" w14:textId="5AFF8E2D" w:rsidR="003170DF" w:rsidRPr="008F446E" w:rsidRDefault="00F5329C" w:rsidP="00F5329C">
      <w:pPr>
        <w:pStyle w:val="4"/>
        <w:rPr>
          <w:rFonts w:ascii="楷体" w:eastAsia="楷体" w:hAnsi="楷体" w:hint="eastAsia"/>
        </w:rPr>
      </w:pPr>
      <w:r w:rsidRPr="008F446E">
        <w:rPr>
          <w:rFonts w:ascii="楷体" w:eastAsia="楷体" w:hAnsi="楷体" w:hint="eastAsia"/>
        </w:rPr>
        <w:t>供给</w:t>
      </w:r>
    </w:p>
    <w:p w14:paraId="557E9844" w14:textId="77777777" w:rsidR="00F5329C" w:rsidRPr="008F446E" w:rsidRDefault="00F5329C" w:rsidP="00F5329C">
      <w:pPr>
        <w:rPr>
          <w:rFonts w:ascii="楷体" w:eastAsia="楷体" w:hAnsi="楷体" w:hint="eastAsia"/>
        </w:rPr>
      </w:pPr>
    </w:p>
    <w:p w14:paraId="6400C036" w14:textId="7EF10A61" w:rsidR="001D7FE4" w:rsidRPr="008F446E" w:rsidRDefault="001D7FE4" w:rsidP="008D3FA1">
      <w:pPr>
        <w:pStyle w:val="3"/>
        <w:rPr>
          <w:rFonts w:ascii="楷体" w:eastAsia="楷体" w:hAnsi="楷体" w:hint="eastAsia"/>
        </w:rPr>
      </w:pPr>
      <w:r w:rsidRPr="008F446E">
        <w:rPr>
          <w:rFonts w:ascii="楷体" w:eastAsia="楷体" w:hAnsi="楷体" w:hint="eastAsia"/>
        </w:rPr>
        <w:t>光模块</w:t>
      </w:r>
    </w:p>
    <w:p w14:paraId="5342936C" w14:textId="77777777" w:rsidR="00796FCC" w:rsidRPr="008F446E" w:rsidRDefault="00796FCC" w:rsidP="001666C9">
      <w:pPr>
        <w:rPr>
          <w:rFonts w:ascii="楷体" w:eastAsia="楷体" w:hAnsi="楷体" w:hint="eastAsia"/>
        </w:rPr>
      </w:pPr>
    </w:p>
    <w:p w14:paraId="25968296" w14:textId="77777777" w:rsidR="00796FCC" w:rsidRPr="008F446E" w:rsidRDefault="00796FCC" w:rsidP="001666C9">
      <w:pPr>
        <w:rPr>
          <w:rFonts w:ascii="楷体" w:eastAsia="楷体" w:hAnsi="楷体" w:hint="eastAsia"/>
        </w:rPr>
      </w:pPr>
    </w:p>
    <w:p w14:paraId="3BC0BE0F" w14:textId="62B7A58D" w:rsidR="001D7FE4" w:rsidRPr="008F446E" w:rsidRDefault="001D7FE4" w:rsidP="008D3FA1">
      <w:pPr>
        <w:pStyle w:val="4"/>
        <w:rPr>
          <w:rFonts w:ascii="楷体" w:eastAsia="楷体" w:hAnsi="楷体" w:hint="eastAsia"/>
        </w:rPr>
      </w:pPr>
      <w:r w:rsidRPr="008F446E">
        <w:rPr>
          <w:rFonts w:ascii="楷体" w:eastAsia="楷体" w:hAnsi="楷体" w:hint="eastAsia"/>
        </w:rPr>
        <w:t>供给侧</w:t>
      </w:r>
    </w:p>
    <w:p w14:paraId="00239F77" w14:textId="77777777" w:rsidR="00F306CF" w:rsidRPr="008F446E" w:rsidRDefault="00AF15A2" w:rsidP="00F306CF">
      <w:pPr>
        <w:rPr>
          <w:rFonts w:ascii="楷体" w:eastAsia="楷体" w:hAnsi="楷体" w:hint="eastAsia"/>
        </w:rPr>
      </w:pPr>
      <w:r w:rsidRPr="008F446E">
        <w:rPr>
          <w:rFonts w:ascii="楷体" w:eastAsia="楷体" w:hAnsi="楷体" w:hint="eastAsia"/>
        </w:rPr>
        <w:t>光电芯片出现短缺：光通信产业链上游的核心元器件，尤其是光电芯片存在一定程度的短缺。具体而言，电吸收调制激光器（EML）和连续波（CW）激光器芯片的短缺预计将制约市场增长直至2026年底。</w:t>
      </w:r>
      <w:r w:rsidR="00F306CF" w:rsidRPr="008F446E">
        <w:rPr>
          <w:rFonts w:ascii="楷体" w:eastAsia="楷体" w:hAnsi="楷体" w:hint="eastAsia"/>
        </w:rPr>
        <w:t>Lumentum CEO四月表示：美国超大规模数据中心客户对光通信器件需求持续加速， 公司全力扩产仍难以填补需求缺口，目前公司2027年产能已经被微软和谷歌全部锁定，预计半年内，2028 年全年的产能都将被订满。本轮行业周期至少还能维持 5 年左右的景气持续性。Lumentum 纳斯达克上市股价过去一年累计涨幅超 1500%，叠加英伟达 20 亿美元战略投资及数十亿美元采购承诺加持，进一步确认 AI 光通信高景气。</w:t>
      </w:r>
    </w:p>
    <w:p w14:paraId="776AF277" w14:textId="77777777" w:rsidR="00F306CF" w:rsidRPr="008F446E" w:rsidRDefault="00F306CF" w:rsidP="00F306CF">
      <w:pPr>
        <w:jc w:val="center"/>
        <w:rPr>
          <w:rFonts w:ascii="楷体" w:eastAsia="楷体" w:hAnsi="楷体" w:hint="eastAsia"/>
        </w:rPr>
      </w:pPr>
      <w:r w:rsidRPr="008F446E">
        <w:rPr>
          <w:rFonts w:ascii="楷体" w:eastAsia="楷体" w:hAnsi="楷体" w:hint="eastAsia"/>
        </w:rPr>
        <w:t>表：光芯片国产化率情况一览</w:t>
      </w:r>
    </w:p>
    <w:tbl>
      <w:tblPr>
        <w:tblW w:w="8574" w:type="dxa"/>
        <w:jc w:val="center"/>
        <w:tblLook w:val="04A0" w:firstRow="1" w:lastRow="0" w:firstColumn="1" w:lastColumn="0" w:noHBand="0" w:noVBand="1"/>
      </w:tblPr>
      <w:tblGrid>
        <w:gridCol w:w="1674"/>
        <w:gridCol w:w="1445"/>
        <w:gridCol w:w="2268"/>
        <w:gridCol w:w="2946"/>
        <w:gridCol w:w="241"/>
      </w:tblGrid>
      <w:tr w:rsidR="00F306CF" w:rsidRPr="008F446E" w14:paraId="1965873C" w14:textId="77777777" w:rsidTr="006E42CE">
        <w:trPr>
          <w:trHeight w:val="300"/>
          <w:jc w:val="center"/>
        </w:trPr>
        <w:tc>
          <w:tcPr>
            <w:tcW w:w="1674" w:type="dxa"/>
            <w:tcBorders>
              <w:top w:val="single" w:sz="8" w:space="0" w:color="auto"/>
              <w:left w:val="single" w:sz="8" w:space="0" w:color="auto"/>
              <w:bottom w:val="single" w:sz="8" w:space="0" w:color="auto"/>
              <w:right w:val="single" w:sz="8" w:space="0" w:color="auto"/>
            </w:tcBorders>
            <w:vAlign w:val="center"/>
            <w:hideMark/>
          </w:tcPr>
          <w:p w14:paraId="5CE4C20E" w14:textId="77777777" w:rsidR="00F306CF" w:rsidRPr="008F446E" w:rsidRDefault="00F306CF" w:rsidP="006E42CE">
            <w:pPr>
              <w:widowControl/>
              <w:spacing w:after="0" w:line="240" w:lineRule="auto"/>
              <w:rPr>
                <w:rFonts w:ascii="楷体" w:eastAsia="楷体" w:hAnsi="楷体" w:cs="宋体" w:hint="eastAsia"/>
                <w:b/>
                <w:bCs/>
                <w:color w:val="000000"/>
                <w:kern w:val="0"/>
                <w:szCs w:val="22"/>
                <w14:ligatures w14:val="none"/>
              </w:rPr>
            </w:pPr>
            <w:r w:rsidRPr="008F446E">
              <w:rPr>
                <w:rFonts w:ascii="楷体" w:eastAsia="楷体" w:hAnsi="楷体" w:cs="宋体" w:hint="eastAsia"/>
                <w:b/>
                <w:bCs/>
                <w:color w:val="000000"/>
                <w:kern w:val="0"/>
                <w:szCs w:val="22"/>
                <w14:ligatures w14:val="none"/>
              </w:rPr>
              <w:t>速率等级</w:t>
            </w:r>
          </w:p>
        </w:tc>
        <w:tc>
          <w:tcPr>
            <w:tcW w:w="1445" w:type="dxa"/>
            <w:tcBorders>
              <w:top w:val="single" w:sz="8" w:space="0" w:color="auto"/>
              <w:left w:val="nil"/>
              <w:bottom w:val="single" w:sz="8" w:space="0" w:color="auto"/>
              <w:right w:val="single" w:sz="8" w:space="0" w:color="auto"/>
            </w:tcBorders>
            <w:vAlign w:val="center"/>
            <w:hideMark/>
          </w:tcPr>
          <w:p w14:paraId="4EF5729E" w14:textId="77777777" w:rsidR="00F306CF" w:rsidRPr="008F446E" w:rsidRDefault="00F306CF" w:rsidP="006E42CE">
            <w:pPr>
              <w:widowControl/>
              <w:spacing w:after="0" w:line="240" w:lineRule="auto"/>
              <w:rPr>
                <w:rFonts w:ascii="楷体" w:eastAsia="楷体" w:hAnsi="楷体" w:cs="宋体" w:hint="eastAsia"/>
                <w:b/>
                <w:bCs/>
                <w:color w:val="000000"/>
                <w:kern w:val="0"/>
                <w:szCs w:val="22"/>
                <w14:ligatures w14:val="none"/>
              </w:rPr>
            </w:pPr>
            <w:r w:rsidRPr="008F446E">
              <w:rPr>
                <w:rFonts w:ascii="楷体" w:eastAsia="楷体" w:hAnsi="楷体" w:cs="宋体" w:hint="eastAsia"/>
                <w:b/>
                <w:bCs/>
                <w:color w:val="000000"/>
                <w:kern w:val="0"/>
                <w:szCs w:val="22"/>
                <w14:ligatures w14:val="none"/>
              </w:rPr>
              <w:t>国产化率</w:t>
            </w:r>
          </w:p>
        </w:tc>
        <w:tc>
          <w:tcPr>
            <w:tcW w:w="2268" w:type="dxa"/>
            <w:tcBorders>
              <w:top w:val="single" w:sz="8" w:space="0" w:color="auto"/>
              <w:left w:val="nil"/>
              <w:bottom w:val="single" w:sz="8" w:space="0" w:color="auto"/>
              <w:right w:val="single" w:sz="8" w:space="0" w:color="auto"/>
            </w:tcBorders>
            <w:vAlign w:val="center"/>
            <w:hideMark/>
          </w:tcPr>
          <w:p w14:paraId="393B07F1" w14:textId="77777777" w:rsidR="00F306CF" w:rsidRPr="008F446E" w:rsidRDefault="00F306CF" w:rsidP="006E42CE">
            <w:pPr>
              <w:widowControl/>
              <w:spacing w:after="0" w:line="240" w:lineRule="auto"/>
              <w:rPr>
                <w:rFonts w:ascii="楷体" w:eastAsia="楷体" w:hAnsi="楷体" w:cs="宋体" w:hint="eastAsia"/>
                <w:b/>
                <w:bCs/>
                <w:color w:val="000000"/>
                <w:kern w:val="0"/>
                <w:szCs w:val="22"/>
                <w14:ligatures w14:val="none"/>
              </w:rPr>
            </w:pPr>
            <w:r w:rsidRPr="008F446E">
              <w:rPr>
                <w:rFonts w:ascii="楷体" w:eastAsia="楷体" w:hAnsi="楷体" w:cs="宋体" w:hint="eastAsia"/>
                <w:b/>
                <w:bCs/>
                <w:color w:val="000000"/>
                <w:kern w:val="0"/>
                <w:szCs w:val="22"/>
                <w14:ligatures w14:val="none"/>
              </w:rPr>
              <w:t>阶段特征</w:t>
            </w:r>
          </w:p>
        </w:tc>
        <w:tc>
          <w:tcPr>
            <w:tcW w:w="2946" w:type="dxa"/>
            <w:tcBorders>
              <w:top w:val="single" w:sz="8" w:space="0" w:color="auto"/>
              <w:left w:val="nil"/>
              <w:bottom w:val="single" w:sz="8" w:space="0" w:color="auto"/>
              <w:right w:val="single" w:sz="8" w:space="0" w:color="auto"/>
            </w:tcBorders>
            <w:vAlign w:val="center"/>
            <w:hideMark/>
          </w:tcPr>
          <w:p w14:paraId="28AC7BA6" w14:textId="77777777" w:rsidR="00F306CF" w:rsidRPr="008F446E" w:rsidRDefault="00F306CF" w:rsidP="006E42CE">
            <w:pPr>
              <w:widowControl/>
              <w:spacing w:after="0" w:line="240" w:lineRule="auto"/>
              <w:rPr>
                <w:rFonts w:ascii="楷体" w:eastAsia="楷体" w:hAnsi="楷体" w:cs="宋体" w:hint="eastAsia"/>
                <w:b/>
                <w:bCs/>
                <w:color w:val="000000"/>
                <w:kern w:val="0"/>
                <w:szCs w:val="22"/>
                <w14:ligatures w14:val="none"/>
              </w:rPr>
            </w:pPr>
            <w:r w:rsidRPr="008F446E">
              <w:rPr>
                <w:rFonts w:ascii="楷体" w:eastAsia="楷体" w:hAnsi="楷体" w:cs="宋体" w:hint="eastAsia"/>
                <w:b/>
                <w:bCs/>
                <w:color w:val="000000"/>
                <w:kern w:val="0"/>
                <w:szCs w:val="22"/>
                <w14:ligatures w14:val="none"/>
              </w:rPr>
              <w:t>核心瓶颈</w:t>
            </w:r>
          </w:p>
        </w:tc>
        <w:tc>
          <w:tcPr>
            <w:tcW w:w="241" w:type="dxa"/>
            <w:tcBorders>
              <w:top w:val="nil"/>
              <w:left w:val="nil"/>
              <w:bottom w:val="nil"/>
              <w:right w:val="nil"/>
            </w:tcBorders>
            <w:noWrap/>
            <w:vAlign w:val="center"/>
            <w:hideMark/>
          </w:tcPr>
          <w:p w14:paraId="7C1053A3" w14:textId="77777777" w:rsidR="00F306CF" w:rsidRPr="008F446E" w:rsidRDefault="00F306CF" w:rsidP="006E42CE">
            <w:pPr>
              <w:widowControl/>
              <w:spacing w:after="0" w:line="240" w:lineRule="auto"/>
              <w:rPr>
                <w:rFonts w:ascii="楷体" w:eastAsia="楷体" w:hAnsi="楷体" w:cs="宋体" w:hint="eastAsia"/>
                <w:b/>
                <w:bCs/>
                <w:color w:val="000000"/>
                <w:kern w:val="0"/>
                <w:szCs w:val="22"/>
                <w14:ligatures w14:val="none"/>
              </w:rPr>
            </w:pPr>
          </w:p>
        </w:tc>
      </w:tr>
      <w:tr w:rsidR="00F306CF" w:rsidRPr="008F446E" w14:paraId="390E9E7E" w14:textId="77777777" w:rsidTr="006E42CE">
        <w:trPr>
          <w:trHeight w:val="300"/>
          <w:jc w:val="center"/>
        </w:trPr>
        <w:tc>
          <w:tcPr>
            <w:tcW w:w="1674" w:type="dxa"/>
            <w:tcBorders>
              <w:top w:val="nil"/>
              <w:left w:val="single" w:sz="8" w:space="0" w:color="auto"/>
              <w:bottom w:val="single" w:sz="8" w:space="0" w:color="auto"/>
              <w:right w:val="single" w:sz="8" w:space="0" w:color="auto"/>
            </w:tcBorders>
            <w:vAlign w:val="center"/>
            <w:hideMark/>
          </w:tcPr>
          <w:p w14:paraId="6701B561" w14:textId="77777777" w:rsidR="00F306CF" w:rsidRPr="008F446E" w:rsidRDefault="00F306CF" w:rsidP="006E42CE">
            <w:pPr>
              <w:widowControl/>
              <w:spacing w:after="0" w:line="240" w:lineRule="auto"/>
              <w:rPr>
                <w:rFonts w:ascii="楷体" w:eastAsia="楷体" w:hAnsi="楷体" w:cs="宋体" w:hint="eastAsia"/>
                <w:b/>
                <w:bCs/>
                <w:color w:val="000000"/>
                <w:kern w:val="0"/>
                <w:szCs w:val="22"/>
                <w14:ligatures w14:val="none"/>
              </w:rPr>
            </w:pPr>
            <w:r w:rsidRPr="008F446E">
              <w:rPr>
                <w:rFonts w:ascii="楷体" w:eastAsia="楷体" w:hAnsi="楷体" w:cs="宋体" w:hint="eastAsia"/>
                <w:b/>
                <w:bCs/>
                <w:color w:val="000000"/>
                <w:kern w:val="0"/>
                <w:szCs w:val="22"/>
                <w14:ligatures w14:val="none"/>
              </w:rPr>
              <w:t>2.5G及以下</w:t>
            </w:r>
          </w:p>
        </w:tc>
        <w:tc>
          <w:tcPr>
            <w:tcW w:w="1445" w:type="dxa"/>
            <w:tcBorders>
              <w:top w:val="nil"/>
              <w:left w:val="nil"/>
              <w:bottom w:val="single" w:sz="8" w:space="0" w:color="auto"/>
              <w:right w:val="single" w:sz="8" w:space="0" w:color="auto"/>
            </w:tcBorders>
            <w:vAlign w:val="center"/>
            <w:hideMark/>
          </w:tcPr>
          <w:p w14:paraId="47982700" w14:textId="77777777" w:rsidR="00F306CF" w:rsidRPr="008F446E" w:rsidRDefault="00F306CF" w:rsidP="006E42CE">
            <w:pPr>
              <w:widowControl/>
              <w:spacing w:after="0" w:line="240" w:lineRule="auto"/>
              <w:rPr>
                <w:rFonts w:ascii="楷体" w:eastAsia="楷体" w:hAnsi="楷体" w:cs="宋体" w:hint="eastAsia"/>
                <w:color w:val="000000"/>
                <w:kern w:val="0"/>
                <w:szCs w:val="22"/>
                <w14:ligatures w14:val="none"/>
              </w:rPr>
            </w:pPr>
            <w:r w:rsidRPr="008F446E">
              <w:rPr>
                <w:rFonts w:ascii="楷体" w:eastAsia="楷体" w:hAnsi="楷体" w:cs="宋体" w:hint="eastAsia"/>
                <w:color w:val="000000"/>
                <w:kern w:val="0"/>
                <w:szCs w:val="22"/>
                <w14:ligatures w14:val="none"/>
              </w:rPr>
              <w:t>&gt;90%</w:t>
            </w:r>
          </w:p>
        </w:tc>
        <w:tc>
          <w:tcPr>
            <w:tcW w:w="2268" w:type="dxa"/>
            <w:tcBorders>
              <w:top w:val="nil"/>
              <w:left w:val="nil"/>
              <w:bottom w:val="single" w:sz="8" w:space="0" w:color="auto"/>
              <w:right w:val="single" w:sz="8" w:space="0" w:color="auto"/>
            </w:tcBorders>
            <w:vAlign w:val="center"/>
            <w:hideMark/>
          </w:tcPr>
          <w:p w14:paraId="331CFFE5" w14:textId="77777777" w:rsidR="00F306CF" w:rsidRPr="008F446E" w:rsidRDefault="00F306CF" w:rsidP="006E42CE">
            <w:pPr>
              <w:widowControl/>
              <w:spacing w:after="0" w:line="240" w:lineRule="auto"/>
              <w:rPr>
                <w:rFonts w:ascii="楷体" w:eastAsia="楷体" w:hAnsi="楷体" w:cs="宋体" w:hint="eastAsia"/>
                <w:color w:val="000000"/>
                <w:kern w:val="0"/>
                <w:szCs w:val="22"/>
                <w14:ligatures w14:val="none"/>
              </w:rPr>
            </w:pPr>
            <w:r w:rsidRPr="008F446E">
              <w:rPr>
                <w:rFonts w:ascii="楷体" w:eastAsia="楷体" w:hAnsi="楷体" w:cs="宋体" w:hint="eastAsia"/>
                <w:color w:val="000000"/>
                <w:kern w:val="0"/>
                <w:szCs w:val="22"/>
                <w14:ligatures w14:val="none"/>
              </w:rPr>
              <w:t>完全成熟期</w:t>
            </w:r>
          </w:p>
        </w:tc>
        <w:tc>
          <w:tcPr>
            <w:tcW w:w="2946" w:type="dxa"/>
            <w:tcBorders>
              <w:top w:val="nil"/>
              <w:left w:val="nil"/>
              <w:bottom w:val="single" w:sz="8" w:space="0" w:color="auto"/>
              <w:right w:val="single" w:sz="8" w:space="0" w:color="auto"/>
            </w:tcBorders>
            <w:vAlign w:val="center"/>
            <w:hideMark/>
          </w:tcPr>
          <w:p w14:paraId="7A91C64F" w14:textId="77777777" w:rsidR="00F306CF" w:rsidRPr="008F446E" w:rsidRDefault="00F306CF" w:rsidP="006E42CE">
            <w:pPr>
              <w:widowControl/>
              <w:spacing w:after="0" w:line="240" w:lineRule="auto"/>
              <w:rPr>
                <w:rFonts w:ascii="楷体" w:eastAsia="楷体" w:hAnsi="楷体" w:cs="宋体" w:hint="eastAsia"/>
                <w:color w:val="000000"/>
                <w:kern w:val="0"/>
                <w:szCs w:val="22"/>
                <w14:ligatures w14:val="none"/>
              </w:rPr>
            </w:pPr>
            <w:r w:rsidRPr="008F446E">
              <w:rPr>
                <w:rFonts w:ascii="楷体" w:eastAsia="楷体" w:hAnsi="楷体" w:cs="宋体" w:hint="eastAsia"/>
                <w:color w:val="000000"/>
                <w:kern w:val="0"/>
                <w:szCs w:val="22"/>
                <w14:ligatures w14:val="none"/>
              </w:rPr>
              <w:t>价格战激烈，利润空间薄</w:t>
            </w:r>
          </w:p>
        </w:tc>
        <w:tc>
          <w:tcPr>
            <w:tcW w:w="241" w:type="dxa"/>
            <w:tcBorders>
              <w:top w:val="nil"/>
              <w:left w:val="nil"/>
              <w:bottom w:val="nil"/>
              <w:right w:val="nil"/>
            </w:tcBorders>
            <w:noWrap/>
            <w:vAlign w:val="center"/>
            <w:hideMark/>
          </w:tcPr>
          <w:p w14:paraId="4571C7E6" w14:textId="77777777" w:rsidR="00F306CF" w:rsidRPr="008F446E" w:rsidRDefault="00F306CF" w:rsidP="006E42CE">
            <w:pPr>
              <w:widowControl/>
              <w:spacing w:after="0" w:line="240" w:lineRule="auto"/>
              <w:rPr>
                <w:rFonts w:ascii="楷体" w:eastAsia="楷体" w:hAnsi="楷体" w:cs="宋体" w:hint="eastAsia"/>
                <w:color w:val="000000"/>
                <w:kern w:val="0"/>
                <w:szCs w:val="22"/>
                <w14:ligatures w14:val="none"/>
              </w:rPr>
            </w:pPr>
          </w:p>
        </w:tc>
      </w:tr>
      <w:tr w:rsidR="00F306CF" w:rsidRPr="008F446E" w14:paraId="6F4A5095" w14:textId="77777777" w:rsidTr="006E42CE">
        <w:trPr>
          <w:trHeight w:val="300"/>
          <w:jc w:val="center"/>
        </w:trPr>
        <w:tc>
          <w:tcPr>
            <w:tcW w:w="1674" w:type="dxa"/>
            <w:tcBorders>
              <w:top w:val="nil"/>
              <w:left w:val="single" w:sz="8" w:space="0" w:color="auto"/>
              <w:bottom w:val="single" w:sz="8" w:space="0" w:color="auto"/>
              <w:right w:val="single" w:sz="8" w:space="0" w:color="auto"/>
            </w:tcBorders>
            <w:vAlign w:val="center"/>
            <w:hideMark/>
          </w:tcPr>
          <w:p w14:paraId="00E31CBF" w14:textId="77777777" w:rsidR="00F306CF" w:rsidRPr="008F446E" w:rsidRDefault="00F306CF" w:rsidP="006E42CE">
            <w:pPr>
              <w:widowControl/>
              <w:spacing w:after="0" w:line="240" w:lineRule="auto"/>
              <w:rPr>
                <w:rFonts w:ascii="楷体" w:eastAsia="楷体" w:hAnsi="楷体" w:cs="宋体" w:hint="eastAsia"/>
                <w:b/>
                <w:bCs/>
                <w:color w:val="000000"/>
                <w:kern w:val="0"/>
                <w:szCs w:val="22"/>
                <w14:ligatures w14:val="none"/>
              </w:rPr>
            </w:pPr>
            <w:r w:rsidRPr="008F446E">
              <w:rPr>
                <w:rFonts w:ascii="楷体" w:eastAsia="楷体" w:hAnsi="楷体" w:cs="宋体" w:hint="eastAsia"/>
                <w:b/>
                <w:bCs/>
                <w:color w:val="000000"/>
                <w:kern w:val="0"/>
                <w:szCs w:val="22"/>
                <w14:ligatures w14:val="none"/>
              </w:rPr>
              <w:t>10G</w:t>
            </w:r>
          </w:p>
        </w:tc>
        <w:tc>
          <w:tcPr>
            <w:tcW w:w="1445" w:type="dxa"/>
            <w:tcBorders>
              <w:top w:val="nil"/>
              <w:left w:val="nil"/>
              <w:bottom w:val="single" w:sz="8" w:space="0" w:color="auto"/>
              <w:right w:val="single" w:sz="8" w:space="0" w:color="auto"/>
            </w:tcBorders>
            <w:vAlign w:val="center"/>
            <w:hideMark/>
          </w:tcPr>
          <w:p w14:paraId="23D27E1D" w14:textId="77777777" w:rsidR="00F306CF" w:rsidRPr="008F446E" w:rsidRDefault="00F306CF" w:rsidP="006E42CE">
            <w:pPr>
              <w:widowControl/>
              <w:spacing w:after="0" w:line="240" w:lineRule="auto"/>
              <w:rPr>
                <w:rFonts w:ascii="楷体" w:eastAsia="楷体" w:hAnsi="楷体" w:cs="宋体" w:hint="eastAsia"/>
                <w:color w:val="000000"/>
                <w:kern w:val="0"/>
                <w:szCs w:val="22"/>
                <w14:ligatures w14:val="none"/>
              </w:rPr>
            </w:pPr>
            <w:r w:rsidRPr="008F446E">
              <w:rPr>
                <w:rFonts w:ascii="楷体" w:eastAsia="楷体" w:hAnsi="楷体" w:cs="宋体" w:hint="eastAsia"/>
                <w:color w:val="000000"/>
                <w:kern w:val="0"/>
                <w:szCs w:val="22"/>
                <w14:ligatures w14:val="none"/>
              </w:rPr>
              <w:t>~60%</w:t>
            </w:r>
          </w:p>
        </w:tc>
        <w:tc>
          <w:tcPr>
            <w:tcW w:w="2268" w:type="dxa"/>
            <w:tcBorders>
              <w:top w:val="nil"/>
              <w:left w:val="nil"/>
              <w:bottom w:val="single" w:sz="8" w:space="0" w:color="auto"/>
              <w:right w:val="single" w:sz="8" w:space="0" w:color="auto"/>
            </w:tcBorders>
            <w:vAlign w:val="center"/>
            <w:hideMark/>
          </w:tcPr>
          <w:p w14:paraId="5D3CF740" w14:textId="77777777" w:rsidR="00F306CF" w:rsidRPr="008F446E" w:rsidRDefault="00F306CF" w:rsidP="006E42CE">
            <w:pPr>
              <w:widowControl/>
              <w:spacing w:after="0" w:line="240" w:lineRule="auto"/>
              <w:rPr>
                <w:rFonts w:ascii="楷体" w:eastAsia="楷体" w:hAnsi="楷体" w:cs="宋体" w:hint="eastAsia"/>
                <w:color w:val="000000"/>
                <w:kern w:val="0"/>
                <w:szCs w:val="22"/>
                <w14:ligatures w14:val="none"/>
              </w:rPr>
            </w:pPr>
            <w:r w:rsidRPr="008F446E">
              <w:rPr>
                <w:rFonts w:ascii="楷体" w:eastAsia="楷体" w:hAnsi="楷体" w:cs="宋体" w:hint="eastAsia"/>
                <w:color w:val="000000"/>
                <w:kern w:val="0"/>
                <w:szCs w:val="22"/>
                <w14:ligatures w14:val="none"/>
              </w:rPr>
              <w:t>成熟期</w:t>
            </w:r>
          </w:p>
        </w:tc>
        <w:tc>
          <w:tcPr>
            <w:tcW w:w="2946" w:type="dxa"/>
            <w:tcBorders>
              <w:top w:val="nil"/>
              <w:left w:val="nil"/>
              <w:bottom w:val="single" w:sz="8" w:space="0" w:color="auto"/>
              <w:right w:val="single" w:sz="8" w:space="0" w:color="auto"/>
            </w:tcBorders>
            <w:vAlign w:val="center"/>
            <w:hideMark/>
          </w:tcPr>
          <w:p w14:paraId="06E639FE" w14:textId="77777777" w:rsidR="00F306CF" w:rsidRPr="008F446E" w:rsidRDefault="00F306CF" w:rsidP="006E42CE">
            <w:pPr>
              <w:widowControl/>
              <w:spacing w:after="0" w:line="240" w:lineRule="auto"/>
              <w:rPr>
                <w:rFonts w:ascii="楷体" w:eastAsia="楷体" w:hAnsi="楷体" w:cs="宋体" w:hint="eastAsia"/>
                <w:color w:val="000000"/>
                <w:kern w:val="0"/>
                <w:szCs w:val="22"/>
                <w14:ligatures w14:val="none"/>
              </w:rPr>
            </w:pPr>
            <w:r w:rsidRPr="008F446E">
              <w:rPr>
                <w:rFonts w:ascii="楷体" w:eastAsia="楷体" w:hAnsi="楷体" w:cs="宋体" w:hint="eastAsia"/>
                <w:color w:val="000000"/>
                <w:kern w:val="0"/>
                <w:szCs w:val="22"/>
                <w14:ligatures w14:val="none"/>
              </w:rPr>
              <w:t>国内厂商主导</w:t>
            </w:r>
          </w:p>
        </w:tc>
        <w:tc>
          <w:tcPr>
            <w:tcW w:w="241" w:type="dxa"/>
            <w:tcBorders>
              <w:top w:val="nil"/>
              <w:left w:val="nil"/>
              <w:bottom w:val="nil"/>
              <w:right w:val="nil"/>
            </w:tcBorders>
            <w:noWrap/>
            <w:vAlign w:val="center"/>
            <w:hideMark/>
          </w:tcPr>
          <w:p w14:paraId="494B7813" w14:textId="77777777" w:rsidR="00F306CF" w:rsidRPr="008F446E" w:rsidRDefault="00F306CF" w:rsidP="006E42CE">
            <w:pPr>
              <w:widowControl/>
              <w:spacing w:after="0" w:line="240" w:lineRule="auto"/>
              <w:rPr>
                <w:rFonts w:ascii="楷体" w:eastAsia="楷体" w:hAnsi="楷体" w:cs="宋体" w:hint="eastAsia"/>
                <w:color w:val="000000"/>
                <w:kern w:val="0"/>
                <w:szCs w:val="22"/>
                <w14:ligatures w14:val="none"/>
              </w:rPr>
            </w:pPr>
          </w:p>
        </w:tc>
      </w:tr>
      <w:tr w:rsidR="00F306CF" w:rsidRPr="008F446E" w14:paraId="23D740DA" w14:textId="77777777" w:rsidTr="006E42CE">
        <w:trPr>
          <w:trHeight w:val="300"/>
          <w:jc w:val="center"/>
        </w:trPr>
        <w:tc>
          <w:tcPr>
            <w:tcW w:w="1674" w:type="dxa"/>
            <w:tcBorders>
              <w:top w:val="nil"/>
              <w:left w:val="single" w:sz="8" w:space="0" w:color="auto"/>
              <w:bottom w:val="single" w:sz="8" w:space="0" w:color="auto"/>
              <w:right w:val="single" w:sz="8" w:space="0" w:color="auto"/>
            </w:tcBorders>
            <w:vAlign w:val="center"/>
            <w:hideMark/>
          </w:tcPr>
          <w:p w14:paraId="1102629C" w14:textId="77777777" w:rsidR="00F306CF" w:rsidRPr="008F446E" w:rsidRDefault="00F306CF" w:rsidP="006E42CE">
            <w:pPr>
              <w:widowControl/>
              <w:spacing w:after="0" w:line="240" w:lineRule="auto"/>
              <w:rPr>
                <w:rFonts w:ascii="楷体" w:eastAsia="楷体" w:hAnsi="楷体" w:cs="宋体" w:hint="eastAsia"/>
                <w:b/>
                <w:bCs/>
                <w:color w:val="000000"/>
                <w:kern w:val="0"/>
                <w:szCs w:val="22"/>
                <w14:ligatures w14:val="none"/>
              </w:rPr>
            </w:pPr>
            <w:r w:rsidRPr="008F446E">
              <w:rPr>
                <w:rFonts w:ascii="楷体" w:eastAsia="楷体" w:hAnsi="楷体" w:cs="宋体" w:hint="eastAsia"/>
                <w:b/>
                <w:bCs/>
                <w:color w:val="000000"/>
                <w:kern w:val="0"/>
                <w:szCs w:val="22"/>
                <w14:ligatures w14:val="none"/>
              </w:rPr>
              <w:t>25G以上</w:t>
            </w:r>
          </w:p>
        </w:tc>
        <w:tc>
          <w:tcPr>
            <w:tcW w:w="1445" w:type="dxa"/>
            <w:tcBorders>
              <w:top w:val="nil"/>
              <w:left w:val="nil"/>
              <w:bottom w:val="single" w:sz="8" w:space="0" w:color="auto"/>
              <w:right w:val="single" w:sz="8" w:space="0" w:color="auto"/>
            </w:tcBorders>
            <w:vAlign w:val="center"/>
            <w:hideMark/>
          </w:tcPr>
          <w:p w14:paraId="238DC587" w14:textId="77777777" w:rsidR="00F306CF" w:rsidRPr="008F446E" w:rsidRDefault="00F306CF" w:rsidP="006E42CE">
            <w:pPr>
              <w:widowControl/>
              <w:spacing w:after="0" w:line="240" w:lineRule="auto"/>
              <w:rPr>
                <w:rFonts w:ascii="楷体" w:eastAsia="楷体" w:hAnsi="楷体" w:cs="宋体" w:hint="eastAsia"/>
                <w:b/>
                <w:bCs/>
                <w:color w:val="000000"/>
                <w:kern w:val="0"/>
                <w:szCs w:val="22"/>
                <w14:ligatures w14:val="none"/>
              </w:rPr>
            </w:pPr>
            <w:r w:rsidRPr="008F446E">
              <w:rPr>
                <w:rFonts w:ascii="楷体" w:eastAsia="楷体" w:hAnsi="楷体" w:cs="宋体" w:hint="eastAsia"/>
                <w:b/>
                <w:bCs/>
                <w:color w:val="000000"/>
                <w:kern w:val="0"/>
                <w:szCs w:val="22"/>
                <w14:ligatures w14:val="none"/>
              </w:rPr>
              <w:t>约7%</w:t>
            </w:r>
          </w:p>
        </w:tc>
        <w:tc>
          <w:tcPr>
            <w:tcW w:w="2268" w:type="dxa"/>
            <w:tcBorders>
              <w:top w:val="nil"/>
              <w:left w:val="nil"/>
              <w:bottom w:val="single" w:sz="8" w:space="0" w:color="auto"/>
              <w:right w:val="single" w:sz="8" w:space="0" w:color="auto"/>
            </w:tcBorders>
            <w:vAlign w:val="center"/>
            <w:hideMark/>
          </w:tcPr>
          <w:p w14:paraId="10DF9121" w14:textId="77777777" w:rsidR="00F306CF" w:rsidRPr="008F446E" w:rsidRDefault="00F306CF" w:rsidP="006E42CE">
            <w:pPr>
              <w:widowControl/>
              <w:spacing w:after="0" w:line="240" w:lineRule="auto"/>
              <w:rPr>
                <w:rFonts w:ascii="楷体" w:eastAsia="楷体" w:hAnsi="楷体" w:cs="宋体" w:hint="eastAsia"/>
                <w:b/>
                <w:bCs/>
                <w:color w:val="000000"/>
                <w:kern w:val="0"/>
                <w:szCs w:val="22"/>
                <w14:ligatures w14:val="none"/>
              </w:rPr>
            </w:pPr>
            <w:r w:rsidRPr="008F446E">
              <w:rPr>
                <w:rFonts w:ascii="楷体" w:eastAsia="楷体" w:hAnsi="楷体" w:cs="宋体" w:hint="eastAsia"/>
                <w:b/>
                <w:bCs/>
                <w:color w:val="000000"/>
                <w:kern w:val="0"/>
                <w:szCs w:val="22"/>
                <w14:ligatures w14:val="none"/>
              </w:rPr>
              <w:t>突破导入期</w:t>
            </w:r>
          </w:p>
        </w:tc>
        <w:tc>
          <w:tcPr>
            <w:tcW w:w="2946" w:type="dxa"/>
            <w:tcBorders>
              <w:top w:val="nil"/>
              <w:left w:val="nil"/>
              <w:bottom w:val="single" w:sz="8" w:space="0" w:color="auto"/>
              <w:right w:val="single" w:sz="8" w:space="0" w:color="auto"/>
            </w:tcBorders>
            <w:vAlign w:val="center"/>
            <w:hideMark/>
          </w:tcPr>
          <w:p w14:paraId="6BCF6498" w14:textId="77777777" w:rsidR="00F306CF" w:rsidRPr="008F446E" w:rsidRDefault="00F306CF" w:rsidP="006E42CE">
            <w:pPr>
              <w:widowControl/>
              <w:spacing w:after="0" w:line="240" w:lineRule="auto"/>
              <w:rPr>
                <w:rFonts w:ascii="楷体" w:eastAsia="楷体" w:hAnsi="楷体" w:cs="宋体" w:hint="eastAsia"/>
                <w:b/>
                <w:bCs/>
                <w:color w:val="000000"/>
                <w:kern w:val="0"/>
                <w:szCs w:val="22"/>
                <w14:ligatures w14:val="none"/>
              </w:rPr>
            </w:pPr>
            <w:r w:rsidRPr="008F446E">
              <w:rPr>
                <w:rFonts w:ascii="楷体" w:eastAsia="楷体" w:hAnsi="楷体" w:cs="宋体" w:hint="eastAsia"/>
                <w:b/>
                <w:bCs/>
                <w:color w:val="000000"/>
                <w:kern w:val="0"/>
                <w:szCs w:val="22"/>
                <w14:ligatures w14:val="none"/>
              </w:rPr>
              <w:t>EML芯片严重依赖进口</w:t>
            </w:r>
          </w:p>
        </w:tc>
        <w:tc>
          <w:tcPr>
            <w:tcW w:w="241" w:type="dxa"/>
            <w:tcBorders>
              <w:top w:val="nil"/>
              <w:left w:val="nil"/>
              <w:bottom w:val="nil"/>
              <w:right w:val="nil"/>
            </w:tcBorders>
            <w:noWrap/>
            <w:vAlign w:val="center"/>
            <w:hideMark/>
          </w:tcPr>
          <w:p w14:paraId="0E53119C" w14:textId="77777777" w:rsidR="00F306CF" w:rsidRPr="008F446E" w:rsidRDefault="00F306CF" w:rsidP="006E42CE">
            <w:pPr>
              <w:widowControl/>
              <w:spacing w:after="0" w:line="240" w:lineRule="auto"/>
              <w:rPr>
                <w:rFonts w:ascii="楷体" w:eastAsia="楷体" w:hAnsi="楷体" w:cs="宋体" w:hint="eastAsia"/>
                <w:b/>
                <w:bCs/>
                <w:color w:val="000000"/>
                <w:kern w:val="0"/>
                <w:szCs w:val="22"/>
                <w14:ligatures w14:val="none"/>
              </w:rPr>
            </w:pPr>
          </w:p>
        </w:tc>
      </w:tr>
      <w:tr w:rsidR="00F306CF" w:rsidRPr="008F446E" w14:paraId="45324457" w14:textId="77777777" w:rsidTr="006E42CE">
        <w:trPr>
          <w:trHeight w:val="300"/>
          <w:jc w:val="center"/>
        </w:trPr>
        <w:tc>
          <w:tcPr>
            <w:tcW w:w="1674" w:type="dxa"/>
            <w:tcBorders>
              <w:top w:val="nil"/>
              <w:left w:val="single" w:sz="8" w:space="0" w:color="auto"/>
              <w:bottom w:val="single" w:sz="8" w:space="0" w:color="auto"/>
              <w:right w:val="single" w:sz="8" w:space="0" w:color="auto"/>
            </w:tcBorders>
            <w:vAlign w:val="center"/>
            <w:hideMark/>
          </w:tcPr>
          <w:p w14:paraId="13DFA0FF" w14:textId="77777777" w:rsidR="00F306CF" w:rsidRPr="008F446E" w:rsidRDefault="00F306CF" w:rsidP="006E42CE">
            <w:pPr>
              <w:widowControl/>
              <w:spacing w:after="0" w:line="240" w:lineRule="auto"/>
              <w:rPr>
                <w:rFonts w:ascii="楷体" w:eastAsia="楷体" w:hAnsi="楷体" w:cs="宋体" w:hint="eastAsia"/>
                <w:b/>
                <w:bCs/>
                <w:color w:val="000000"/>
                <w:kern w:val="0"/>
                <w:szCs w:val="22"/>
                <w14:ligatures w14:val="none"/>
              </w:rPr>
            </w:pPr>
            <w:r w:rsidRPr="008F446E">
              <w:rPr>
                <w:rFonts w:ascii="楷体" w:eastAsia="楷体" w:hAnsi="楷体" w:cs="宋体" w:hint="eastAsia"/>
                <w:b/>
                <w:bCs/>
                <w:color w:val="000000"/>
                <w:kern w:val="0"/>
                <w:szCs w:val="22"/>
                <w14:ligatures w14:val="none"/>
              </w:rPr>
              <w:t>200G EML</w:t>
            </w:r>
          </w:p>
        </w:tc>
        <w:tc>
          <w:tcPr>
            <w:tcW w:w="1445" w:type="dxa"/>
            <w:tcBorders>
              <w:top w:val="nil"/>
              <w:left w:val="nil"/>
              <w:bottom w:val="single" w:sz="8" w:space="0" w:color="auto"/>
              <w:right w:val="single" w:sz="8" w:space="0" w:color="auto"/>
            </w:tcBorders>
            <w:vAlign w:val="center"/>
            <w:hideMark/>
          </w:tcPr>
          <w:p w14:paraId="05301A27" w14:textId="77777777" w:rsidR="00F306CF" w:rsidRPr="008F446E" w:rsidRDefault="00F306CF" w:rsidP="006E42CE">
            <w:pPr>
              <w:widowControl/>
              <w:spacing w:after="0" w:line="240" w:lineRule="auto"/>
              <w:rPr>
                <w:rFonts w:ascii="楷体" w:eastAsia="楷体" w:hAnsi="楷体" w:cs="宋体" w:hint="eastAsia"/>
                <w:b/>
                <w:bCs/>
                <w:color w:val="000000"/>
                <w:kern w:val="0"/>
                <w:szCs w:val="22"/>
                <w14:ligatures w14:val="none"/>
              </w:rPr>
            </w:pPr>
            <w:r w:rsidRPr="008F446E">
              <w:rPr>
                <w:rFonts w:ascii="楷体" w:eastAsia="楷体" w:hAnsi="楷体" w:cs="宋体" w:hint="eastAsia"/>
                <w:b/>
                <w:bCs/>
                <w:color w:val="000000"/>
                <w:kern w:val="0"/>
                <w:szCs w:val="22"/>
                <w14:ligatures w14:val="none"/>
              </w:rPr>
              <w:t>不足10%</w:t>
            </w:r>
          </w:p>
        </w:tc>
        <w:tc>
          <w:tcPr>
            <w:tcW w:w="2268" w:type="dxa"/>
            <w:tcBorders>
              <w:top w:val="nil"/>
              <w:left w:val="nil"/>
              <w:bottom w:val="single" w:sz="8" w:space="0" w:color="auto"/>
              <w:right w:val="single" w:sz="8" w:space="0" w:color="auto"/>
            </w:tcBorders>
            <w:vAlign w:val="center"/>
            <w:hideMark/>
          </w:tcPr>
          <w:p w14:paraId="2167F089" w14:textId="77777777" w:rsidR="00F306CF" w:rsidRPr="008F446E" w:rsidRDefault="00F306CF" w:rsidP="006E42CE">
            <w:pPr>
              <w:widowControl/>
              <w:spacing w:after="0" w:line="240" w:lineRule="auto"/>
              <w:rPr>
                <w:rFonts w:ascii="楷体" w:eastAsia="楷体" w:hAnsi="楷体" w:cs="宋体" w:hint="eastAsia"/>
                <w:b/>
                <w:bCs/>
                <w:color w:val="000000"/>
                <w:kern w:val="0"/>
                <w:szCs w:val="22"/>
                <w14:ligatures w14:val="none"/>
              </w:rPr>
            </w:pPr>
            <w:r w:rsidRPr="008F446E">
              <w:rPr>
                <w:rFonts w:ascii="楷体" w:eastAsia="楷体" w:hAnsi="楷体" w:cs="宋体" w:hint="eastAsia"/>
                <w:b/>
                <w:bCs/>
                <w:color w:val="000000"/>
                <w:kern w:val="0"/>
                <w:szCs w:val="22"/>
                <w14:ligatures w14:val="none"/>
              </w:rPr>
              <w:t>样品验证/小批量</w:t>
            </w:r>
          </w:p>
        </w:tc>
        <w:tc>
          <w:tcPr>
            <w:tcW w:w="2946" w:type="dxa"/>
            <w:tcBorders>
              <w:top w:val="nil"/>
              <w:left w:val="nil"/>
              <w:bottom w:val="single" w:sz="8" w:space="0" w:color="auto"/>
              <w:right w:val="single" w:sz="8" w:space="0" w:color="auto"/>
            </w:tcBorders>
            <w:vAlign w:val="center"/>
            <w:hideMark/>
          </w:tcPr>
          <w:p w14:paraId="2B836B3F" w14:textId="77777777" w:rsidR="00F306CF" w:rsidRPr="008F446E" w:rsidRDefault="00F306CF" w:rsidP="006E42CE">
            <w:pPr>
              <w:widowControl/>
              <w:spacing w:after="0" w:line="240" w:lineRule="auto"/>
              <w:rPr>
                <w:rFonts w:ascii="楷体" w:eastAsia="楷体" w:hAnsi="楷体" w:cs="宋体" w:hint="eastAsia"/>
                <w:color w:val="000000"/>
                <w:kern w:val="0"/>
                <w:szCs w:val="22"/>
                <w14:ligatures w14:val="none"/>
              </w:rPr>
            </w:pPr>
            <w:r w:rsidRPr="008F446E">
              <w:rPr>
                <w:rFonts w:ascii="楷体" w:eastAsia="楷体" w:hAnsi="楷体" w:cs="宋体" w:hint="eastAsia"/>
                <w:color w:val="000000"/>
                <w:kern w:val="0"/>
                <w:szCs w:val="22"/>
                <w14:ligatures w14:val="none"/>
              </w:rPr>
              <w:t>仅源杰科技等少数突破</w:t>
            </w:r>
          </w:p>
        </w:tc>
        <w:tc>
          <w:tcPr>
            <w:tcW w:w="241" w:type="dxa"/>
            <w:tcBorders>
              <w:top w:val="nil"/>
              <w:left w:val="nil"/>
              <w:bottom w:val="nil"/>
              <w:right w:val="nil"/>
            </w:tcBorders>
            <w:noWrap/>
            <w:vAlign w:val="center"/>
            <w:hideMark/>
          </w:tcPr>
          <w:p w14:paraId="6BB6218E" w14:textId="77777777" w:rsidR="00F306CF" w:rsidRPr="008F446E" w:rsidRDefault="00F306CF" w:rsidP="006E42CE">
            <w:pPr>
              <w:widowControl/>
              <w:spacing w:after="0" w:line="240" w:lineRule="auto"/>
              <w:rPr>
                <w:rFonts w:ascii="楷体" w:eastAsia="楷体" w:hAnsi="楷体" w:cs="宋体" w:hint="eastAsia"/>
                <w:color w:val="000000"/>
                <w:kern w:val="0"/>
                <w:szCs w:val="22"/>
                <w14:ligatures w14:val="none"/>
              </w:rPr>
            </w:pPr>
          </w:p>
        </w:tc>
      </w:tr>
      <w:tr w:rsidR="00F306CF" w:rsidRPr="008F446E" w14:paraId="4EC4EBB6" w14:textId="77777777" w:rsidTr="006E42CE">
        <w:trPr>
          <w:trHeight w:val="300"/>
          <w:jc w:val="center"/>
        </w:trPr>
        <w:tc>
          <w:tcPr>
            <w:tcW w:w="1674" w:type="dxa"/>
            <w:tcBorders>
              <w:top w:val="nil"/>
              <w:left w:val="single" w:sz="8" w:space="0" w:color="auto"/>
              <w:bottom w:val="single" w:sz="8" w:space="0" w:color="auto"/>
              <w:right w:val="single" w:sz="8" w:space="0" w:color="auto"/>
            </w:tcBorders>
            <w:vAlign w:val="center"/>
            <w:hideMark/>
          </w:tcPr>
          <w:p w14:paraId="34748BE8" w14:textId="77777777" w:rsidR="00F306CF" w:rsidRPr="008F446E" w:rsidRDefault="00F306CF" w:rsidP="006E42CE">
            <w:pPr>
              <w:widowControl/>
              <w:spacing w:after="0" w:line="240" w:lineRule="auto"/>
              <w:rPr>
                <w:rFonts w:ascii="楷体" w:eastAsia="楷体" w:hAnsi="楷体" w:cs="宋体" w:hint="eastAsia"/>
                <w:b/>
                <w:bCs/>
                <w:color w:val="000000"/>
                <w:kern w:val="0"/>
                <w:szCs w:val="22"/>
                <w14:ligatures w14:val="none"/>
              </w:rPr>
            </w:pPr>
            <w:r w:rsidRPr="008F446E">
              <w:rPr>
                <w:rFonts w:ascii="楷体" w:eastAsia="楷体" w:hAnsi="楷体" w:cs="宋体" w:hint="eastAsia"/>
                <w:b/>
                <w:bCs/>
                <w:color w:val="000000"/>
                <w:kern w:val="0"/>
                <w:szCs w:val="22"/>
                <w14:ligatures w14:val="none"/>
              </w:rPr>
              <w:t>1.6T DSP</w:t>
            </w:r>
          </w:p>
        </w:tc>
        <w:tc>
          <w:tcPr>
            <w:tcW w:w="1445" w:type="dxa"/>
            <w:tcBorders>
              <w:top w:val="nil"/>
              <w:left w:val="nil"/>
              <w:bottom w:val="single" w:sz="8" w:space="0" w:color="auto"/>
              <w:right w:val="single" w:sz="8" w:space="0" w:color="auto"/>
            </w:tcBorders>
            <w:vAlign w:val="center"/>
            <w:hideMark/>
          </w:tcPr>
          <w:p w14:paraId="76281600" w14:textId="77777777" w:rsidR="00F306CF" w:rsidRPr="008F446E" w:rsidRDefault="00F306CF" w:rsidP="006E42CE">
            <w:pPr>
              <w:widowControl/>
              <w:spacing w:after="0" w:line="240" w:lineRule="auto"/>
              <w:rPr>
                <w:rFonts w:ascii="楷体" w:eastAsia="楷体" w:hAnsi="楷体" w:cs="宋体" w:hint="eastAsia"/>
                <w:b/>
                <w:bCs/>
                <w:color w:val="000000"/>
                <w:kern w:val="0"/>
                <w:szCs w:val="22"/>
                <w14:ligatures w14:val="none"/>
              </w:rPr>
            </w:pPr>
            <w:r w:rsidRPr="008F446E">
              <w:rPr>
                <w:rFonts w:ascii="楷体" w:eastAsia="楷体" w:hAnsi="楷体" w:cs="宋体" w:hint="eastAsia"/>
                <w:b/>
                <w:bCs/>
                <w:color w:val="000000"/>
                <w:kern w:val="0"/>
                <w:szCs w:val="22"/>
                <w14:ligatures w14:val="none"/>
              </w:rPr>
              <w:t>不足10%</w:t>
            </w:r>
          </w:p>
        </w:tc>
        <w:tc>
          <w:tcPr>
            <w:tcW w:w="2268" w:type="dxa"/>
            <w:tcBorders>
              <w:top w:val="nil"/>
              <w:left w:val="nil"/>
              <w:bottom w:val="single" w:sz="8" w:space="0" w:color="auto"/>
              <w:right w:val="single" w:sz="8" w:space="0" w:color="auto"/>
            </w:tcBorders>
            <w:vAlign w:val="center"/>
            <w:hideMark/>
          </w:tcPr>
          <w:p w14:paraId="7AE0EC37" w14:textId="77777777" w:rsidR="00F306CF" w:rsidRPr="008F446E" w:rsidRDefault="00F306CF" w:rsidP="006E42CE">
            <w:pPr>
              <w:widowControl/>
              <w:spacing w:after="0" w:line="240" w:lineRule="auto"/>
              <w:rPr>
                <w:rFonts w:ascii="楷体" w:eastAsia="楷体" w:hAnsi="楷体" w:cs="宋体" w:hint="eastAsia"/>
                <w:color w:val="000000"/>
                <w:kern w:val="0"/>
                <w:szCs w:val="22"/>
                <w14:ligatures w14:val="none"/>
              </w:rPr>
            </w:pPr>
            <w:r w:rsidRPr="008F446E">
              <w:rPr>
                <w:rFonts w:ascii="楷体" w:eastAsia="楷体" w:hAnsi="楷体" w:cs="宋体" w:hint="eastAsia"/>
                <w:color w:val="000000"/>
                <w:kern w:val="0"/>
                <w:szCs w:val="22"/>
                <w14:ligatures w14:val="none"/>
              </w:rPr>
              <w:t>测试阶段</w:t>
            </w:r>
          </w:p>
        </w:tc>
        <w:tc>
          <w:tcPr>
            <w:tcW w:w="2946" w:type="dxa"/>
            <w:tcBorders>
              <w:top w:val="nil"/>
              <w:left w:val="nil"/>
              <w:bottom w:val="single" w:sz="8" w:space="0" w:color="auto"/>
              <w:right w:val="single" w:sz="8" w:space="0" w:color="auto"/>
            </w:tcBorders>
            <w:vAlign w:val="center"/>
            <w:hideMark/>
          </w:tcPr>
          <w:p w14:paraId="21D301AE" w14:textId="77777777" w:rsidR="00F306CF" w:rsidRPr="008F446E" w:rsidRDefault="00F306CF" w:rsidP="006E42CE">
            <w:pPr>
              <w:widowControl/>
              <w:spacing w:after="0" w:line="240" w:lineRule="auto"/>
              <w:rPr>
                <w:rFonts w:ascii="楷体" w:eastAsia="楷体" w:hAnsi="楷体" w:cs="宋体" w:hint="eastAsia"/>
                <w:color w:val="000000"/>
                <w:kern w:val="0"/>
                <w:szCs w:val="22"/>
                <w14:ligatures w14:val="none"/>
              </w:rPr>
            </w:pPr>
            <w:r w:rsidRPr="008F446E">
              <w:rPr>
                <w:rFonts w:ascii="楷体" w:eastAsia="楷体" w:hAnsi="楷体" w:cs="宋体" w:hint="eastAsia"/>
                <w:color w:val="000000"/>
                <w:kern w:val="0"/>
                <w:szCs w:val="22"/>
                <w14:ligatures w14:val="none"/>
              </w:rPr>
              <w:t>盛路通信等布局中</w:t>
            </w:r>
          </w:p>
        </w:tc>
        <w:tc>
          <w:tcPr>
            <w:tcW w:w="241" w:type="dxa"/>
            <w:tcBorders>
              <w:top w:val="nil"/>
              <w:left w:val="nil"/>
              <w:bottom w:val="nil"/>
              <w:right w:val="nil"/>
            </w:tcBorders>
            <w:noWrap/>
            <w:vAlign w:val="center"/>
            <w:hideMark/>
          </w:tcPr>
          <w:p w14:paraId="36F421E4" w14:textId="77777777" w:rsidR="00F306CF" w:rsidRPr="008F446E" w:rsidRDefault="00F306CF" w:rsidP="006E42CE">
            <w:pPr>
              <w:widowControl/>
              <w:spacing w:after="0" w:line="240" w:lineRule="auto"/>
              <w:rPr>
                <w:rFonts w:ascii="楷体" w:eastAsia="楷体" w:hAnsi="楷体" w:cs="宋体" w:hint="eastAsia"/>
                <w:color w:val="000000"/>
                <w:kern w:val="0"/>
                <w:szCs w:val="22"/>
                <w14:ligatures w14:val="none"/>
              </w:rPr>
            </w:pPr>
          </w:p>
        </w:tc>
      </w:tr>
    </w:tbl>
    <w:p w14:paraId="0CF0D602" w14:textId="77777777" w:rsidR="00F306CF" w:rsidRPr="008F446E" w:rsidRDefault="00F306CF" w:rsidP="00AF15A2">
      <w:pPr>
        <w:rPr>
          <w:rFonts w:ascii="楷体" w:eastAsia="楷体" w:hAnsi="楷体" w:hint="eastAsia"/>
        </w:rPr>
      </w:pPr>
    </w:p>
    <w:p w14:paraId="3F8C3E6F" w14:textId="768FFD2E" w:rsidR="00AF15A2" w:rsidRPr="008F446E" w:rsidRDefault="00AF15A2" w:rsidP="00AF15A2">
      <w:pPr>
        <w:rPr>
          <w:rFonts w:ascii="楷体" w:eastAsia="楷体" w:hAnsi="楷体" w:hint="eastAsia"/>
        </w:rPr>
      </w:pPr>
      <w:r w:rsidRPr="008F446E">
        <w:rPr>
          <w:rFonts w:ascii="楷体" w:eastAsia="楷体" w:hAnsi="楷体" w:hint="eastAsia"/>
        </w:rPr>
        <w:t>激光器供应商的产能较光模块规划量存在约1000万至1500万个的缺口。</w:t>
      </w:r>
    </w:p>
    <w:p w14:paraId="069810FC" w14:textId="761C7A75" w:rsidR="00AF15A2" w:rsidRPr="008F446E" w:rsidRDefault="00AF15A2" w:rsidP="00AF15A2">
      <w:pPr>
        <w:rPr>
          <w:rFonts w:ascii="楷体" w:eastAsia="楷体" w:hAnsi="楷体" w:hint="eastAsia"/>
        </w:rPr>
      </w:pPr>
      <w:r w:rsidRPr="008F446E">
        <w:rPr>
          <w:rFonts w:ascii="楷体" w:eastAsia="楷体" w:hAnsi="楷体" w:hint="eastAsia"/>
        </w:rPr>
        <w:t>关键材料磷化铟（InP）面临产能瓶颈：AI服务器需求加速了高速光模块的采用，向800G/1.6T的转变使得主要激光技术转向使用磷化铟材料。行业正面临磷化铟衬底和芯片的明显产能短缺。尽管供应商（如Lumentum、Coherent）正在积极扩产，但需求持续超过供应，这为光模块平均售价（ASP）在2027年前的稳定性提供了支撑。</w:t>
      </w:r>
    </w:p>
    <w:p w14:paraId="2604C68A" w14:textId="3D7D5ECE" w:rsidR="00314A0D" w:rsidRPr="008F446E" w:rsidRDefault="00AF15A2" w:rsidP="00AF15A2">
      <w:pPr>
        <w:rPr>
          <w:rFonts w:ascii="楷体" w:eastAsia="楷体" w:hAnsi="楷体" w:hint="eastAsia"/>
        </w:rPr>
      </w:pPr>
      <w:r w:rsidRPr="008F446E">
        <w:rPr>
          <w:rFonts w:ascii="楷体" w:eastAsia="楷体" w:hAnsi="楷体" w:hint="eastAsia"/>
        </w:rPr>
        <w:t>供应链积极扩产应对：为应对短缺，主要供应商正在扩张产能。例如，博通（AVGO）的EML激光器产能预计将从2025年的超4000万个增至2026年的5000万个；其CW激光器产能将从2025年的约1500万个增至2026年的两倍。</w:t>
      </w:r>
    </w:p>
    <w:p w14:paraId="45A8DD1C" w14:textId="77777777" w:rsidR="00362B17" w:rsidRPr="008F446E" w:rsidRDefault="00362B17" w:rsidP="00362B17">
      <w:pPr>
        <w:rPr>
          <w:rFonts w:ascii="楷体" w:eastAsia="楷体" w:hAnsi="楷体" w:hint="eastAsia"/>
        </w:rPr>
      </w:pPr>
      <w:r w:rsidRPr="008F446E">
        <w:rPr>
          <w:rFonts w:ascii="楷体" w:eastAsia="楷体" w:hAnsi="楷体"/>
          <w:noProof/>
        </w:rPr>
        <w:drawing>
          <wp:inline distT="0" distB="0" distL="0" distR="0" wp14:anchorId="39E74D31" wp14:editId="79891A74">
            <wp:extent cx="5274310" cy="2171065"/>
            <wp:effectExtent l="0" t="0" r="2540" b="635"/>
            <wp:docPr id="19220492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049262" name=""/>
                    <pic:cNvPicPr/>
                  </pic:nvPicPr>
                  <pic:blipFill>
                    <a:blip r:embed="rId16"/>
                    <a:stretch>
                      <a:fillRect/>
                    </a:stretch>
                  </pic:blipFill>
                  <pic:spPr>
                    <a:xfrm>
                      <a:off x="0" y="0"/>
                      <a:ext cx="5274310" cy="2171065"/>
                    </a:xfrm>
                    <a:prstGeom prst="rect">
                      <a:avLst/>
                    </a:prstGeom>
                  </pic:spPr>
                </pic:pic>
              </a:graphicData>
            </a:graphic>
          </wp:inline>
        </w:drawing>
      </w:r>
    </w:p>
    <w:p w14:paraId="7A37633E" w14:textId="55C76F1C" w:rsidR="00362B17" w:rsidRPr="008F446E" w:rsidRDefault="00362B17" w:rsidP="00362B17">
      <w:pPr>
        <w:rPr>
          <w:rFonts w:ascii="楷体" w:eastAsia="楷体" w:hAnsi="楷体" w:hint="eastAsia"/>
        </w:rPr>
      </w:pPr>
      <w:r w:rsidRPr="008F446E">
        <w:rPr>
          <w:rFonts w:ascii="楷体" w:eastAsia="楷体" w:hAnsi="楷体" w:hint="eastAsia"/>
        </w:rPr>
        <w:t>国内情况来看，近15年来全球光模块供应商格局的深刻变革，截至2020年，多数日本和美国供应商已退出该市场，而中国厂商的排名则持续攀升，2024年全球光模块TOP10榜单显示，中国厂商已在该领域占据主导地位（占7席），CR3约在50-60%之间。有益于享受规模效应和马太效应红利，并在未来1.6t/3.2t的时代占据更强的主导权。</w:t>
      </w:r>
    </w:p>
    <w:p w14:paraId="46C31928" w14:textId="77777777" w:rsidR="00362B17" w:rsidRPr="008F446E" w:rsidRDefault="00362B17" w:rsidP="00AF15A2">
      <w:pPr>
        <w:rPr>
          <w:rFonts w:ascii="楷体" w:eastAsia="楷体" w:hAnsi="楷体" w:hint="eastAsia"/>
        </w:rPr>
      </w:pPr>
    </w:p>
    <w:p w14:paraId="0DE3DAEF" w14:textId="77777777" w:rsidR="007101C5" w:rsidRPr="008F446E" w:rsidRDefault="007101C5" w:rsidP="007101C5">
      <w:pPr>
        <w:pStyle w:val="4"/>
        <w:rPr>
          <w:rFonts w:ascii="楷体" w:eastAsia="楷体" w:hAnsi="楷体" w:hint="eastAsia"/>
        </w:rPr>
      </w:pPr>
      <w:r w:rsidRPr="008F446E">
        <w:rPr>
          <w:rFonts w:ascii="楷体" w:eastAsia="楷体" w:hAnsi="楷体" w:hint="eastAsia"/>
        </w:rPr>
        <w:t>需求侧</w:t>
      </w:r>
    </w:p>
    <w:p w14:paraId="7952C402" w14:textId="77777777" w:rsidR="007101C5" w:rsidRPr="008F446E" w:rsidRDefault="007101C5" w:rsidP="007101C5">
      <w:pPr>
        <w:rPr>
          <w:rFonts w:ascii="楷体" w:eastAsia="楷体" w:hAnsi="楷体" w:hint="eastAsia"/>
        </w:rPr>
      </w:pPr>
      <w:r w:rsidRPr="008F446E">
        <w:rPr>
          <w:rFonts w:ascii="楷体" w:eastAsia="楷体" w:hAnsi="楷体" w:hint="eastAsia"/>
        </w:rPr>
        <w:t>下游需求结构多元，数通市场引领增长：光模块下游主要包括互联网云服务商、通信设备商和电信运营商。其中，互联网云服务商（如亚马逊、微软、谷歌、Meta）是高速光模块的核心需求方，其数据中心建设与AI算力集群扩张对400G、800G及1.6T光模块的需求激增，采购规模大、迭代速度快。电信运营商的需求相对稳定，主要受5G网络建设与骨干网升级驱动。从市场结构看，数通市场已超越电信市场，成为光模块需求增长的核心引擎。</w:t>
      </w:r>
    </w:p>
    <w:p w14:paraId="773681FA" w14:textId="77777777" w:rsidR="007101C5" w:rsidRPr="008F446E" w:rsidRDefault="007101C5" w:rsidP="007101C5">
      <w:pPr>
        <w:jc w:val="center"/>
        <w:rPr>
          <w:rFonts w:ascii="楷体" w:eastAsia="楷体" w:hAnsi="楷体" w:hint="eastAsia"/>
        </w:rPr>
      </w:pPr>
      <w:r w:rsidRPr="008F446E">
        <w:rPr>
          <w:rFonts w:ascii="楷体" w:eastAsia="楷体" w:hAnsi="楷体"/>
          <w:noProof/>
        </w:rPr>
        <w:lastRenderedPageBreak/>
        <w:drawing>
          <wp:inline distT="0" distB="0" distL="0" distR="0" wp14:anchorId="562C427E" wp14:editId="7AFFB29D">
            <wp:extent cx="4117594" cy="2526277"/>
            <wp:effectExtent l="0" t="0" r="0" b="7620"/>
            <wp:docPr id="19308460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846006" name=""/>
                    <pic:cNvPicPr/>
                  </pic:nvPicPr>
                  <pic:blipFill>
                    <a:blip r:embed="rId17"/>
                    <a:stretch>
                      <a:fillRect/>
                    </a:stretch>
                  </pic:blipFill>
                  <pic:spPr>
                    <a:xfrm>
                      <a:off x="0" y="0"/>
                      <a:ext cx="4125254" cy="2530976"/>
                    </a:xfrm>
                    <a:prstGeom prst="rect">
                      <a:avLst/>
                    </a:prstGeom>
                  </pic:spPr>
                </pic:pic>
              </a:graphicData>
            </a:graphic>
          </wp:inline>
        </w:drawing>
      </w:r>
    </w:p>
    <w:p w14:paraId="01253A67" w14:textId="77777777" w:rsidR="007101C5" w:rsidRPr="008F446E" w:rsidRDefault="007101C5" w:rsidP="007101C5">
      <w:pPr>
        <w:rPr>
          <w:rFonts w:ascii="楷体" w:eastAsia="楷体" w:hAnsi="楷体" w:hint="eastAsia"/>
        </w:rPr>
      </w:pPr>
      <w:r w:rsidRPr="008F446E">
        <w:rPr>
          <w:rFonts w:ascii="楷体" w:eastAsia="楷体" w:hAnsi="楷体" w:hint="eastAsia"/>
        </w:rPr>
        <w:t>AI算力需求直接推动了光模块产品结构向高速率升级，具体需求预测如下：</w:t>
      </w:r>
    </w:p>
    <w:tbl>
      <w:tblPr>
        <w:tblW w:w="10166" w:type="dxa"/>
        <w:tblInd w:w="-714" w:type="dxa"/>
        <w:tblLook w:val="04A0" w:firstRow="1" w:lastRow="0" w:firstColumn="1" w:lastColumn="0" w:noHBand="0" w:noVBand="1"/>
      </w:tblPr>
      <w:tblGrid>
        <w:gridCol w:w="1135"/>
        <w:gridCol w:w="1559"/>
        <w:gridCol w:w="1595"/>
        <w:gridCol w:w="1523"/>
        <w:gridCol w:w="4354"/>
      </w:tblGrid>
      <w:tr w:rsidR="007101C5" w:rsidRPr="008F446E" w14:paraId="57EDF6FC" w14:textId="77777777" w:rsidTr="006E42CE">
        <w:trPr>
          <w:trHeight w:val="333"/>
        </w:trPr>
        <w:tc>
          <w:tcPr>
            <w:tcW w:w="1135" w:type="dxa"/>
            <w:tcBorders>
              <w:top w:val="single" w:sz="4" w:space="0" w:color="auto"/>
              <w:left w:val="single" w:sz="4" w:space="0" w:color="auto"/>
              <w:bottom w:val="single" w:sz="4" w:space="0" w:color="auto"/>
              <w:right w:val="single" w:sz="4" w:space="0" w:color="auto"/>
            </w:tcBorders>
            <w:hideMark/>
          </w:tcPr>
          <w:p w14:paraId="0C3E2829" w14:textId="77777777" w:rsidR="007101C5" w:rsidRPr="008F446E" w:rsidRDefault="007101C5" w:rsidP="006E42CE">
            <w:pPr>
              <w:widowControl/>
              <w:spacing w:after="0" w:line="240" w:lineRule="auto"/>
              <w:rPr>
                <w:rFonts w:ascii="楷体" w:eastAsia="楷体" w:hAnsi="楷体" w:cs="宋体" w:hint="eastAsia"/>
                <w:b/>
                <w:bCs/>
                <w:color w:val="000000"/>
                <w:kern w:val="0"/>
                <w:szCs w:val="22"/>
                <w14:ligatures w14:val="none"/>
              </w:rPr>
            </w:pPr>
            <w:r w:rsidRPr="008F446E">
              <w:rPr>
                <w:rFonts w:ascii="楷体" w:eastAsia="楷体" w:hAnsi="楷体" w:cs="宋体"/>
                <w:b/>
                <w:bCs/>
                <w:color w:val="000000"/>
                <w:kern w:val="0"/>
                <w:szCs w:val="22"/>
                <w14:ligatures w14:val="none"/>
              </w:rPr>
              <w:t>产品速率</w:t>
            </w:r>
          </w:p>
        </w:tc>
        <w:tc>
          <w:tcPr>
            <w:tcW w:w="1559" w:type="dxa"/>
            <w:tcBorders>
              <w:top w:val="single" w:sz="4" w:space="0" w:color="auto"/>
              <w:left w:val="nil"/>
              <w:bottom w:val="single" w:sz="4" w:space="0" w:color="auto"/>
              <w:right w:val="single" w:sz="4" w:space="0" w:color="auto"/>
            </w:tcBorders>
            <w:hideMark/>
          </w:tcPr>
          <w:p w14:paraId="47975CDA" w14:textId="77777777" w:rsidR="007101C5" w:rsidRPr="008F446E" w:rsidRDefault="007101C5" w:rsidP="006E42CE">
            <w:pPr>
              <w:widowControl/>
              <w:spacing w:after="0" w:line="240" w:lineRule="auto"/>
              <w:rPr>
                <w:rFonts w:ascii="楷体" w:eastAsia="楷体" w:hAnsi="楷体" w:cs="宋体" w:hint="eastAsia"/>
                <w:b/>
                <w:bCs/>
                <w:color w:val="000000"/>
                <w:kern w:val="0"/>
                <w:szCs w:val="22"/>
                <w14:ligatures w14:val="none"/>
              </w:rPr>
            </w:pPr>
            <w:r w:rsidRPr="008F446E">
              <w:rPr>
                <w:rFonts w:ascii="楷体" w:eastAsia="楷体" w:hAnsi="楷体" w:cs="宋体"/>
                <w:b/>
                <w:bCs/>
                <w:color w:val="000000"/>
                <w:kern w:val="0"/>
                <w:szCs w:val="22"/>
                <w14:ligatures w14:val="none"/>
              </w:rPr>
              <w:t>2024</w:t>
            </w:r>
            <w:r w:rsidRPr="008F446E">
              <w:rPr>
                <w:rFonts w:ascii="楷体" w:eastAsia="楷体" w:hAnsi="楷体" w:cs="宋体" w:hint="eastAsia"/>
                <w:b/>
                <w:bCs/>
                <w:color w:val="000000"/>
                <w:kern w:val="0"/>
                <w:szCs w:val="22"/>
                <w14:ligatures w14:val="none"/>
              </w:rPr>
              <w:t>年需求</w:t>
            </w:r>
          </w:p>
        </w:tc>
        <w:tc>
          <w:tcPr>
            <w:tcW w:w="1595" w:type="dxa"/>
            <w:tcBorders>
              <w:top w:val="single" w:sz="4" w:space="0" w:color="auto"/>
              <w:left w:val="nil"/>
              <w:bottom w:val="single" w:sz="4" w:space="0" w:color="auto"/>
              <w:right w:val="single" w:sz="4" w:space="0" w:color="auto"/>
            </w:tcBorders>
            <w:hideMark/>
          </w:tcPr>
          <w:p w14:paraId="14D1DFC4" w14:textId="77777777" w:rsidR="007101C5" w:rsidRPr="008F446E" w:rsidRDefault="007101C5" w:rsidP="006E42CE">
            <w:pPr>
              <w:widowControl/>
              <w:spacing w:after="0" w:line="240" w:lineRule="auto"/>
              <w:rPr>
                <w:rFonts w:ascii="楷体" w:eastAsia="楷体" w:hAnsi="楷体" w:cs="宋体" w:hint="eastAsia"/>
                <w:b/>
                <w:bCs/>
                <w:color w:val="000000"/>
                <w:kern w:val="0"/>
                <w:szCs w:val="22"/>
                <w14:ligatures w14:val="none"/>
              </w:rPr>
            </w:pPr>
            <w:r w:rsidRPr="008F446E">
              <w:rPr>
                <w:rFonts w:ascii="楷体" w:eastAsia="楷体" w:hAnsi="楷体" w:cs="宋体"/>
                <w:b/>
                <w:bCs/>
                <w:color w:val="000000"/>
                <w:kern w:val="0"/>
                <w:szCs w:val="22"/>
                <w14:ligatures w14:val="none"/>
              </w:rPr>
              <w:t>2025</w:t>
            </w:r>
            <w:r w:rsidRPr="008F446E">
              <w:rPr>
                <w:rFonts w:ascii="楷体" w:eastAsia="楷体" w:hAnsi="楷体" w:cs="宋体" w:hint="eastAsia"/>
                <w:b/>
                <w:bCs/>
                <w:color w:val="000000"/>
                <w:kern w:val="0"/>
                <w:szCs w:val="22"/>
                <w14:ligatures w14:val="none"/>
              </w:rPr>
              <w:t>年需求</w:t>
            </w:r>
          </w:p>
        </w:tc>
        <w:tc>
          <w:tcPr>
            <w:tcW w:w="1523" w:type="dxa"/>
            <w:tcBorders>
              <w:top w:val="single" w:sz="4" w:space="0" w:color="auto"/>
              <w:left w:val="nil"/>
              <w:bottom w:val="single" w:sz="4" w:space="0" w:color="auto"/>
              <w:right w:val="single" w:sz="4" w:space="0" w:color="auto"/>
            </w:tcBorders>
            <w:hideMark/>
          </w:tcPr>
          <w:p w14:paraId="528225CA" w14:textId="77777777" w:rsidR="007101C5" w:rsidRPr="008F446E" w:rsidRDefault="007101C5" w:rsidP="006E42CE">
            <w:pPr>
              <w:widowControl/>
              <w:spacing w:after="0" w:line="240" w:lineRule="auto"/>
              <w:rPr>
                <w:rFonts w:ascii="楷体" w:eastAsia="楷体" w:hAnsi="楷体" w:cs="宋体" w:hint="eastAsia"/>
                <w:b/>
                <w:bCs/>
                <w:color w:val="000000"/>
                <w:kern w:val="0"/>
                <w:szCs w:val="22"/>
                <w14:ligatures w14:val="none"/>
              </w:rPr>
            </w:pPr>
            <w:r w:rsidRPr="008F446E">
              <w:rPr>
                <w:rFonts w:ascii="楷体" w:eastAsia="楷体" w:hAnsi="楷体" w:cs="宋体"/>
                <w:b/>
                <w:bCs/>
                <w:color w:val="000000"/>
                <w:kern w:val="0"/>
                <w:szCs w:val="22"/>
                <w14:ligatures w14:val="none"/>
              </w:rPr>
              <w:t>2026</w:t>
            </w:r>
            <w:r w:rsidRPr="008F446E">
              <w:rPr>
                <w:rFonts w:ascii="楷体" w:eastAsia="楷体" w:hAnsi="楷体" w:cs="宋体" w:hint="eastAsia"/>
                <w:b/>
                <w:bCs/>
                <w:color w:val="000000"/>
                <w:kern w:val="0"/>
                <w:szCs w:val="22"/>
                <w14:ligatures w14:val="none"/>
              </w:rPr>
              <w:t>年需求</w:t>
            </w:r>
          </w:p>
        </w:tc>
        <w:tc>
          <w:tcPr>
            <w:tcW w:w="4354" w:type="dxa"/>
            <w:tcBorders>
              <w:top w:val="single" w:sz="4" w:space="0" w:color="auto"/>
              <w:left w:val="nil"/>
              <w:bottom w:val="single" w:sz="4" w:space="0" w:color="auto"/>
              <w:right w:val="single" w:sz="4" w:space="0" w:color="auto"/>
            </w:tcBorders>
            <w:hideMark/>
          </w:tcPr>
          <w:p w14:paraId="65F08A13" w14:textId="77777777" w:rsidR="007101C5" w:rsidRPr="008F446E" w:rsidRDefault="007101C5" w:rsidP="006E42CE">
            <w:pPr>
              <w:widowControl/>
              <w:spacing w:after="0" w:line="240" w:lineRule="auto"/>
              <w:rPr>
                <w:rFonts w:ascii="楷体" w:eastAsia="楷体" w:hAnsi="楷体" w:cs="宋体" w:hint="eastAsia"/>
                <w:b/>
                <w:bCs/>
                <w:color w:val="000000"/>
                <w:kern w:val="0"/>
                <w:szCs w:val="22"/>
                <w14:ligatures w14:val="none"/>
              </w:rPr>
            </w:pPr>
            <w:r w:rsidRPr="008F446E">
              <w:rPr>
                <w:rFonts w:ascii="楷体" w:eastAsia="楷体" w:hAnsi="楷体" w:cs="宋体"/>
                <w:b/>
                <w:bCs/>
                <w:color w:val="000000"/>
                <w:kern w:val="0"/>
                <w:szCs w:val="22"/>
                <w14:ligatures w14:val="none"/>
              </w:rPr>
              <w:t>关键驱动客户与说明</w:t>
            </w:r>
          </w:p>
        </w:tc>
      </w:tr>
      <w:tr w:rsidR="007101C5" w:rsidRPr="008F446E" w14:paraId="25A83564" w14:textId="77777777" w:rsidTr="006E42CE">
        <w:trPr>
          <w:trHeight w:val="287"/>
        </w:trPr>
        <w:tc>
          <w:tcPr>
            <w:tcW w:w="1135" w:type="dxa"/>
            <w:tcBorders>
              <w:top w:val="nil"/>
              <w:left w:val="single" w:sz="4" w:space="0" w:color="auto"/>
              <w:bottom w:val="single" w:sz="4" w:space="0" w:color="auto"/>
              <w:right w:val="single" w:sz="4" w:space="0" w:color="auto"/>
            </w:tcBorders>
            <w:hideMark/>
          </w:tcPr>
          <w:p w14:paraId="5F28F397" w14:textId="77777777" w:rsidR="007101C5" w:rsidRPr="008F446E" w:rsidRDefault="007101C5" w:rsidP="006E42CE">
            <w:pPr>
              <w:widowControl/>
              <w:spacing w:after="0" w:line="240" w:lineRule="auto"/>
              <w:rPr>
                <w:rFonts w:ascii="楷体" w:eastAsia="楷体" w:hAnsi="楷体" w:cs="宋体" w:hint="eastAsia"/>
                <w:b/>
                <w:bCs/>
                <w:color w:val="000000"/>
                <w:kern w:val="0"/>
                <w:szCs w:val="22"/>
                <w14:ligatures w14:val="none"/>
              </w:rPr>
            </w:pPr>
            <w:r w:rsidRPr="008F446E">
              <w:rPr>
                <w:rFonts w:ascii="楷体" w:eastAsia="楷体" w:hAnsi="楷体" w:cs="宋体"/>
                <w:b/>
                <w:bCs/>
                <w:color w:val="000000"/>
                <w:kern w:val="0"/>
                <w:szCs w:val="22"/>
                <w14:ligatures w14:val="none"/>
              </w:rPr>
              <w:t>400G</w:t>
            </w:r>
          </w:p>
        </w:tc>
        <w:tc>
          <w:tcPr>
            <w:tcW w:w="1559" w:type="dxa"/>
            <w:tcBorders>
              <w:top w:val="nil"/>
              <w:left w:val="nil"/>
              <w:bottom w:val="single" w:sz="4" w:space="0" w:color="auto"/>
              <w:right w:val="single" w:sz="4" w:space="0" w:color="auto"/>
            </w:tcBorders>
            <w:hideMark/>
          </w:tcPr>
          <w:p w14:paraId="4115E416" w14:textId="77777777" w:rsidR="007101C5" w:rsidRPr="008F446E" w:rsidRDefault="007101C5" w:rsidP="006E42CE">
            <w:pPr>
              <w:widowControl/>
              <w:spacing w:after="0" w:line="240" w:lineRule="auto"/>
              <w:rPr>
                <w:rFonts w:ascii="楷体" w:eastAsia="楷体" w:hAnsi="楷体" w:cs="宋体" w:hint="eastAsia"/>
                <w:color w:val="000000"/>
                <w:kern w:val="0"/>
                <w:szCs w:val="22"/>
                <w14:ligatures w14:val="none"/>
              </w:rPr>
            </w:pPr>
            <w:r w:rsidRPr="008F446E">
              <w:rPr>
                <w:rFonts w:ascii="楷体" w:eastAsia="楷体" w:hAnsi="楷体" w:cs="宋体"/>
                <w:color w:val="000000"/>
                <w:kern w:val="0"/>
                <w:szCs w:val="22"/>
                <w14:ligatures w14:val="none"/>
              </w:rPr>
              <w:t>1000万个</w:t>
            </w:r>
          </w:p>
        </w:tc>
        <w:tc>
          <w:tcPr>
            <w:tcW w:w="1595" w:type="dxa"/>
            <w:tcBorders>
              <w:top w:val="nil"/>
              <w:left w:val="nil"/>
              <w:bottom w:val="single" w:sz="4" w:space="0" w:color="auto"/>
              <w:right w:val="single" w:sz="4" w:space="0" w:color="auto"/>
            </w:tcBorders>
            <w:hideMark/>
          </w:tcPr>
          <w:p w14:paraId="7FDBFFF9" w14:textId="77777777" w:rsidR="007101C5" w:rsidRPr="008F446E" w:rsidRDefault="007101C5" w:rsidP="006E42CE">
            <w:pPr>
              <w:widowControl/>
              <w:spacing w:after="0" w:line="240" w:lineRule="auto"/>
              <w:rPr>
                <w:rFonts w:ascii="楷体" w:eastAsia="楷体" w:hAnsi="楷体" w:cs="宋体" w:hint="eastAsia"/>
                <w:color w:val="000000"/>
                <w:kern w:val="0"/>
                <w:szCs w:val="22"/>
                <w14:ligatures w14:val="none"/>
              </w:rPr>
            </w:pPr>
            <w:r w:rsidRPr="008F446E">
              <w:rPr>
                <w:rFonts w:ascii="楷体" w:eastAsia="楷体" w:hAnsi="楷体" w:cs="宋体"/>
                <w:color w:val="000000"/>
                <w:kern w:val="0"/>
                <w:szCs w:val="22"/>
                <w14:ligatures w14:val="none"/>
              </w:rPr>
              <w:t>约400万个</w:t>
            </w:r>
          </w:p>
        </w:tc>
        <w:tc>
          <w:tcPr>
            <w:tcW w:w="1523" w:type="dxa"/>
            <w:tcBorders>
              <w:top w:val="nil"/>
              <w:left w:val="nil"/>
              <w:bottom w:val="single" w:sz="4" w:space="0" w:color="auto"/>
              <w:right w:val="single" w:sz="4" w:space="0" w:color="auto"/>
            </w:tcBorders>
            <w:hideMark/>
          </w:tcPr>
          <w:p w14:paraId="35F7E772" w14:textId="77777777" w:rsidR="007101C5" w:rsidRPr="008F446E" w:rsidRDefault="007101C5" w:rsidP="006E42CE">
            <w:pPr>
              <w:widowControl/>
              <w:spacing w:after="0" w:line="240" w:lineRule="auto"/>
              <w:rPr>
                <w:rFonts w:ascii="楷体" w:eastAsia="楷体" w:hAnsi="楷体" w:cs="宋体" w:hint="eastAsia"/>
                <w:color w:val="000000"/>
                <w:kern w:val="0"/>
                <w:szCs w:val="22"/>
                <w14:ligatures w14:val="none"/>
              </w:rPr>
            </w:pPr>
            <w:r w:rsidRPr="008F446E">
              <w:rPr>
                <w:rFonts w:ascii="楷体" w:eastAsia="楷体" w:hAnsi="楷体" w:cs="宋体"/>
                <w:color w:val="000000"/>
                <w:kern w:val="0"/>
                <w:szCs w:val="22"/>
                <w14:ligatures w14:val="none"/>
              </w:rPr>
              <w:t>降至不足200万个</w:t>
            </w:r>
          </w:p>
        </w:tc>
        <w:tc>
          <w:tcPr>
            <w:tcW w:w="4354" w:type="dxa"/>
            <w:tcBorders>
              <w:top w:val="nil"/>
              <w:left w:val="nil"/>
              <w:bottom w:val="single" w:sz="4" w:space="0" w:color="auto"/>
              <w:right w:val="single" w:sz="4" w:space="0" w:color="auto"/>
            </w:tcBorders>
            <w:hideMark/>
          </w:tcPr>
          <w:p w14:paraId="0276E127" w14:textId="77777777" w:rsidR="007101C5" w:rsidRPr="008F446E" w:rsidRDefault="007101C5" w:rsidP="006E42CE">
            <w:pPr>
              <w:widowControl/>
              <w:spacing w:after="0" w:line="240" w:lineRule="auto"/>
              <w:rPr>
                <w:rFonts w:ascii="楷体" w:eastAsia="楷体" w:hAnsi="楷体" w:cs="宋体" w:hint="eastAsia"/>
                <w:color w:val="000000"/>
                <w:kern w:val="0"/>
                <w:szCs w:val="22"/>
                <w14:ligatures w14:val="none"/>
              </w:rPr>
            </w:pPr>
            <w:r w:rsidRPr="008F446E">
              <w:rPr>
                <w:rFonts w:ascii="楷体" w:eastAsia="楷体" w:hAnsi="楷体" w:cs="宋体"/>
                <w:color w:val="000000"/>
                <w:kern w:val="0"/>
                <w:szCs w:val="22"/>
                <w14:ligatures w14:val="none"/>
              </w:rPr>
              <w:t>需求以AWS为主，2025年后需求放缓。</w:t>
            </w:r>
          </w:p>
        </w:tc>
      </w:tr>
      <w:tr w:rsidR="007101C5" w:rsidRPr="008F446E" w14:paraId="310E8EF2" w14:textId="77777777" w:rsidTr="006E42CE">
        <w:trPr>
          <w:trHeight w:val="863"/>
        </w:trPr>
        <w:tc>
          <w:tcPr>
            <w:tcW w:w="1135" w:type="dxa"/>
            <w:tcBorders>
              <w:top w:val="nil"/>
              <w:left w:val="single" w:sz="4" w:space="0" w:color="auto"/>
              <w:bottom w:val="single" w:sz="4" w:space="0" w:color="auto"/>
              <w:right w:val="single" w:sz="4" w:space="0" w:color="auto"/>
            </w:tcBorders>
            <w:hideMark/>
          </w:tcPr>
          <w:p w14:paraId="4114F4DA" w14:textId="77777777" w:rsidR="007101C5" w:rsidRPr="008F446E" w:rsidRDefault="007101C5" w:rsidP="006E42CE">
            <w:pPr>
              <w:widowControl/>
              <w:spacing w:after="0" w:line="240" w:lineRule="auto"/>
              <w:rPr>
                <w:rFonts w:ascii="楷体" w:eastAsia="楷体" w:hAnsi="楷体" w:cs="宋体" w:hint="eastAsia"/>
                <w:b/>
                <w:bCs/>
                <w:color w:val="000000"/>
                <w:kern w:val="0"/>
                <w:szCs w:val="22"/>
                <w14:ligatures w14:val="none"/>
              </w:rPr>
            </w:pPr>
            <w:r w:rsidRPr="008F446E">
              <w:rPr>
                <w:rFonts w:ascii="楷体" w:eastAsia="楷体" w:hAnsi="楷体" w:cs="宋体"/>
                <w:b/>
                <w:bCs/>
                <w:color w:val="000000"/>
                <w:kern w:val="0"/>
                <w:szCs w:val="22"/>
                <w14:ligatures w14:val="none"/>
              </w:rPr>
              <w:t>800G</w:t>
            </w:r>
          </w:p>
        </w:tc>
        <w:tc>
          <w:tcPr>
            <w:tcW w:w="1559" w:type="dxa"/>
            <w:tcBorders>
              <w:top w:val="nil"/>
              <w:left w:val="nil"/>
              <w:bottom w:val="single" w:sz="4" w:space="0" w:color="auto"/>
              <w:right w:val="single" w:sz="4" w:space="0" w:color="auto"/>
            </w:tcBorders>
            <w:hideMark/>
          </w:tcPr>
          <w:p w14:paraId="5C023087" w14:textId="77777777" w:rsidR="007101C5" w:rsidRPr="008F446E" w:rsidRDefault="007101C5" w:rsidP="006E42CE">
            <w:pPr>
              <w:widowControl/>
              <w:spacing w:after="0" w:line="240" w:lineRule="auto"/>
              <w:rPr>
                <w:rFonts w:ascii="楷体" w:eastAsia="楷体" w:hAnsi="楷体" w:cs="宋体" w:hint="eastAsia"/>
                <w:color w:val="000000"/>
                <w:kern w:val="0"/>
                <w:szCs w:val="22"/>
                <w14:ligatures w14:val="none"/>
              </w:rPr>
            </w:pPr>
            <w:r w:rsidRPr="008F446E">
              <w:rPr>
                <w:rFonts w:ascii="楷体" w:eastAsia="楷体" w:hAnsi="楷体" w:cs="宋体"/>
                <w:color w:val="000000"/>
                <w:kern w:val="0"/>
                <w:szCs w:val="22"/>
                <w14:ligatures w14:val="none"/>
              </w:rPr>
              <w:t>1000万–1100万个</w:t>
            </w:r>
          </w:p>
        </w:tc>
        <w:tc>
          <w:tcPr>
            <w:tcW w:w="1595" w:type="dxa"/>
            <w:tcBorders>
              <w:top w:val="nil"/>
              <w:left w:val="nil"/>
              <w:bottom w:val="single" w:sz="4" w:space="0" w:color="auto"/>
              <w:right w:val="single" w:sz="4" w:space="0" w:color="auto"/>
            </w:tcBorders>
            <w:hideMark/>
          </w:tcPr>
          <w:p w14:paraId="5B0C8302" w14:textId="77777777" w:rsidR="007101C5" w:rsidRPr="008F446E" w:rsidRDefault="007101C5" w:rsidP="006E42CE">
            <w:pPr>
              <w:widowControl/>
              <w:spacing w:after="0" w:line="240" w:lineRule="auto"/>
              <w:rPr>
                <w:rFonts w:ascii="楷体" w:eastAsia="楷体" w:hAnsi="楷体" w:cs="宋体" w:hint="eastAsia"/>
                <w:color w:val="000000"/>
                <w:kern w:val="0"/>
                <w:szCs w:val="22"/>
                <w14:ligatures w14:val="none"/>
              </w:rPr>
            </w:pPr>
            <w:r w:rsidRPr="008F446E">
              <w:rPr>
                <w:rFonts w:ascii="楷体" w:eastAsia="楷体" w:hAnsi="楷体" w:cs="宋体"/>
                <w:color w:val="000000"/>
                <w:kern w:val="0"/>
                <w:szCs w:val="22"/>
                <w14:ligatures w14:val="none"/>
              </w:rPr>
              <w:t>2500万个</w:t>
            </w:r>
          </w:p>
        </w:tc>
        <w:tc>
          <w:tcPr>
            <w:tcW w:w="1523" w:type="dxa"/>
            <w:tcBorders>
              <w:top w:val="nil"/>
              <w:left w:val="nil"/>
              <w:bottom w:val="single" w:sz="4" w:space="0" w:color="auto"/>
              <w:right w:val="single" w:sz="4" w:space="0" w:color="auto"/>
            </w:tcBorders>
            <w:hideMark/>
          </w:tcPr>
          <w:p w14:paraId="0A0AC703" w14:textId="77777777" w:rsidR="007101C5" w:rsidRPr="008F446E" w:rsidRDefault="007101C5" w:rsidP="006E42CE">
            <w:pPr>
              <w:widowControl/>
              <w:spacing w:after="0" w:line="240" w:lineRule="auto"/>
              <w:rPr>
                <w:rFonts w:ascii="楷体" w:eastAsia="楷体" w:hAnsi="楷体" w:cs="宋体" w:hint="eastAsia"/>
                <w:color w:val="000000"/>
                <w:kern w:val="0"/>
                <w:szCs w:val="22"/>
                <w14:ligatures w14:val="none"/>
              </w:rPr>
            </w:pPr>
            <w:r w:rsidRPr="008F446E">
              <w:rPr>
                <w:rFonts w:ascii="楷体" w:eastAsia="楷体" w:hAnsi="楷体" w:cs="宋体"/>
                <w:color w:val="000000"/>
                <w:kern w:val="0"/>
                <w:szCs w:val="22"/>
                <w14:ligatures w14:val="none"/>
              </w:rPr>
              <w:t>规划建设量超6000万个</w:t>
            </w:r>
          </w:p>
        </w:tc>
        <w:tc>
          <w:tcPr>
            <w:tcW w:w="4354" w:type="dxa"/>
            <w:tcBorders>
              <w:top w:val="nil"/>
              <w:left w:val="nil"/>
              <w:bottom w:val="single" w:sz="4" w:space="0" w:color="auto"/>
              <w:right w:val="single" w:sz="4" w:space="0" w:color="auto"/>
            </w:tcBorders>
            <w:hideMark/>
          </w:tcPr>
          <w:p w14:paraId="5A81650D" w14:textId="77777777" w:rsidR="007101C5" w:rsidRPr="008F446E" w:rsidRDefault="007101C5" w:rsidP="006E42CE">
            <w:pPr>
              <w:widowControl/>
              <w:spacing w:after="0" w:line="240" w:lineRule="auto"/>
              <w:rPr>
                <w:rFonts w:ascii="楷体" w:eastAsia="楷体" w:hAnsi="楷体" w:cs="宋体" w:hint="eastAsia"/>
                <w:color w:val="000000"/>
                <w:kern w:val="0"/>
                <w:szCs w:val="22"/>
                <w14:ligatures w14:val="none"/>
              </w:rPr>
            </w:pPr>
            <w:r w:rsidRPr="008F446E">
              <w:rPr>
                <w:rFonts w:ascii="楷体" w:eastAsia="楷体" w:hAnsi="楷体" w:cs="宋体"/>
                <w:color w:val="000000"/>
                <w:kern w:val="0"/>
                <w:szCs w:val="22"/>
                <w14:ligatures w14:val="none"/>
              </w:rPr>
              <w:t>2024年以英伟达为主；2025年扩展至英伟达、谷歌、微软、亚马逊、Meta、甲骨文；前两大采购方（亚马逊+Meta）合计占约50%。</w:t>
            </w:r>
          </w:p>
        </w:tc>
      </w:tr>
      <w:tr w:rsidR="007101C5" w:rsidRPr="008F446E" w14:paraId="42E06F4B" w14:textId="77777777" w:rsidTr="006E42CE">
        <w:trPr>
          <w:trHeight w:val="666"/>
        </w:trPr>
        <w:tc>
          <w:tcPr>
            <w:tcW w:w="1135" w:type="dxa"/>
            <w:tcBorders>
              <w:top w:val="nil"/>
              <w:left w:val="single" w:sz="4" w:space="0" w:color="auto"/>
              <w:bottom w:val="single" w:sz="4" w:space="0" w:color="auto"/>
              <w:right w:val="single" w:sz="4" w:space="0" w:color="auto"/>
            </w:tcBorders>
            <w:hideMark/>
          </w:tcPr>
          <w:p w14:paraId="168EB0FC" w14:textId="77777777" w:rsidR="007101C5" w:rsidRPr="008F446E" w:rsidRDefault="007101C5" w:rsidP="006E42CE">
            <w:pPr>
              <w:widowControl/>
              <w:spacing w:after="0" w:line="240" w:lineRule="auto"/>
              <w:rPr>
                <w:rFonts w:ascii="楷体" w:eastAsia="楷体" w:hAnsi="楷体" w:cs="宋体" w:hint="eastAsia"/>
                <w:b/>
                <w:bCs/>
                <w:color w:val="000000"/>
                <w:kern w:val="0"/>
                <w:szCs w:val="22"/>
                <w14:ligatures w14:val="none"/>
              </w:rPr>
            </w:pPr>
            <w:r w:rsidRPr="008F446E">
              <w:rPr>
                <w:rFonts w:ascii="楷体" w:eastAsia="楷体" w:hAnsi="楷体" w:cs="宋体"/>
                <w:b/>
                <w:bCs/>
                <w:color w:val="000000"/>
                <w:kern w:val="0"/>
                <w:szCs w:val="22"/>
                <w14:ligatures w14:val="none"/>
              </w:rPr>
              <w:t>1.6T</w:t>
            </w:r>
          </w:p>
        </w:tc>
        <w:tc>
          <w:tcPr>
            <w:tcW w:w="1559" w:type="dxa"/>
            <w:tcBorders>
              <w:top w:val="nil"/>
              <w:left w:val="nil"/>
              <w:bottom w:val="single" w:sz="4" w:space="0" w:color="auto"/>
              <w:right w:val="single" w:sz="4" w:space="0" w:color="auto"/>
            </w:tcBorders>
            <w:hideMark/>
          </w:tcPr>
          <w:p w14:paraId="7B286991" w14:textId="77777777" w:rsidR="007101C5" w:rsidRPr="008F446E" w:rsidRDefault="007101C5" w:rsidP="006E42CE">
            <w:pPr>
              <w:widowControl/>
              <w:spacing w:after="0" w:line="240" w:lineRule="auto"/>
              <w:rPr>
                <w:rFonts w:ascii="楷体" w:eastAsia="楷体" w:hAnsi="楷体" w:cs="宋体" w:hint="eastAsia"/>
                <w:color w:val="000000"/>
                <w:kern w:val="0"/>
                <w:szCs w:val="22"/>
                <w14:ligatures w14:val="none"/>
              </w:rPr>
            </w:pPr>
            <w:r w:rsidRPr="008F446E">
              <w:rPr>
                <w:rFonts w:ascii="楷体" w:eastAsia="楷体" w:hAnsi="楷体" w:cs="宋体"/>
                <w:color w:val="000000"/>
                <w:kern w:val="0"/>
                <w:szCs w:val="22"/>
                <w14:ligatures w14:val="none"/>
              </w:rPr>
              <w:t>数万个</w:t>
            </w:r>
          </w:p>
        </w:tc>
        <w:tc>
          <w:tcPr>
            <w:tcW w:w="1595" w:type="dxa"/>
            <w:tcBorders>
              <w:top w:val="nil"/>
              <w:left w:val="nil"/>
              <w:bottom w:val="single" w:sz="4" w:space="0" w:color="auto"/>
              <w:right w:val="single" w:sz="4" w:space="0" w:color="auto"/>
            </w:tcBorders>
            <w:hideMark/>
          </w:tcPr>
          <w:p w14:paraId="5866DE74" w14:textId="77777777" w:rsidR="007101C5" w:rsidRPr="008F446E" w:rsidRDefault="007101C5" w:rsidP="006E42CE">
            <w:pPr>
              <w:widowControl/>
              <w:spacing w:after="0" w:line="240" w:lineRule="auto"/>
              <w:rPr>
                <w:rFonts w:ascii="楷体" w:eastAsia="楷体" w:hAnsi="楷体" w:cs="宋体" w:hint="eastAsia"/>
                <w:color w:val="000000"/>
                <w:kern w:val="0"/>
                <w:szCs w:val="22"/>
                <w14:ligatures w14:val="none"/>
              </w:rPr>
            </w:pPr>
            <w:r w:rsidRPr="008F446E">
              <w:rPr>
                <w:rFonts w:ascii="楷体" w:eastAsia="楷体" w:hAnsi="楷体" w:cs="宋体"/>
                <w:color w:val="000000"/>
                <w:kern w:val="0"/>
                <w:szCs w:val="22"/>
                <w14:ligatures w14:val="none"/>
              </w:rPr>
              <w:t>170</w:t>
            </w:r>
            <w:r w:rsidRPr="008F446E">
              <w:rPr>
                <w:rFonts w:ascii="楷体" w:eastAsia="楷体" w:hAnsi="楷体" w:cs="宋体" w:hint="eastAsia"/>
                <w:color w:val="000000"/>
                <w:kern w:val="0"/>
                <w:szCs w:val="22"/>
                <w14:ligatures w14:val="none"/>
              </w:rPr>
              <w:t>万</w:t>
            </w:r>
            <w:r w:rsidRPr="008F446E">
              <w:rPr>
                <w:rFonts w:ascii="楷体" w:eastAsia="楷体" w:hAnsi="楷体" w:cs="宋体"/>
                <w:color w:val="000000"/>
                <w:kern w:val="0"/>
                <w:szCs w:val="22"/>
                <w14:ligatures w14:val="none"/>
              </w:rPr>
              <w:t>–</w:t>
            </w:r>
            <w:r w:rsidRPr="008F446E">
              <w:rPr>
                <w:rFonts w:ascii="楷体" w:eastAsia="楷体" w:hAnsi="楷体" w:cs="Arial"/>
                <w:color w:val="000000"/>
                <w:kern w:val="0"/>
                <w:szCs w:val="22"/>
                <w14:ligatures w14:val="none"/>
              </w:rPr>
              <w:t>350</w:t>
            </w:r>
            <w:r w:rsidRPr="008F446E">
              <w:rPr>
                <w:rFonts w:ascii="楷体" w:eastAsia="楷体" w:hAnsi="楷体" w:cs="宋体" w:hint="eastAsia"/>
                <w:color w:val="000000"/>
                <w:kern w:val="0"/>
                <w:szCs w:val="22"/>
                <w14:ligatures w14:val="none"/>
              </w:rPr>
              <w:t>万个</w:t>
            </w:r>
          </w:p>
        </w:tc>
        <w:tc>
          <w:tcPr>
            <w:tcW w:w="1523" w:type="dxa"/>
            <w:tcBorders>
              <w:top w:val="nil"/>
              <w:left w:val="nil"/>
              <w:bottom w:val="single" w:sz="4" w:space="0" w:color="auto"/>
              <w:right w:val="single" w:sz="4" w:space="0" w:color="auto"/>
            </w:tcBorders>
            <w:hideMark/>
          </w:tcPr>
          <w:p w14:paraId="7D70EEDD" w14:textId="77777777" w:rsidR="007101C5" w:rsidRPr="008F446E" w:rsidRDefault="007101C5" w:rsidP="006E42CE">
            <w:pPr>
              <w:widowControl/>
              <w:spacing w:after="0" w:line="240" w:lineRule="auto"/>
              <w:rPr>
                <w:rFonts w:ascii="楷体" w:eastAsia="楷体" w:hAnsi="楷体" w:cs="宋体" w:hint="eastAsia"/>
                <w:color w:val="000000"/>
                <w:kern w:val="0"/>
                <w:szCs w:val="22"/>
                <w14:ligatures w14:val="none"/>
              </w:rPr>
            </w:pPr>
            <w:r w:rsidRPr="008F446E">
              <w:rPr>
                <w:rFonts w:ascii="楷体" w:eastAsia="楷体" w:hAnsi="楷体" w:cs="宋体" w:hint="eastAsia"/>
                <w:color w:val="000000"/>
                <w:kern w:val="0"/>
                <w:szCs w:val="22"/>
                <w14:ligatures w14:val="none"/>
              </w:rPr>
              <w:t xml:space="preserve">500-1000万 </w:t>
            </w:r>
          </w:p>
        </w:tc>
        <w:tc>
          <w:tcPr>
            <w:tcW w:w="4354" w:type="dxa"/>
            <w:tcBorders>
              <w:top w:val="nil"/>
              <w:left w:val="nil"/>
              <w:bottom w:val="single" w:sz="4" w:space="0" w:color="auto"/>
              <w:right w:val="single" w:sz="4" w:space="0" w:color="auto"/>
            </w:tcBorders>
            <w:hideMark/>
          </w:tcPr>
          <w:p w14:paraId="7088959C" w14:textId="77777777" w:rsidR="007101C5" w:rsidRPr="008F446E" w:rsidRDefault="007101C5" w:rsidP="006E42CE">
            <w:pPr>
              <w:widowControl/>
              <w:spacing w:after="0" w:line="240" w:lineRule="auto"/>
              <w:rPr>
                <w:rFonts w:ascii="楷体" w:eastAsia="楷体" w:hAnsi="楷体" w:cs="宋体" w:hint="eastAsia"/>
                <w:color w:val="000000"/>
                <w:kern w:val="0"/>
                <w:szCs w:val="22"/>
                <w14:ligatures w14:val="none"/>
              </w:rPr>
            </w:pPr>
            <w:r w:rsidRPr="008F446E">
              <w:rPr>
                <w:rFonts w:ascii="楷体" w:eastAsia="楷体" w:hAnsi="楷体" w:cs="宋体"/>
                <w:color w:val="000000"/>
                <w:kern w:val="0"/>
                <w:szCs w:val="22"/>
                <w14:ligatures w14:val="none"/>
              </w:rPr>
              <w:t>2025年为商用元年，英伟达占70%–90%；2026年英伟达占比超60%，谷歌占25%，Meta占10%–15%。</w:t>
            </w:r>
          </w:p>
        </w:tc>
      </w:tr>
    </w:tbl>
    <w:p w14:paraId="371A6032" w14:textId="77777777" w:rsidR="007101C5" w:rsidRPr="008F446E" w:rsidRDefault="007101C5" w:rsidP="007101C5">
      <w:pPr>
        <w:rPr>
          <w:rFonts w:ascii="楷体" w:eastAsia="楷体" w:hAnsi="楷体" w:hint="eastAsia"/>
        </w:rPr>
      </w:pPr>
      <w:r w:rsidRPr="008F446E">
        <w:rPr>
          <w:rFonts w:ascii="楷体" w:eastAsia="楷体" w:hAnsi="楷体" w:hint="eastAsia"/>
        </w:rPr>
        <w:t>数据来源：evercore，lightcounting</w:t>
      </w:r>
    </w:p>
    <w:p w14:paraId="09E930BD" w14:textId="77777777" w:rsidR="007101C5" w:rsidRPr="008F446E" w:rsidRDefault="007101C5" w:rsidP="007101C5">
      <w:pPr>
        <w:rPr>
          <w:rFonts w:ascii="楷体" w:eastAsia="楷体" w:hAnsi="楷体" w:hint="eastAsia"/>
        </w:rPr>
      </w:pPr>
    </w:p>
    <w:p w14:paraId="51FF7C94" w14:textId="77777777" w:rsidR="007101C5" w:rsidRPr="008F446E" w:rsidRDefault="007101C5" w:rsidP="007101C5">
      <w:pPr>
        <w:rPr>
          <w:rFonts w:ascii="楷体" w:eastAsia="楷体" w:hAnsi="楷体" w:hint="eastAsia"/>
          <w:sz w:val="24"/>
        </w:rPr>
      </w:pPr>
      <w:r w:rsidRPr="008F446E">
        <w:rPr>
          <w:rFonts w:ascii="楷体" w:eastAsia="楷体" w:hAnsi="楷体" w:hint="eastAsia"/>
          <w:sz w:val="24"/>
        </w:rPr>
        <w:t>区域市场与资本开支印证需求景气：北美地区是全球最大的光模块市场，需求主要来自头部云服务商的AI数据中心建设。2025年，北美四大云厂商资本开支合计同比增长76.9%，直接转化为对光模块的采购需求。以四大云厂为标志，2026年的Capex乐观上修合计超6000亿美元，接近2025年的两倍，中观上修合计超5000美元。这种量级远超三大运营商2898亿元的开支</w:t>
      </w:r>
    </w:p>
    <w:p w14:paraId="515B2344" w14:textId="77777777" w:rsidR="007101C5" w:rsidRPr="008F446E" w:rsidRDefault="007101C5" w:rsidP="007101C5">
      <w:pPr>
        <w:jc w:val="center"/>
        <w:rPr>
          <w:rFonts w:ascii="楷体" w:eastAsia="楷体" w:hAnsi="楷体" w:hint="eastAsia"/>
          <w:sz w:val="21"/>
          <w:szCs w:val="21"/>
        </w:rPr>
      </w:pPr>
      <w:r w:rsidRPr="008F446E">
        <w:rPr>
          <w:rFonts w:ascii="楷体" w:eastAsia="楷体" w:hAnsi="楷体" w:hint="eastAsia"/>
          <w:sz w:val="21"/>
          <w:szCs w:val="21"/>
        </w:rPr>
        <w:t>表：四大云厂25-26开支及增长率</w:t>
      </w:r>
    </w:p>
    <w:tbl>
      <w:tblPr>
        <w:tblStyle w:val="af2"/>
        <w:tblW w:w="8931" w:type="dxa"/>
        <w:tblInd w:w="-5" w:type="dxa"/>
        <w:tblLook w:val="04A0" w:firstRow="1" w:lastRow="0" w:firstColumn="1" w:lastColumn="0" w:noHBand="0" w:noVBand="1"/>
      </w:tblPr>
      <w:tblGrid>
        <w:gridCol w:w="1135"/>
        <w:gridCol w:w="992"/>
        <w:gridCol w:w="1843"/>
        <w:gridCol w:w="1843"/>
        <w:gridCol w:w="1842"/>
        <w:gridCol w:w="1276"/>
      </w:tblGrid>
      <w:tr w:rsidR="007101C5" w:rsidRPr="008F446E" w14:paraId="09C1CB0E" w14:textId="77777777" w:rsidTr="006E42CE">
        <w:tc>
          <w:tcPr>
            <w:tcW w:w="1135" w:type="dxa"/>
          </w:tcPr>
          <w:p w14:paraId="3064B7F4"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四大云商</w:t>
            </w:r>
          </w:p>
        </w:tc>
        <w:tc>
          <w:tcPr>
            <w:tcW w:w="992" w:type="dxa"/>
          </w:tcPr>
          <w:p w14:paraId="22F1D3B9"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25Capex</w:t>
            </w:r>
          </w:p>
        </w:tc>
        <w:tc>
          <w:tcPr>
            <w:tcW w:w="1843" w:type="dxa"/>
          </w:tcPr>
          <w:p w14:paraId="32543002"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26CapexE（乐观）</w:t>
            </w:r>
          </w:p>
        </w:tc>
        <w:tc>
          <w:tcPr>
            <w:tcW w:w="1843" w:type="dxa"/>
          </w:tcPr>
          <w:p w14:paraId="62C2815C"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YOY</w:t>
            </w:r>
          </w:p>
        </w:tc>
        <w:tc>
          <w:tcPr>
            <w:tcW w:w="1842" w:type="dxa"/>
          </w:tcPr>
          <w:p w14:paraId="5AE98EF2"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26CapexE（中观）</w:t>
            </w:r>
          </w:p>
        </w:tc>
        <w:tc>
          <w:tcPr>
            <w:tcW w:w="1276" w:type="dxa"/>
          </w:tcPr>
          <w:p w14:paraId="4D1DC2AA"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YOY</w:t>
            </w:r>
          </w:p>
        </w:tc>
      </w:tr>
      <w:tr w:rsidR="007101C5" w:rsidRPr="008F446E" w14:paraId="4AB34A92" w14:textId="77777777" w:rsidTr="006E42CE">
        <w:tc>
          <w:tcPr>
            <w:tcW w:w="1135" w:type="dxa"/>
          </w:tcPr>
          <w:p w14:paraId="6A977CA6"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谷歌</w:t>
            </w:r>
          </w:p>
        </w:tc>
        <w:tc>
          <w:tcPr>
            <w:tcW w:w="992" w:type="dxa"/>
          </w:tcPr>
          <w:p w14:paraId="5095DEB8"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914亿</w:t>
            </w:r>
          </w:p>
        </w:tc>
        <w:tc>
          <w:tcPr>
            <w:tcW w:w="1843" w:type="dxa"/>
          </w:tcPr>
          <w:p w14:paraId="208E20B2"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1750-1850亿</w:t>
            </w:r>
          </w:p>
        </w:tc>
        <w:tc>
          <w:tcPr>
            <w:tcW w:w="1843" w:type="dxa"/>
          </w:tcPr>
          <w:p w14:paraId="07891D11"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91.5%-102.4%</w:t>
            </w:r>
          </w:p>
        </w:tc>
        <w:tc>
          <w:tcPr>
            <w:tcW w:w="1842" w:type="dxa"/>
            <w:vAlign w:val="center"/>
          </w:tcPr>
          <w:p w14:paraId="322CC4D5"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color w:val="000000"/>
                <w:sz w:val="21"/>
                <w:szCs w:val="21"/>
              </w:rPr>
              <w:t>1279.6</w:t>
            </w:r>
          </w:p>
        </w:tc>
        <w:tc>
          <w:tcPr>
            <w:tcW w:w="1276" w:type="dxa"/>
          </w:tcPr>
          <w:p w14:paraId="7A87E6EF"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40%</w:t>
            </w:r>
          </w:p>
        </w:tc>
      </w:tr>
      <w:tr w:rsidR="007101C5" w:rsidRPr="008F446E" w14:paraId="61EC3A6E" w14:textId="77777777" w:rsidTr="006E42CE">
        <w:tc>
          <w:tcPr>
            <w:tcW w:w="1135" w:type="dxa"/>
          </w:tcPr>
          <w:p w14:paraId="5B40A4AB"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亚马逊</w:t>
            </w:r>
          </w:p>
        </w:tc>
        <w:tc>
          <w:tcPr>
            <w:tcW w:w="992" w:type="dxa"/>
          </w:tcPr>
          <w:p w14:paraId="59FA27F5"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1318亿</w:t>
            </w:r>
          </w:p>
        </w:tc>
        <w:tc>
          <w:tcPr>
            <w:tcW w:w="1843" w:type="dxa"/>
          </w:tcPr>
          <w:p w14:paraId="6CDBDB29"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2000亿</w:t>
            </w:r>
          </w:p>
        </w:tc>
        <w:tc>
          <w:tcPr>
            <w:tcW w:w="1843" w:type="dxa"/>
          </w:tcPr>
          <w:p w14:paraId="4973A915"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51.7%</w:t>
            </w:r>
          </w:p>
        </w:tc>
        <w:tc>
          <w:tcPr>
            <w:tcW w:w="1842" w:type="dxa"/>
            <w:vAlign w:val="center"/>
          </w:tcPr>
          <w:p w14:paraId="752A67C3"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color w:val="000000"/>
                <w:sz w:val="21"/>
                <w:szCs w:val="21"/>
              </w:rPr>
              <w:t>1845.2</w:t>
            </w:r>
          </w:p>
        </w:tc>
        <w:tc>
          <w:tcPr>
            <w:tcW w:w="1276" w:type="dxa"/>
          </w:tcPr>
          <w:p w14:paraId="76DB9B92"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40%</w:t>
            </w:r>
          </w:p>
        </w:tc>
      </w:tr>
      <w:tr w:rsidR="007101C5" w:rsidRPr="008F446E" w14:paraId="2D9BE257" w14:textId="77777777" w:rsidTr="006E42CE">
        <w:tc>
          <w:tcPr>
            <w:tcW w:w="1135" w:type="dxa"/>
          </w:tcPr>
          <w:p w14:paraId="3E8A7AAF"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微软</w:t>
            </w:r>
          </w:p>
        </w:tc>
        <w:tc>
          <w:tcPr>
            <w:tcW w:w="992" w:type="dxa"/>
          </w:tcPr>
          <w:p w14:paraId="6191548D"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842亿</w:t>
            </w:r>
          </w:p>
        </w:tc>
        <w:tc>
          <w:tcPr>
            <w:tcW w:w="1843" w:type="dxa"/>
          </w:tcPr>
          <w:p w14:paraId="1F65A248"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1500-1650亿</w:t>
            </w:r>
          </w:p>
        </w:tc>
        <w:tc>
          <w:tcPr>
            <w:tcW w:w="1843" w:type="dxa"/>
          </w:tcPr>
          <w:p w14:paraId="190F5DB4"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78.1%-95.9%</w:t>
            </w:r>
          </w:p>
        </w:tc>
        <w:tc>
          <w:tcPr>
            <w:tcW w:w="1842" w:type="dxa"/>
            <w:vAlign w:val="center"/>
          </w:tcPr>
          <w:p w14:paraId="7D8A890B"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color w:val="000000"/>
                <w:sz w:val="21"/>
                <w:szCs w:val="21"/>
              </w:rPr>
              <w:t>1178.8</w:t>
            </w:r>
          </w:p>
        </w:tc>
        <w:tc>
          <w:tcPr>
            <w:tcW w:w="1276" w:type="dxa"/>
          </w:tcPr>
          <w:p w14:paraId="46B87636"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40%</w:t>
            </w:r>
          </w:p>
        </w:tc>
      </w:tr>
      <w:tr w:rsidR="007101C5" w:rsidRPr="008F446E" w14:paraId="07AB85B4" w14:textId="77777777" w:rsidTr="006E42CE">
        <w:tc>
          <w:tcPr>
            <w:tcW w:w="1135" w:type="dxa"/>
          </w:tcPr>
          <w:p w14:paraId="5046EC96"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Meta</w:t>
            </w:r>
          </w:p>
        </w:tc>
        <w:tc>
          <w:tcPr>
            <w:tcW w:w="992" w:type="dxa"/>
          </w:tcPr>
          <w:p w14:paraId="4BEF0D2F"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722亿</w:t>
            </w:r>
          </w:p>
        </w:tc>
        <w:tc>
          <w:tcPr>
            <w:tcW w:w="1843" w:type="dxa"/>
          </w:tcPr>
          <w:p w14:paraId="2CD9A3FC"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1150-1350亿</w:t>
            </w:r>
          </w:p>
        </w:tc>
        <w:tc>
          <w:tcPr>
            <w:tcW w:w="1843" w:type="dxa"/>
          </w:tcPr>
          <w:p w14:paraId="3474C135"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59.2%-86.9%</w:t>
            </w:r>
          </w:p>
        </w:tc>
        <w:tc>
          <w:tcPr>
            <w:tcW w:w="1842" w:type="dxa"/>
            <w:vAlign w:val="center"/>
          </w:tcPr>
          <w:p w14:paraId="7E24CCBE"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color w:val="000000"/>
                <w:sz w:val="21"/>
                <w:szCs w:val="21"/>
              </w:rPr>
              <w:t>1010.8</w:t>
            </w:r>
          </w:p>
        </w:tc>
        <w:tc>
          <w:tcPr>
            <w:tcW w:w="1276" w:type="dxa"/>
          </w:tcPr>
          <w:p w14:paraId="64CF8198"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40%</w:t>
            </w:r>
          </w:p>
        </w:tc>
      </w:tr>
      <w:tr w:rsidR="007101C5" w:rsidRPr="008F446E" w14:paraId="3DA70BCB" w14:textId="77777777" w:rsidTr="006E42CE">
        <w:tc>
          <w:tcPr>
            <w:tcW w:w="1135" w:type="dxa"/>
          </w:tcPr>
          <w:p w14:paraId="5A3509EE"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合计</w:t>
            </w:r>
          </w:p>
        </w:tc>
        <w:tc>
          <w:tcPr>
            <w:tcW w:w="992" w:type="dxa"/>
          </w:tcPr>
          <w:p w14:paraId="3FCACA80"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3796亿</w:t>
            </w:r>
          </w:p>
        </w:tc>
        <w:tc>
          <w:tcPr>
            <w:tcW w:w="1843" w:type="dxa"/>
          </w:tcPr>
          <w:p w14:paraId="61C75E93"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6400-6850亿</w:t>
            </w:r>
          </w:p>
        </w:tc>
        <w:tc>
          <w:tcPr>
            <w:tcW w:w="1843" w:type="dxa"/>
          </w:tcPr>
          <w:p w14:paraId="38841195"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68.6%-80.5%</w:t>
            </w:r>
          </w:p>
        </w:tc>
        <w:tc>
          <w:tcPr>
            <w:tcW w:w="1842" w:type="dxa"/>
          </w:tcPr>
          <w:p w14:paraId="3DA35559"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5314亿</w:t>
            </w:r>
          </w:p>
        </w:tc>
        <w:tc>
          <w:tcPr>
            <w:tcW w:w="1276" w:type="dxa"/>
          </w:tcPr>
          <w:p w14:paraId="3E0E1777" w14:textId="77777777" w:rsidR="007101C5" w:rsidRPr="008F446E" w:rsidRDefault="007101C5" w:rsidP="006E42CE">
            <w:pPr>
              <w:rPr>
                <w:rFonts w:ascii="楷体" w:eastAsia="楷体" w:hAnsi="楷体" w:hint="eastAsia"/>
                <w:sz w:val="21"/>
                <w:szCs w:val="21"/>
              </w:rPr>
            </w:pPr>
            <w:r w:rsidRPr="008F446E">
              <w:rPr>
                <w:rFonts w:ascii="楷体" w:eastAsia="楷体" w:hAnsi="楷体" w:hint="eastAsia"/>
                <w:sz w:val="21"/>
                <w:szCs w:val="21"/>
              </w:rPr>
              <w:t>40%</w:t>
            </w:r>
          </w:p>
        </w:tc>
      </w:tr>
    </w:tbl>
    <w:p w14:paraId="4C7C433C" w14:textId="48883B07" w:rsidR="007101C5" w:rsidRPr="008F446E" w:rsidRDefault="007101C5" w:rsidP="007101C5">
      <w:pPr>
        <w:ind w:firstLineChars="200" w:firstLine="320"/>
        <w:rPr>
          <w:rFonts w:ascii="楷体" w:eastAsia="楷体" w:hAnsi="楷体" w:hint="eastAsia"/>
          <w:sz w:val="16"/>
          <w:szCs w:val="16"/>
        </w:rPr>
      </w:pPr>
      <w:r w:rsidRPr="008F446E">
        <w:rPr>
          <w:rFonts w:ascii="楷体" w:eastAsia="楷体" w:hAnsi="楷体" w:hint="eastAsia"/>
          <w:sz w:val="16"/>
          <w:szCs w:val="16"/>
        </w:rPr>
        <w:lastRenderedPageBreak/>
        <w:t>数据来源：长江证券（乐观），银河证券</w:t>
      </w:r>
      <w:r w:rsidR="005E7712" w:rsidRPr="008F446E">
        <w:rPr>
          <w:rFonts w:ascii="楷体" w:eastAsia="楷体" w:hAnsi="楷体" w:hint="eastAsia"/>
          <w:sz w:val="16"/>
          <w:szCs w:val="16"/>
        </w:rPr>
        <w:t>引trendforce</w:t>
      </w:r>
      <w:r w:rsidRPr="008F446E">
        <w:rPr>
          <w:rFonts w:ascii="楷体" w:eastAsia="楷体" w:hAnsi="楷体" w:hint="eastAsia"/>
          <w:sz w:val="16"/>
          <w:szCs w:val="16"/>
        </w:rPr>
        <w:t>（中观）</w:t>
      </w:r>
    </w:p>
    <w:p w14:paraId="3AEAE2B5" w14:textId="77777777" w:rsidR="00222C55" w:rsidRPr="008F446E" w:rsidRDefault="00222C55" w:rsidP="00AF15A2">
      <w:pPr>
        <w:rPr>
          <w:rFonts w:ascii="楷体" w:eastAsia="楷体" w:hAnsi="楷体" w:hint="eastAsia"/>
        </w:rPr>
      </w:pPr>
    </w:p>
    <w:p w14:paraId="279DFC2C" w14:textId="77777777" w:rsidR="00222C55" w:rsidRPr="008F446E" w:rsidRDefault="00222C55" w:rsidP="008D3FA1">
      <w:pPr>
        <w:pStyle w:val="4"/>
        <w:rPr>
          <w:rFonts w:ascii="楷体" w:eastAsia="楷体" w:hAnsi="楷体" w:hint="eastAsia"/>
        </w:rPr>
      </w:pPr>
      <w:r w:rsidRPr="008F446E">
        <w:rPr>
          <w:rFonts w:ascii="楷体" w:eastAsia="楷体" w:hAnsi="楷体" w:hint="eastAsia"/>
        </w:rPr>
        <w:t>技术前沿</w:t>
      </w:r>
    </w:p>
    <w:p w14:paraId="401BAF1E" w14:textId="784CDD00" w:rsidR="00F306CF" w:rsidRPr="008F446E" w:rsidRDefault="00F306CF" w:rsidP="00F306CF">
      <w:pPr>
        <w:rPr>
          <w:rFonts w:ascii="楷体" w:eastAsia="楷体" w:hAnsi="楷体" w:hint="eastAsia"/>
        </w:rPr>
      </w:pPr>
      <w:r w:rsidRPr="008F446E">
        <w:rPr>
          <w:rFonts w:ascii="楷体" w:eastAsia="楷体" w:hAnsi="楷体" w:hint="eastAsia"/>
        </w:rPr>
        <w:t>为满足AI集群对高带宽、低功耗、低延迟的苛刻要求，光模块技术正处于快速迭代期。</w:t>
      </w:r>
    </w:p>
    <w:p w14:paraId="58CEF657" w14:textId="06147FC0" w:rsidR="00F306CF" w:rsidRPr="008F446E" w:rsidRDefault="00F306CF" w:rsidP="00F306CF">
      <w:pPr>
        <w:rPr>
          <w:rFonts w:ascii="楷体" w:eastAsia="楷体" w:hAnsi="楷体" w:hint="eastAsia"/>
        </w:rPr>
      </w:pPr>
      <w:r w:rsidRPr="008F446E">
        <w:rPr>
          <w:rFonts w:ascii="楷体" w:eastAsia="楷体" w:hAnsi="楷体" w:hint="eastAsia"/>
        </w:rPr>
        <w:t>产品迭代周期显著缩短：在AI快速发展的驱动下，光模块迭代周期从早期的3-4年缩短至如今的2年左右。当前，800G速率光模块已成为数据中心主流，1.6T光模块进入商业化放量阶段，3.2T等新一代产品处于前期技术准备阶段，预计于2027-2028年开始验证。</w:t>
      </w:r>
    </w:p>
    <w:p w14:paraId="64F16F9C" w14:textId="77777777" w:rsidR="00547DC5" w:rsidRPr="008F446E" w:rsidRDefault="00547DC5" w:rsidP="00547DC5">
      <w:pPr>
        <w:jc w:val="center"/>
        <w:rPr>
          <w:rFonts w:ascii="楷体" w:eastAsia="楷体" w:hAnsi="楷体" w:hint="eastAsia"/>
          <w:sz w:val="24"/>
        </w:rPr>
      </w:pPr>
      <w:r w:rsidRPr="008F446E">
        <w:rPr>
          <w:rFonts w:ascii="楷体" w:eastAsia="楷体" w:hAnsi="楷体" w:hint="eastAsia"/>
          <w:sz w:val="24"/>
        </w:rPr>
        <w:t>图：光通信高速迭代概览</w:t>
      </w:r>
    </w:p>
    <w:p w14:paraId="1D53941B" w14:textId="77777777" w:rsidR="00547DC5" w:rsidRPr="008F446E" w:rsidRDefault="00547DC5" w:rsidP="00547DC5">
      <w:pPr>
        <w:rPr>
          <w:rFonts w:ascii="楷体" w:eastAsia="楷体" w:hAnsi="楷体" w:hint="eastAsia"/>
          <w:sz w:val="24"/>
        </w:rPr>
      </w:pPr>
      <w:r w:rsidRPr="008F446E">
        <w:rPr>
          <w:rFonts w:ascii="楷体" w:eastAsia="楷体" w:hAnsi="楷体"/>
          <w:noProof/>
        </w:rPr>
        <w:drawing>
          <wp:inline distT="0" distB="0" distL="0" distR="0" wp14:anchorId="17D9C61C" wp14:editId="1891E901">
            <wp:extent cx="5274310" cy="2008505"/>
            <wp:effectExtent l="0" t="0" r="2540" b="0"/>
            <wp:docPr id="6691828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182808" name=""/>
                    <pic:cNvPicPr/>
                  </pic:nvPicPr>
                  <pic:blipFill>
                    <a:blip r:embed="rId18"/>
                    <a:stretch>
                      <a:fillRect/>
                    </a:stretch>
                  </pic:blipFill>
                  <pic:spPr>
                    <a:xfrm>
                      <a:off x="0" y="0"/>
                      <a:ext cx="5274310" cy="2008505"/>
                    </a:xfrm>
                    <a:prstGeom prst="rect">
                      <a:avLst/>
                    </a:prstGeom>
                  </pic:spPr>
                </pic:pic>
              </a:graphicData>
            </a:graphic>
          </wp:inline>
        </w:drawing>
      </w:r>
    </w:p>
    <w:p w14:paraId="2A65A0E2" w14:textId="77777777" w:rsidR="00547DC5" w:rsidRPr="008F446E" w:rsidRDefault="00547DC5" w:rsidP="00547DC5">
      <w:pPr>
        <w:ind w:firstLineChars="200" w:firstLine="320"/>
        <w:rPr>
          <w:rFonts w:ascii="楷体" w:eastAsia="楷体" w:hAnsi="楷体" w:hint="eastAsia"/>
          <w:sz w:val="16"/>
          <w:szCs w:val="16"/>
        </w:rPr>
      </w:pPr>
      <w:r w:rsidRPr="008F446E">
        <w:rPr>
          <w:rFonts w:ascii="楷体" w:eastAsia="楷体" w:hAnsi="楷体" w:hint="eastAsia"/>
          <w:sz w:val="16"/>
          <w:szCs w:val="16"/>
        </w:rPr>
        <w:t>数据来源：申万宏源研究</w:t>
      </w:r>
    </w:p>
    <w:p w14:paraId="1D79CE70" w14:textId="77777777" w:rsidR="00547DC5" w:rsidRPr="008F446E" w:rsidRDefault="00547DC5" w:rsidP="00F306CF">
      <w:pPr>
        <w:rPr>
          <w:rFonts w:ascii="楷体" w:eastAsia="楷体" w:hAnsi="楷体" w:hint="eastAsia"/>
        </w:rPr>
      </w:pPr>
    </w:p>
    <w:p w14:paraId="01A5F34D" w14:textId="3BC185F8" w:rsidR="007874A2" w:rsidRPr="008F446E" w:rsidRDefault="007874A2" w:rsidP="00F306CF">
      <w:pPr>
        <w:rPr>
          <w:rFonts w:ascii="楷体" w:eastAsia="楷体" w:hAnsi="楷体" w:hint="eastAsia"/>
        </w:rPr>
      </w:pPr>
      <w:r w:rsidRPr="008F446E">
        <w:rPr>
          <w:rFonts w:ascii="楷体" w:eastAsia="楷体" w:hAnsi="楷体" w:hint="eastAsia"/>
        </w:rPr>
        <w:t>逻辑：光模块并没有到此结束，AI对算力的要求，</w:t>
      </w:r>
      <w:r w:rsidR="00C553BE" w:rsidRPr="008F446E">
        <w:rPr>
          <w:rFonts w:ascii="楷体" w:eastAsia="楷体" w:hAnsi="楷体" w:hint="eastAsia"/>
        </w:rPr>
        <w:t>scale up的叙事，</w:t>
      </w:r>
      <w:r w:rsidRPr="008F446E">
        <w:rPr>
          <w:rFonts w:ascii="楷体" w:eastAsia="楷体" w:hAnsi="楷体" w:hint="eastAsia"/>
        </w:rPr>
        <w:t>迫使</w:t>
      </w:r>
      <w:r w:rsidR="00C553BE" w:rsidRPr="008F446E">
        <w:rPr>
          <w:rFonts w:ascii="楷体" w:eastAsia="楷体" w:hAnsi="楷体" w:hint="eastAsia"/>
        </w:rPr>
        <w:t>大厂进行</w:t>
      </w:r>
      <w:r w:rsidRPr="008F446E">
        <w:rPr>
          <w:rFonts w:ascii="楷体" w:eastAsia="楷体" w:hAnsi="楷体" w:hint="eastAsia"/>
        </w:rPr>
        <w:t>技术改革</w:t>
      </w:r>
      <w:r w:rsidR="00C553BE" w:rsidRPr="008F446E">
        <w:rPr>
          <w:rFonts w:ascii="楷体" w:eastAsia="楷体" w:hAnsi="楷体" w:hint="eastAsia"/>
        </w:rPr>
        <w:t>。CPO，硅光应运而生，是最合适的路线。</w:t>
      </w:r>
    </w:p>
    <w:p w14:paraId="2A874C1D" w14:textId="77777777" w:rsidR="007874A2" w:rsidRPr="008F446E" w:rsidRDefault="007874A2" w:rsidP="00F306CF">
      <w:pPr>
        <w:rPr>
          <w:rFonts w:ascii="楷体" w:eastAsia="楷体" w:hAnsi="楷体" w:hint="eastAsia"/>
        </w:rPr>
      </w:pPr>
    </w:p>
    <w:p w14:paraId="5FCF7BF3" w14:textId="4545C41F" w:rsidR="00F306CF" w:rsidRPr="008F446E" w:rsidRDefault="00F306CF" w:rsidP="00F306CF">
      <w:pPr>
        <w:rPr>
          <w:rFonts w:ascii="楷体" w:eastAsia="楷体" w:hAnsi="楷体" w:hint="eastAsia"/>
        </w:rPr>
      </w:pPr>
      <w:r w:rsidRPr="008F446E">
        <w:rPr>
          <w:rFonts w:ascii="楷体" w:eastAsia="楷体" w:hAnsi="楷体" w:hint="eastAsia"/>
        </w:rPr>
        <w:t>可插拔模块仍为主流，但集成化方案是长期方向：未来5年，可插拔光模块（包括线性可插拔光模块LPO）将继续主导市场。LPO通过移除DSP芯片，可实现约40%的功耗降低和亚纳秒级别的超低延迟，已成为AI算力集群短距互联的关键技术。同时，为应对更大规模集群的功耗和延迟挑战，业界正探索板上光电子（OBO）、近封装光电子（NPO）、共封装光电子（CPO）等更集成的方案。</w:t>
      </w:r>
    </w:p>
    <w:p w14:paraId="2C92692B" w14:textId="28D8770D" w:rsidR="000B60AF" w:rsidRPr="008F446E" w:rsidRDefault="00E37D4F" w:rsidP="00F306CF">
      <w:pPr>
        <w:rPr>
          <w:rFonts w:ascii="楷体" w:eastAsia="楷体" w:hAnsi="楷体" w:hint="eastAsia"/>
        </w:rPr>
      </w:pPr>
      <w:r w:rsidRPr="008F446E">
        <w:rPr>
          <w:rFonts w:ascii="楷体" w:eastAsia="楷体" w:hAnsi="楷体"/>
          <w:noProof/>
        </w:rPr>
        <w:lastRenderedPageBreak/>
        <w:drawing>
          <wp:inline distT="0" distB="0" distL="0" distR="0" wp14:anchorId="135BE7A5" wp14:editId="3AC5C947">
            <wp:extent cx="5274310" cy="3263265"/>
            <wp:effectExtent l="0" t="0" r="2540" b="0"/>
            <wp:docPr id="8529050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05019" name=""/>
                    <pic:cNvPicPr/>
                  </pic:nvPicPr>
                  <pic:blipFill>
                    <a:blip r:embed="rId19"/>
                    <a:stretch>
                      <a:fillRect/>
                    </a:stretch>
                  </pic:blipFill>
                  <pic:spPr>
                    <a:xfrm>
                      <a:off x="0" y="0"/>
                      <a:ext cx="5274310" cy="3263265"/>
                    </a:xfrm>
                    <a:prstGeom prst="rect">
                      <a:avLst/>
                    </a:prstGeom>
                  </pic:spPr>
                </pic:pic>
              </a:graphicData>
            </a:graphic>
          </wp:inline>
        </w:drawing>
      </w:r>
    </w:p>
    <w:p w14:paraId="0F6A23DB" w14:textId="2D859BCA" w:rsidR="00E37D4F" w:rsidRPr="008F446E" w:rsidRDefault="00E37D4F" w:rsidP="00F306CF">
      <w:pPr>
        <w:rPr>
          <w:rFonts w:ascii="楷体" w:eastAsia="楷体" w:hAnsi="楷体" w:hint="eastAsia"/>
        </w:rPr>
      </w:pPr>
      <w:r w:rsidRPr="008F446E">
        <w:rPr>
          <w:rFonts w:ascii="楷体" w:eastAsia="楷体" w:hAnsi="楷体" w:hint="eastAsia"/>
        </w:rPr>
        <w:t>数据来源：国盛证券，YOLE</w:t>
      </w:r>
    </w:p>
    <w:p w14:paraId="1FC89E95" w14:textId="323E36EC" w:rsidR="00F306CF" w:rsidRPr="008F446E" w:rsidRDefault="00F306CF" w:rsidP="00F306CF">
      <w:pPr>
        <w:rPr>
          <w:rFonts w:ascii="楷体" w:eastAsia="楷体" w:hAnsi="楷体" w:hint="eastAsia"/>
        </w:rPr>
      </w:pPr>
      <w:r w:rsidRPr="008F446E">
        <w:rPr>
          <w:rFonts w:ascii="楷体" w:eastAsia="楷体" w:hAnsi="楷体" w:hint="eastAsia"/>
        </w:rPr>
        <w:t>硅光技术渗透率提升：</w:t>
      </w:r>
      <w:r w:rsidR="005305F7" w:rsidRPr="008F446E">
        <w:rPr>
          <w:rFonts w:ascii="楷体" w:eastAsia="楷体" w:hAnsi="楷体" w:hint="eastAsia"/>
        </w:rPr>
        <w:t>一方面，传统磷化铟EML激光器出现产能瓶颈，制约了高速光模块的交付能力。另一方面，硅光产业链日趋成熟。硅光Fab厂商（如中芯国际、Tower等）和上游CW光源厂商（如源杰科技）持续扩充产能，从供给端保障了硅光模块的产量并有望持续降低成本。供给紧张与成本下降的预期，共同催化了硅光占比的进一步提升。</w:t>
      </w:r>
      <w:r w:rsidRPr="008F446E">
        <w:rPr>
          <w:rFonts w:ascii="楷体" w:eastAsia="楷体" w:hAnsi="楷体" w:hint="eastAsia"/>
        </w:rPr>
        <w:t>行业头部客户率先转向硅光方案，带动全行业跟进。LightCounting预计，2026年超过一半的光模块销售额将来自基于硅光调制器的模块。</w:t>
      </w:r>
    </w:p>
    <w:p w14:paraId="448E3160" w14:textId="1C83AD1B" w:rsidR="00656FC7" w:rsidRPr="008F446E" w:rsidRDefault="00656FC7" w:rsidP="00F306CF">
      <w:pPr>
        <w:rPr>
          <w:rFonts w:ascii="楷体" w:eastAsia="楷体" w:hAnsi="楷体" w:hint="eastAsia"/>
        </w:rPr>
      </w:pPr>
      <w:r w:rsidRPr="008F446E">
        <w:rPr>
          <w:rFonts w:ascii="楷体" w:eastAsia="楷体" w:hAnsi="楷体"/>
          <w:noProof/>
        </w:rPr>
        <w:drawing>
          <wp:inline distT="0" distB="0" distL="0" distR="0" wp14:anchorId="02949990" wp14:editId="1E55161F">
            <wp:extent cx="5274310" cy="2774315"/>
            <wp:effectExtent l="0" t="0" r="2540" b="6985"/>
            <wp:docPr id="646268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26806" name=""/>
                    <pic:cNvPicPr/>
                  </pic:nvPicPr>
                  <pic:blipFill>
                    <a:blip r:embed="rId20"/>
                    <a:stretch>
                      <a:fillRect/>
                    </a:stretch>
                  </pic:blipFill>
                  <pic:spPr>
                    <a:xfrm>
                      <a:off x="0" y="0"/>
                      <a:ext cx="5274310" cy="2774315"/>
                    </a:xfrm>
                    <a:prstGeom prst="rect">
                      <a:avLst/>
                    </a:prstGeom>
                  </pic:spPr>
                </pic:pic>
              </a:graphicData>
            </a:graphic>
          </wp:inline>
        </w:drawing>
      </w:r>
    </w:p>
    <w:p w14:paraId="2FB79FA8" w14:textId="77777777" w:rsidR="00656FC7" w:rsidRPr="008F446E" w:rsidRDefault="00656FC7" w:rsidP="00656FC7">
      <w:pPr>
        <w:rPr>
          <w:rFonts w:ascii="楷体" w:eastAsia="楷体" w:hAnsi="楷体" w:hint="eastAsia"/>
        </w:rPr>
      </w:pPr>
      <w:r w:rsidRPr="008F446E">
        <w:rPr>
          <w:rFonts w:ascii="楷体" w:eastAsia="楷体" w:hAnsi="楷体" w:hint="eastAsia"/>
        </w:rPr>
        <w:t>数据来源：国盛证券，YOLE</w:t>
      </w:r>
    </w:p>
    <w:p w14:paraId="0F0B486A" w14:textId="77777777" w:rsidR="00656FC7" w:rsidRPr="008F446E" w:rsidRDefault="00656FC7" w:rsidP="00F306CF">
      <w:pPr>
        <w:rPr>
          <w:rFonts w:ascii="楷体" w:eastAsia="楷体" w:hAnsi="楷体" w:hint="eastAsia"/>
        </w:rPr>
      </w:pPr>
    </w:p>
    <w:p w14:paraId="3096E362" w14:textId="68AA217F" w:rsidR="00222C55" w:rsidRPr="008F446E" w:rsidRDefault="00222C55" w:rsidP="008D3FA1">
      <w:pPr>
        <w:pStyle w:val="5"/>
        <w:rPr>
          <w:rFonts w:ascii="楷体" w:eastAsia="楷体" w:hAnsi="楷体" w:hint="eastAsia"/>
        </w:rPr>
      </w:pPr>
      <w:r w:rsidRPr="008F446E">
        <w:rPr>
          <w:rFonts w:ascii="楷体" w:eastAsia="楷体" w:hAnsi="楷体" w:hint="eastAsia"/>
        </w:rPr>
        <w:t>硅光渗透率</w:t>
      </w:r>
    </w:p>
    <w:p w14:paraId="70D51CA0" w14:textId="5E590892" w:rsidR="00773F51" w:rsidRPr="008F446E" w:rsidRDefault="00773F51" w:rsidP="00773F51">
      <w:pPr>
        <w:rPr>
          <w:rFonts w:ascii="楷体" w:eastAsia="楷体" w:hAnsi="楷体" w:hint="eastAsia"/>
        </w:rPr>
      </w:pPr>
      <w:r w:rsidRPr="008F446E">
        <w:rPr>
          <w:rFonts w:ascii="楷体" w:eastAsia="楷体" w:hAnsi="楷体" w:hint="eastAsia"/>
        </w:rPr>
        <w:t>表：在各速率光模块中的硅光渗透率</w:t>
      </w:r>
      <w:r w:rsidR="005F05E6" w:rsidRPr="008F446E">
        <w:rPr>
          <w:rFonts w:ascii="楷体" w:eastAsia="楷体" w:hAnsi="楷体" w:hint="eastAsia"/>
        </w:rPr>
        <w:t>（TFLN不起来的情况）</w:t>
      </w:r>
    </w:p>
    <w:p w14:paraId="1C56BDDE" w14:textId="29363B38" w:rsidR="00222C55" w:rsidRPr="008F446E" w:rsidRDefault="00773F51" w:rsidP="00222C55">
      <w:pPr>
        <w:rPr>
          <w:rFonts w:ascii="楷体" w:eastAsia="楷体" w:hAnsi="楷体" w:hint="eastAsia"/>
        </w:rPr>
      </w:pPr>
      <w:r w:rsidRPr="008F446E">
        <w:rPr>
          <w:rFonts w:ascii="楷体" w:eastAsia="楷体" w:hAnsi="楷体"/>
          <w:noProof/>
        </w:rPr>
        <w:drawing>
          <wp:inline distT="0" distB="0" distL="0" distR="0" wp14:anchorId="208A9535" wp14:editId="5C42F4A6">
            <wp:extent cx="5274310" cy="3560445"/>
            <wp:effectExtent l="0" t="0" r="2540" b="1905"/>
            <wp:docPr id="7381089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108958" name=""/>
                    <pic:cNvPicPr/>
                  </pic:nvPicPr>
                  <pic:blipFill>
                    <a:blip r:embed="rId21"/>
                    <a:stretch>
                      <a:fillRect/>
                    </a:stretch>
                  </pic:blipFill>
                  <pic:spPr>
                    <a:xfrm>
                      <a:off x="0" y="0"/>
                      <a:ext cx="5274310" cy="3560445"/>
                    </a:xfrm>
                    <a:prstGeom prst="rect">
                      <a:avLst/>
                    </a:prstGeom>
                  </pic:spPr>
                </pic:pic>
              </a:graphicData>
            </a:graphic>
          </wp:inline>
        </w:drawing>
      </w:r>
    </w:p>
    <w:p w14:paraId="7BA2A86A" w14:textId="4715C5C3" w:rsidR="00773F51" w:rsidRPr="008F446E" w:rsidRDefault="00773F51" w:rsidP="00222C55">
      <w:pPr>
        <w:rPr>
          <w:rFonts w:ascii="楷体" w:eastAsia="楷体" w:hAnsi="楷体" w:hint="eastAsia"/>
        </w:rPr>
      </w:pPr>
      <w:r w:rsidRPr="008F446E">
        <w:rPr>
          <w:rFonts w:ascii="楷体" w:eastAsia="楷体" w:hAnsi="楷体"/>
          <w:noProof/>
        </w:rPr>
        <w:drawing>
          <wp:inline distT="0" distB="0" distL="0" distR="0" wp14:anchorId="295097B1" wp14:editId="5B47C4A5">
            <wp:extent cx="5274310" cy="3469005"/>
            <wp:effectExtent l="0" t="0" r="2540" b="0"/>
            <wp:docPr id="9449486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948611" name=""/>
                    <pic:cNvPicPr/>
                  </pic:nvPicPr>
                  <pic:blipFill>
                    <a:blip r:embed="rId22"/>
                    <a:stretch>
                      <a:fillRect/>
                    </a:stretch>
                  </pic:blipFill>
                  <pic:spPr>
                    <a:xfrm>
                      <a:off x="0" y="0"/>
                      <a:ext cx="5274310" cy="3469005"/>
                    </a:xfrm>
                    <a:prstGeom prst="rect">
                      <a:avLst/>
                    </a:prstGeom>
                  </pic:spPr>
                </pic:pic>
              </a:graphicData>
            </a:graphic>
          </wp:inline>
        </w:drawing>
      </w:r>
    </w:p>
    <w:p w14:paraId="5C6F75AE" w14:textId="7CF24C76" w:rsidR="008D3FA1" w:rsidRPr="008F446E" w:rsidRDefault="008D3FA1" w:rsidP="008D3FA1">
      <w:pPr>
        <w:pStyle w:val="4"/>
        <w:rPr>
          <w:rFonts w:ascii="楷体" w:eastAsia="楷体" w:hAnsi="楷体" w:hint="eastAsia"/>
        </w:rPr>
      </w:pPr>
      <w:r w:rsidRPr="008F446E">
        <w:rPr>
          <w:rFonts w:ascii="楷体" w:eastAsia="楷体" w:hAnsi="楷体" w:hint="eastAsia"/>
        </w:rPr>
        <w:lastRenderedPageBreak/>
        <w:t>市场展望</w:t>
      </w:r>
    </w:p>
    <w:p w14:paraId="1E70EB8E" w14:textId="77777777" w:rsidR="00EE50EA" w:rsidRPr="008F446E" w:rsidRDefault="00EE50EA" w:rsidP="00EE50EA">
      <w:pPr>
        <w:rPr>
          <w:rFonts w:ascii="楷体" w:eastAsia="楷体" w:hAnsi="楷体" w:hint="eastAsia"/>
        </w:rPr>
      </w:pPr>
      <w:r w:rsidRPr="008F446E">
        <w:rPr>
          <w:rFonts w:ascii="楷体" w:eastAsia="楷体" w:hAnsi="楷体" w:hint="eastAsia"/>
        </w:rPr>
        <w:t>综合供需两端，光模块市场在未来几年将保持高速增长，但上游供应瓶颈可能使供需紧张格局延续。</w:t>
      </w:r>
    </w:p>
    <w:p w14:paraId="6D0976AF" w14:textId="77777777" w:rsidR="00EE50EA" w:rsidRPr="008F446E" w:rsidRDefault="00EE50EA" w:rsidP="00EE50EA">
      <w:pPr>
        <w:rPr>
          <w:rFonts w:ascii="楷体" w:eastAsia="楷体" w:hAnsi="楷体" w:hint="eastAsia"/>
        </w:rPr>
      </w:pPr>
    </w:p>
    <w:p w14:paraId="68AC15AB" w14:textId="5D814BB1" w:rsidR="00EE50EA" w:rsidRPr="008F446E" w:rsidRDefault="00EE50EA" w:rsidP="00EE50EA">
      <w:pPr>
        <w:rPr>
          <w:rFonts w:ascii="楷体" w:eastAsia="楷体" w:hAnsi="楷体" w:hint="eastAsia"/>
        </w:rPr>
      </w:pPr>
      <w:r w:rsidRPr="008F446E">
        <w:rPr>
          <w:rFonts w:ascii="楷体" w:eastAsia="楷体" w:hAnsi="楷体" w:hint="eastAsia"/>
        </w:rPr>
        <w:t>市场规模增长预测强劲：多家机构对市场前景持乐观态度。LightCounting预测，2025年全球光模块市场销售额接近180亿美元（同比增长约70%），2026年仍将保持60%的高速增长；到2029年，全球市场规模有望突破370亿美元，2024-2029年复合增长率（CAGR）为22%。98在高盛预测中，800G及以上速率细分市场在2026-2028年的复合年增长率将达到31%。</w:t>
      </w:r>
    </w:p>
    <w:p w14:paraId="50CC5B3E" w14:textId="2CC82B5F" w:rsidR="00EE50EA" w:rsidRPr="008F446E" w:rsidRDefault="00EE50EA" w:rsidP="00EE50EA">
      <w:pPr>
        <w:rPr>
          <w:rFonts w:ascii="楷体" w:eastAsia="楷体" w:hAnsi="楷体" w:hint="eastAsia"/>
        </w:rPr>
      </w:pPr>
      <w:r w:rsidRPr="008F446E">
        <w:rPr>
          <w:rFonts w:ascii="楷体" w:eastAsia="楷体" w:hAnsi="楷体" w:hint="eastAsia"/>
        </w:rPr>
        <w:t>供需关系总结：当前光模块行业呈现典型的“需求驱动型”供需关系。需求端，由AI算力基建竞赛带来的800G/1.6T高速产品需求规划量巨大，且持续上调。供给端，尽管整机厂商产能积极扩张，但上游核心激光器芯片及磷化铟材料的产能扩张速度短期难以完全匹配需求的爆发式增长，形成了结构性供应紧张。这种供需态势预计至少将持续至2026年底，并可能对产品价格形成支撑，同时加速技术迭代和供应链的国产化进程。</w:t>
      </w:r>
    </w:p>
    <w:p w14:paraId="7CFAC5B0" w14:textId="25215DEE" w:rsidR="00530BF1" w:rsidRPr="008F446E" w:rsidRDefault="00530BF1" w:rsidP="00EE50EA">
      <w:pPr>
        <w:rPr>
          <w:rFonts w:ascii="楷体" w:eastAsia="楷体" w:hAnsi="楷体" w:hint="eastAsia"/>
        </w:rPr>
      </w:pPr>
      <w:r w:rsidRPr="008F446E">
        <w:rPr>
          <w:rFonts w:ascii="楷体" w:eastAsia="楷体" w:hAnsi="楷体" w:hint="eastAsia"/>
        </w:rPr>
        <w:t>算力市场</w:t>
      </w:r>
    </w:p>
    <w:p w14:paraId="6CADC20B" w14:textId="6D908C57" w:rsidR="00B7721B" w:rsidRPr="008F446E" w:rsidRDefault="00B7721B" w:rsidP="00B7721B">
      <w:pPr>
        <w:pStyle w:val="3"/>
        <w:rPr>
          <w:rFonts w:ascii="楷体" w:eastAsia="楷体" w:hAnsi="楷体" w:hint="eastAsia"/>
        </w:rPr>
      </w:pPr>
      <w:r w:rsidRPr="008F446E">
        <w:rPr>
          <w:rFonts w:ascii="楷体" w:eastAsia="楷体" w:hAnsi="楷体" w:hint="eastAsia"/>
        </w:rPr>
        <w:t>光纤</w:t>
      </w:r>
    </w:p>
    <w:p w14:paraId="3C48B06E" w14:textId="77777777" w:rsidR="00C9712A" w:rsidRPr="008F446E" w:rsidRDefault="00C9712A" w:rsidP="00C9712A">
      <w:pPr>
        <w:rPr>
          <w:rFonts w:ascii="楷体" w:eastAsia="楷体" w:hAnsi="楷体" w:hint="eastAsia"/>
        </w:rPr>
      </w:pPr>
      <w:r w:rsidRPr="008F446E">
        <w:rPr>
          <w:rFonts w:ascii="楷体" w:eastAsia="楷体" w:hAnsi="楷体" w:hint="eastAsia"/>
        </w:rPr>
        <w:t>三、典型案例：康宁（Corning）与长飞的"命运分岔"</w:t>
      </w:r>
    </w:p>
    <w:p w14:paraId="4BA53BE9" w14:textId="77777777" w:rsidR="00C9712A" w:rsidRPr="008F446E" w:rsidRDefault="00C9712A" w:rsidP="00C9712A">
      <w:pPr>
        <w:rPr>
          <w:rFonts w:ascii="楷体" w:eastAsia="楷体" w:hAnsi="楷体" w:hint="eastAsia"/>
        </w:rPr>
      </w:pPr>
      <w:r w:rsidRPr="008F446E">
        <w:rPr>
          <w:rFonts w:ascii="楷体" w:eastAsia="楷体" w:hAnsi="楷体" w:hint="eastAsia"/>
        </w:rPr>
        <w:t>康宁的转型（2016-2024）</w:t>
      </w:r>
    </w:p>
    <w:p w14:paraId="1CF82C38" w14:textId="77777777" w:rsidR="00C9712A" w:rsidRPr="008F446E" w:rsidRDefault="00C9712A" w:rsidP="00C9712A">
      <w:pPr>
        <w:rPr>
          <w:rFonts w:ascii="楷体" w:eastAsia="楷体" w:hAnsi="楷体" w:hint="eastAsia"/>
        </w:rPr>
      </w:pPr>
      <w:r w:rsidRPr="008F446E">
        <w:rPr>
          <w:rFonts w:ascii="楷体" w:eastAsia="楷体" w:hAnsi="楷体" w:hint="eastAsia"/>
        </w:rPr>
        <w:t>传统业务：电信光纤占比从2015年的40%降至2023年的15%</w:t>
      </w:r>
    </w:p>
    <w:p w14:paraId="77C51A43" w14:textId="77777777" w:rsidR="00C9712A" w:rsidRPr="008F446E" w:rsidRDefault="00C9712A" w:rsidP="00C9712A">
      <w:pPr>
        <w:rPr>
          <w:rFonts w:ascii="楷体" w:eastAsia="楷体" w:hAnsi="楷体" w:hint="eastAsia"/>
        </w:rPr>
      </w:pPr>
      <w:r w:rsidRPr="008F446E">
        <w:rPr>
          <w:rFonts w:ascii="楷体" w:eastAsia="楷体" w:hAnsi="楷体" w:hint="eastAsia"/>
        </w:rPr>
        <w:t>数据中心业务：通过收购和自研，成为Google、Meta光互联核心供应商</w:t>
      </w:r>
    </w:p>
    <w:p w14:paraId="5F8D65D6" w14:textId="77777777" w:rsidR="00C9712A" w:rsidRPr="008F446E" w:rsidRDefault="00C9712A" w:rsidP="00C9712A">
      <w:pPr>
        <w:rPr>
          <w:rFonts w:ascii="楷体" w:eastAsia="楷体" w:hAnsi="楷体" w:hint="eastAsia"/>
        </w:rPr>
      </w:pPr>
      <w:r w:rsidRPr="008F446E">
        <w:rPr>
          <w:rFonts w:ascii="楷体" w:eastAsia="楷体" w:hAnsi="楷体" w:hint="eastAsia"/>
        </w:rPr>
        <w:t>关键产品：EDGE</w:t>
      </w:r>
      <w:r w:rsidRPr="008F446E">
        <w:rPr>
          <w:rFonts w:ascii="Cambria Math" w:eastAsia="楷体" w:hAnsi="Cambria Math" w:cs="Cambria Math"/>
        </w:rPr>
        <w:t>™</w:t>
      </w:r>
      <w:r w:rsidRPr="008F446E">
        <w:rPr>
          <w:rFonts w:ascii="楷体" w:eastAsia="楷体" w:hAnsi="楷体" w:cs="楷体" w:hint="eastAsia"/>
        </w:rPr>
        <w:t>分布式光缆系统、</w:t>
      </w:r>
      <w:r w:rsidRPr="008F446E">
        <w:rPr>
          <w:rFonts w:ascii="楷体" w:eastAsia="楷体" w:hAnsi="楷体" w:hint="eastAsia"/>
        </w:rPr>
        <w:t>ClearCurve</w:t>
      </w:r>
      <w:r w:rsidRPr="008F446E">
        <w:rPr>
          <w:rFonts w:ascii="Calibri" w:eastAsia="楷体" w:hAnsi="Calibri" w:cs="Calibri"/>
        </w:rPr>
        <w:t>®</w:t>
      </w:r>
      <w:r w:rsidRPr="008F446E">
        <w:rPr>
          <w:rFonts w:ascii="楷体" w:eastAsia="楷体" w:hAnsi="楷体" w:hint="eastAsia"/>
        </w:rPr>
        <w:t>抗弯曲光纤、MPO预端接方案</w:t>
      </w:r>
    </w:p>
    <w:p w14:paraId="4E88B95A" w14:textId="77777777" w:rsidR="00C9712A" w:rsidRPr="008F446E" w:rsidRDefault="00C9712A" w:rsidP="00C9712A">
      <w:pPr>
        <w:rPr>
          <w:rFonts w:ascii="楷体" w:eastAsia="楷体" w:hAnsi="楷体" w:hint="eastAsia"/>
        </w:rPr>
      </w:pPr>
      <w:r w:rsidRPr="008F446E">
        <w:rPr>
          <w:rFonts w:ascii="楷体" w:eastAsia="楷体" w:hAnsi="楷体" w:hint="eastAsia"/>
        </w:rPr>
        <w:t>结果：数据中心相关收入CAGR超过25%，估值从周期股转向成长股，PE中枢抬升至20-25倍</w:t>
      </w:r>
    </w:p>
    <w:p w14:paraId="6E3BA023" w14:textId="77777777" w:rsidR="00C9712A" w:rsidRPr="008F446E" w:rsidRDefault="00C9712A" w:rsidP="00C9712A">
      <w:pPr>
        <w:rPr>
          <w:rFonts w:ascii="楷体" w:eastAsia="楷体" w:hAnsi="楷体" w:hint="eastAsia"/>
        </w:rPr>
      </w:pPr>
      <w:r w:rsidRPr="008F446E">
        <w:rPr>
          <w:rFonts w:ascii="楷体" w:eastAsia="楷体" w:hAnsi="楷体" w:hint="eastAsia"/>
        </w:rPr>
        <w:t>长飞的"二次创业"（相对滞后）</w:t>
      </w:r>
    </w:p>
    <w:p w14:paraId="007B54E2" w14:textId="77777777" w:rsidR="00C9712A" w:rsidRPr="008F446E" w:rsidRDefault="00C9712A" w:rsidP="00C9712A">
      <w:pPr>
        <w:rPr>
          <w:rFonts w:ascii="楷体" w:eastAsia="楷体" w:hAnsi="楷体" w:hint="eastAsia"/>
        </w:rPr>
      </w:pPr>
      <w:r w:rsidRPr="008F446E">
        <w:rPr>
          <w:rFonts w:ascii="楷体" w:eastAsia="楷体" w:hAnsi="楷体" w:hint="eastAsia"/>
        </w:rPr>
        <w:t>2018年前：过度依赖三大运营商集采，OM系列多模光纤布局较晚</w:t>
      </w:r>
    </w:p>
    <w:p w14:paraId="16740073" w14:textId="77777777" w:rsidR="00C9712A" w:rsidRPr="008F446E" w:rsidRDefault="00C9712A" w:rsidP="00C9712A">
      <w:pPr>
        <w:rPr>
          <w:rFonts w:ascii="楷体" w:eastAsia="楷体" w:hAnsi="楷体" w:hint="eastAsia"/>
        </w:rPr>
      </w:pPr>
      <w:r w:rsidRPr="008F446E">
        <w:rPr>
          <w:rFonts w:ascii="楷体" w:eastAsia="楷体" w:hAnsi="楷体" w:hint="eastAsia"/>
        </w:rPr>
        <w:t>2020年后：收购光模块企业（博创科技）、发力海缆与数据中心互联，但节奏慢于康宁2-3年</w:t>
      </w:r>
    </w:p>
    <w:p w14:paraId="6FD8CC9C" w14:textId="7B4204E8" w:rsidR="00C9712A" w:rsidRPr="008F446E" w:rsidRDefault="00C9712A" w:rsidP="00C9712A">
      <w:pPr>
        <w:rPr>
          <w:rFonts w:ascii="楷体" w:eastAsia="楷体" w:hAnsi="楷体" w:hint="eastAsia"/>
        </w:rPr>
      </w:pPr>
      <w:r w:rsidRPr="008F446E">
        <w:rPr>
          <w:rFonts w:ascii="楷体" w:eastAsia="楷体" w:hAnsi="楷体" w:hint="eastAsia"/>
        </w:rPr>
        <w:t>启示：传统电信光纤龙头的转型窗口期有限，一旦错过云厂商供应链认证周期，追赶成本极高</w:t>
      </w:r>
    </w:p>
    <w:p w14:paraId="51434131" w14:textId="77777777" w:rsidR="00073D19" w:rsidRPr="00F14630" w:rsidRDefault="00073D19" w:rsidP="00073D19">
      <w:pPr>
        <w:pStyle w:val="3"/>
        <w:rPr>
          <w:rFonts w:hint="eastAsia"/>
        </w:rPr>
      </w:pPr>
      <w:r w:rsidRPr="00F14630">
        <w:rPr>
          <w:rFonts w:hint="eastAsia"/>
        </w:rPr>
        <w:lastRenderedPageBreak/>
        <w:t>5G-A</w:t>
      </w:r>
    </w:p>
    <w:p w14:paraId="1C28C760" w14:textId="77777777" w:rsidR="00073D19" w:rsidRDefault="00073D19" w:rsidP="00073D19">
      <w:pPr>
        <w:rPr>
          <w:rFonts w:ascii="楷体" w:eastAsia="楷体" w:hAnsi="楷体" w:hint="eastAsia"/>
        </w:rPr>
      </w:pPr>
      <w:r w:rsidRPr="00F14630">
        <w:rPr>
          <w:rFonts w:ascii="楷体" w:eastAsia="楷体" w:hAnsi="楷体" w:hint="eastAsia"/>
        </w:rPr>
        <w:t>当前5G-A已经在多个场景做了技术验证和试点示范，全面进入规模化商用和深度赋能的时期。</w:t>
      </w:r>
      <w:r w:rsidRPr="00F14630">
        <w:rPr>
          <w:rFonts w:ascii="楷体" w:eastAsia="楷体" w:hAnsi="楷体"/>
        </w:rPr>
        <w:t>截至2025年底，全国已有超过300个城市迈入5G-A时代，用户规模突破1000万，为各类应用提供了广泛的基础网络支撑</w:t>
      </w:r>
      <w:r>
        <w:rPr>
          <w:rFonts w:ascii="楷体" w:eastAsia="楷体" w:hAnsi="楷体" w:hint="eastAsia"/>
        </w:rPr>
        <w:t>。</w:t>
      </w:r>
    </w:p>
    <w:p w14:paraId="637567CB" w14:textId="77777777" w:rsidR="00073D19" w:rsidRDefault="00073D19" w:rsidP="00073D19">
      <w:pPr>
        <w:rPr>
          <w:rFonts w:ascii="楷体" w:eastAsia="楷体" w:hAnsi="楷体" w:hint="eastAsia"/>
        </w:rPr>
      </w:pPr>
      <w:r>
        <w:rPr>
          <w:rFonts w:ascii="楷体" w:eastAsia="楷体" w:hAnsi="楷体" w:hint="eastAsia"/>
        </w:rPr>
        <w:t>5G-A的部署仍以三大运营商为主：</w:t>
      </w:r>
    </w:p>
    <w:tbl>
      <w:tblPr>
        <w:tblStyle w:val="af2"/>
        <w:tblW w:w="0" w:type="auto"/>
        <w:tblLook w:val="04A0" w:firstRow="1" w:lastRow="0" w:firstColumn="1" w:lastColumn="0" w:noHBand="0" w:noVBand="1"/>
      </w:tblPr>
      <w:tblGrid>
        <w:gridCol w:w="724"/>
        <w:gridCol w:w="7572"/>
      </w:tblGrid>
      <w:tr w:rsidR="00073D19" w:rsidRPr="00073D19" w14:paraId="0C5763CD" w14:textId="77777777" w:rsidTr="0068114E">
        <w:trPr>
          <w:trHeight w:val="285"/>
        </w:trPr>
        <w:tc>
          <w:tcPr>
            <w:tcW w:w="746" w:type="dxa"/>
            <w:noWrap/>
            <w:hideMark/>
          </w:tcPr>
          <w:p w14:paraId="2A1BC03F" w14:textId="77777777" w:rsidR="00073D19" w:rsidRPr="00073D19" w:rsidRDefault="00073D19" w:rsidP="0068114E">
            <w:pPr>
              <w:rPr>
                <w:rFonts w:ascii="楷体" w:eastAsia="楷体" w:hAnsi="楷体" w:hint="eastAsia"/>
              </w:rPr>
            </w:pPr>
            <w:r w:rsidRPr="00073D19">
              <w:rPr>
                <w:rFonts w:ascii="楷体" w:eastAsia="楷体" w:hAnsi="楷体"/>
              </w:rPr>
              <w:t>运营主体</w:t>
            </w:r>
          </w:p>
        </w:tc>
        <w:tc>
          <w:tcPr>
            <w:tcW w:w="7894" w:type="dxa"/>
            <w:noWrap/>
            <w:hideMark/>
          </w:tcPr>
          <w:p w14:paraId="05AB0124" w14:textId="77777777" w:rsidR="00073D19" w:rsidRPr="00073D19" w:rsidRDefault="00073D19" w:rsidP="0068114E">
            <w:pPr>
              <w:rPr>
                <w:rFonts w:ascii="楷体" w:eastAsia="楷体" w:hAnsi="楷体" w:hint="eastAsia"/>
              </w:rPr>
            </w:pPr>
            <w:r w:rsidRPr="00073D19">
              <w:rPr>
                <w:rFonts w:ascii="楷体" w:eastAsia="楷体" w:hAnsi="楷体"/>
              </w:rPr>
              <w:t>目前进度</w:t>
            </w:r>
          </w:p>
        </w:tc>
      </w:tr>
      <w:tr w:rsidR="00073D19" w:rsidRPr="00073D19" w14:paraId="661D3751" w14:textId="77777777" w:rsidTr="0068114E">
        <w:trPr>
          <w:trHeight w:val="285"/>
        </w:trPr>
        <w:tc>
          <w:tcPr>
            <w:tcW w:w="746" w:type="dxa"/>
            <w:noWrap/>
            <w:hideMark/>
          </w:tcPr>
          <w:p w14:paraId="0F9C58E9" w14:textId="77777777" w:rsidR="00073D19" w:rsidRPr="00073D19" w:rsidRDefault="00073D19" w:rsidP="0068114E">
            <w:pPr>
              <w:rPr>
                <w:rFonts w:ascii="楷体" w:eastAsia="楷体" w:hAnsi="楷体" w:hint="eastAsia"/>
              </w:rPr>
            </w:pPr>
            <w:r w:rsidRPr="00073D19">
              <w:rPr>
                <w:rFonts w:ascii="楷体" w:eastAsia="楷体" w:hAnsi="楷体"/>
              </w:rPr>
              <w:t>中国移动</w:t>
            </w:r>
          </w:p>
        </w:tc>
        <w:tc>
          <w:tcPr>
            <w:tcW w:w="7894" w:type="dxa"/>
            <w:noWrap/>
            <w:hideMark/>
          </w:tcPr>
          <w:p w14:paraId="7C0BA747" w14:textId="77777777" w:rsidR="00073D19" w:rsidRPr="00073D19" w:rsidRDefault="00073D19" w:rsidP="0068114E">
            <w:pPr>
              <w:rPr>
                <w:rFonts w:ascii="楷体" w:eastAsia="楷体" w:hAnsi="楷体" w:hint="eastAsia"/>
              </w:rPr>
            </w:pPr>
            <w:r w:rsidRPr="00073D19">
              <w:rPr>
                <w:rFonts w:ascii="楷体" w:eastAsia="楷体" w:hAnsi="楷体"/>
              </w:rPr>
              <w:t>5G-A网络已覆盖330多个城市，5G-A基站占比超15%，并部署超5万站三载波聚合基站以提升网络能力</w:t>
            </w:r>
          </w:p>
        </w:tc>
      </w:tr>
      <w:tr w:rsidR="00073D19" w:rsidRPr="00073D19" w14:paraId="26B76866" w14:textId="77777777" w:rsidTr="0068114E">
        <w:trPr>
          <w:trHeight w:val="285"/>
        </w:trPr>
        <w:tc>
          <w:tcPr>
            <w:tcW w:w="746" w:type="dxa"/>
            <w:noWrap/>
            <w:hideMark/>
          </w:tcPr>
          <w:p w14:paraId="09E00741" w14:textId="77777777" w:rsidR="00073D19" w:rsidRPr="00073D19" w:rsidRDefault="00073D19" w:rsidP="0068114E">
            <w:pPr>
              <w:rPr>
                <w:rFonts w:ascii="楷体" w:eastAsia="楷体" w:hAnsi="楷体" w:hint="eastAsia"/>
              </w:rPr>
            </w:pPr>
            <w:r w:rsidRPr="00073D19">
              <w:rPr>
                <w:rFonts w:ascii="楷体" w:eastAsia="楷体" w:hAnsi="楷体"/>
              </w:rPr>
              <w:t>中国联通</w:t>
            </w:r>
          </w:p>
        </w:tc>
        <w:tc>
          <w:tcPr>
            <w:tcW w:w="7894" w:type="dxa"/>
            <w:noWrap/>
            <w:hideMark/>
          </w:tcPr>
          <w:p w14:paraId="72830082" w14:textId="77777777" w:rsidR="00073D19" w:rsidRPr="00073D19" w:rsidRDefault="00073D19" w:rsidP="0068114E">
            <w:pPr>
              <w:rPr>
                <w:rFonts w:ascii="楷体" w:eastAsia="楷体" w:hAnsi="楷体" w:hint="eastAsia"/>
              </w:rPr>
            </w:pPr>
            <w:r w:rsidRPr="00073D19">
              <w:rPr>
                <w:rFonts w:ascii="楷体" w:eastAsia="楷体" w:hAnsi="楷体"/>
              </w:rPr>
              <w:t>与中国电信持续深化共建共享，合作建成约7万个5G-A基站，同时中国联通在39个重点城市主城区率先实现连续覆盖</w:t>
            </w:r>
          </w:p>
        </w:tc>
      </w:tr>
      <w:tr w:rsidR="00073D19" w:rsidRPr="00073D19" w14:paraId="7C696B22" w14:textId="77777777" w:rsidTr="0068114E">
        <w:trPr>
          <w:trHeight w:val="285"/>
        </w:trPr>
        <w:tc>
          <w:tcPr>
            <w:tcW w:w="746" w:type="dxa"/>
            <w:noWrap/>
            <w:hideMark/>
          </w:tcPr>
          <w:p w14:paraId="652CDD8E" w14:textId="77777777" w:rsidR="00073D19" w:rsidRPr="00073D19" w:rsidRDefault="00073D19" w:rsidP="0068114E">
            <w:pPr>
              <w:rPr>
                <w:rFonts w:ascii="楷体" w:eastAsia="楷体" w:hAnsi="楷体" w:hint="eastAsia"/>
              </w:rPr>
            </w:pPr>
            <w:r w:rsidRPr="00073D19">
              <w:rPr>
                <w:rFonts w:ascii="楷体" w:eastAsia="楷体" w:hAnsi="楷体"/>
              </w:rPr>
              <w:t>中国电信</w:t>
            </w:r>
          </w:p>
        </w:tc>
        <w:tc>
          <w:tcPr>
            <w:tcW w:w="7894" w:type="dxa"/>
            <w:noWrap/>
            <w:hideMark/>
          </w:tcPr>
          <w:p w14:paraId="053C7BE3" w14:textId="77777777" w:rsidR="00073D19" w:rsidRPr="00073D19" w:rsidRDefault="00073D19" w:rsidP="0068114E">
            <w:pPr>
              <w:rPr>
                <w:rFonts w:ascii="楷体" w:eastAsia="楷体" w:hAnsi="楷体" w:hint="eastAsia"/>
              </w:rPr>
            </w:pPr>
            <w:r w:rsidRPr="00073D19">
              <w:rPr>
                <w:rFonts w:ascii="楷体" w:eastAsia="楷体" w:hAnsi="楷体"/>
              </w:rPr>
              <w:t>已在六省启动大上行试点，部署超13万座5G-A基站，覆盖超300个重点城市</w:t>
            </w:r>
          </w:p>
        </w:tc>
      </w:tr>
    </w:tbl>
    <w:p w14:paraId="77CC771F" w14:textId="77777777" w:rsidR="00073D19" w:rsidRDefault="00073D19" w:rsidP="00073D19">
      <w:pPr>
        <w:rPr>
          <w:rFonts w:ascii="楷体" w:eastAsia="楷体" w:hAnsi="楷体" w:hint="eastAsia"/>
        </w:rPr>
      </w:pPr>
      <w:r w:rsidRPr="00073D19">
        <w:rPr>
          <w:rFonts w:ascii="楷体" w:eastAsia="楷体" w:hAnsi="楷体" w:hint="eastAsia"/>
        </w:rPr>
        <w:t>民用加速方面，从可用到好用蜕变</w:t>
      </w:r>
      <w:r>
        <w:rPr>
          <w:rFonts w:ascii="楷体" w:eastAsia="楷体" w:hAnsi="楷体" w:hint="eastAsia"/>
        </w:rPr>
        <w:t>，主要用在重塑消费体验，推出基于场景的差异化服务。一个案例是2026年春节联欢晚会就运用了5G-A的技术以保证流畅度。</w:t>
      </w:r>
    </w:p>
    <w:p w14:paraId="7A02D17A" w14:textId="77777777" w:rsidR="00073D19" w:rsidRDefault="00073D19" w:rsidP="00073D19">
      <w:pPr>
        <w:rPr>
          <w:rFonts w:ascii="楷体" w:eastAsia="楷体" w:hAnsi="楷体" w:hint="eastAsia"/>
        </w:rPr>
      </w:pPr>
      <w:r>
        <w:rPr>
          <w:rFonts w:ascii="楷体" w:eastAsia="楷体" w:hAnsi="楷体" w:hint="eastAsia"/>
        </w:rPr>
        <w:t>在产业数字化场景，逐渐从外围辅助深入生产核心。</w:t>
      </w:r>
    </w:p>
    <w:p w14:paraId="592B20D7" w14:textId="77777777" w:rsidR="00073D19" w:rsidRPr="00073D19" w:rsidRDefault="00073D19" w:rsidP="00073D19">
      <w:pPr>
        <w:pStyle w:val="a9"/>
        <w:numPr>
          <w:ilvl w:val="0"/>
          <w:numId w:val="3"/>
        </w:numPr>
        <w:rPr>
          <w:rFonts w:ascii="楷体" w:eastAsia="楷体" w:hAnsi="楷体" w:hint="eastAsia"/>
        </w:rPr>
      </w:pPr>
      <w:r w:rsidRPr="00073D19">
        <w:rPr>
          <w:rFonts w:ascii="楷体" w:eastAsia="楷体" w:hAnsi="楷体" w:hint="eastAsia"/>
        </w:rPr>
        <w:t>工业制造：5G-A支持uRLLC（超高可靠低时延通信）和5G LAN技术，开始承载云化PLC</w:t>
      </w:r>
      <w:r w:rsidRPr="00073D19">
        <w:rPr>
          <w:rFonts w:ascii="楷体" w:eastAsia="楷体" w:hAnsi="楷体"/>
        </w:rPr>
        <w:t>（Programmable Logic Controller，可编程逻辑控制器）</w:t>
      </w:r>
      <w:r w:rsidRPr="00073D19">
        <w:rPr>
          <w:rFonts w:ascii="楷体" w:eastAsia="楷体" w:hAnsi="楷体" w:hint="eastAsia"/>
        </w:rPr>
        <w:t>、协同运动控制等关键任务。例如，芜湖美的工厂的5G-A专网实现，</w:t>
      </w:r>
      <w:r w:rsidRPr="00073D19">
        <w:rPr>
          <w:rFonts w:ascii="楷体" w:eastAsia="楷体" w:hAnsi="楷体"/>
        </w:rPr>
        <w:t>配送准确率提高30%，订单及时交付率提升15%，节省10%人力，生产节拍从22秒（4名工人）压缩至8秒/台</w:t>
      </w:r>
      <w:r w:rsidRPr="00073D19">
        <w:rPr>
          <w:rFonts w:ascii="楷体" w:eastAsia="楷体" w:hAnsi="楷体" w:hint="eastAsia"/>
        </w:rPr>
        <w:t>。</w:t>
      </w:r>
    </w:p>
    <w:p w14:paraId="6697CB1E" w14:textId="77777777" w:rsidR="00073D19" w:rsidRPr="00073D19" w:rsidRDefault="00073D19" w:rsidP="00073D19">
      <w:pPr>
        <w:pStyle w:val="a9"/>
        <w:numPr>
          <w:ilvl w:val="0"/>
          <w:numId w:val="3"/>
        </w:numPr>
        <w:rPr>
          <w:rFonts w:ascii="楷体" w:eastAsia="楷体" w:hAnsi="楷体" w:hint="eastAsia"/>
        </w:rPr>
      </w:pPr>
      <w:r w:rsidRPr="00073D19">
        <w:rPr>
          <w:rFonts w:ascii="楷体" w:eastAsia="楷体" w:hAnsi="楷体" w:hint="eastAsia"/>
        </w:rPr>
        <w:t>低空经济：5G-A通感一体技术破解了低空监管与通信难题。该技术使基站兼具通信和雷达感知能力，实现低空目标精准探测。深圳的eVTOL（电动垂直起降飞行器）项目基于此技术完成跨城飞行验证；常州采用“一飞多巡”模式，用无人机高效完成多部门巡检任务。</w:t>
      </w:r>
    </w:p>
    <w:p w14:paraId="68583721" w14:textId="77777777" w:rsidR="00073D19" w:rsidRPr="00073D19" w:rsidRDefault="00073D19" w:rsidP="00073D19">
      <w:pPr>
        <w:pStyle w:val="a9"/>
        <w:numPr>
          <w:ilvl w:val="0"/>
          <w:numId w:val="3"/>
        </w:numPr>
        <w:rPr>
          <w:rFonts w:ascii="楷体" w:eastAsia="楷体" w:hAnsi="楷体" w:hint="eastAsia"/>
        </w:rPr>
      </w:pPr>
      <w:r w:rsidRPr="00073D19">
        <w:rPr>
          <w:rFonts w:ascii="楷体" w:eastAsia="楷体" w:hAnsi="楷体" w:hint="eastAsia"/>
        </w:rPr>
        <w:t>智慧矿山/能源：在内蒙古伊敏露天矿，5G-A网络以500Mbps大上行与20毫秒低时延支撑百台无人矿卡协同作业。湖北联通在电厂完成5G-A通感一体化商用验证，实现无人机精准监测与人员定位</w:t>
      </w:r>
    </w:p>
    <w:p w14:paraId="2C837B47" w14:textId="37CAA598" w:rsidR="00073D19" w:rsidRPr="00073D19" w:rsidRDefault="00073D19" w:rsidP="00073D19">
      <w:pPr>
        <w:pStyle w:val="a9"/>
        <w:numPr>
          <w:ilvl w:val="0"/>
          <w:numId w:val="3"/>
        </w:numPr>
        <w:rPr>
          <w:rFonts w:ascii="楷体" w:eastAsia="楷体" w:hAnsi="楷体" w:hint="eastAsia"/>
        </w:rPr>
      </w:pPr>
      <w:r w:rsidRPr="00073D19">
        <w:rPr>
          <w:rFonts w:ascii="楷体" w:eastAsia="楷体" w:hAnsi="楷体" w:hint="eastAsia"/>
        </w:rPr>
        <w:t>AI原生网络：运营商网络开始内生AI能力。中国移动在基站侧引入无线AI智能融合板，实现算力共享与AI模型集中部署，让网络能根据业务需求智能调度资源。</w:t>
      </w:r>
    </w:p>
    <w:p w14:paraId="16A579B1" w14:textId="743F9880" w:rsidR="00073D19" w:rsidRPr="00073D19" w:rsidRDefault="00073D19" w:rsidP="00073D19">
      <w:pPr>
        <w:pStyle w:val="a9"/>
        <w:numPr>
          <w:ilvl w:val="0"/>
          <w:numId w:val="3"/>
        </w:numPr>
        <w:rPr>
          <w:rFonts w:ascii="楷体" w:eastAsia="楷体" w:hAnsi="楷体" w:hint="eastAsia"/>
        </w:rPr>
      </w:pPr>
      <w:r w:rsidRPr="00073D19">
        <w:rPr>
          <w:rFonts w:ascii="楷体" w:eastAsia="楷体" w:hAnsi="楷体" w:hint="eastAsia"/>
        </w:rPr>
        <w:t>通感算一体：5G-A基站正向“通信、感知、计算、智能”融合的枢纽演进。这不仅赋能低空经济，也为未来智能交通、全域感知城市奠定了基础。</w:t>
      </w:r>
    </w:p>
    <w:p w14:paraId="6D859CA4" w14:textId="77777777" w:rsidR="00C9712A" w:rsidRPr="00073D19" w:rsidRDefault="00C9712A" w:rsidP="00C9712A">
      <w:pPr>
        <w:rPr>
          <w:rFonts w:ascii="楷体" w:eastAsia="楷体" w:hAnsi="楷体" w:hint="eastAsia"/>
        </w:rPr>
      </w:pPr>
    </w:p>
    <w:p w14:paraId="6A6773D9" w14:textId="1DD437A8" w:rsidR="00CC6107" w:rsidRPr="00CC6107" w:rsidRDefault="00B7721B" w:rsidP="00CC6107">
      <w:pPr>
        <w:pStyle w:val="2"/>
        <w:rPr>
          <w:rFonts w:ascii="楷体" w:eastAsia="楷体" w:hAnsi="楷体" w:hint="eastAsia"/>
        </w:rPr>
      </w:pPr>
      <w:r w:rsidRPr="008F446E">
        <w:rPr>
          <w:rFonts w:ascii="楷体" w:eastAsia="楷体" w:hAnsi="楷体" w:hint="eastAsia"/>
        </w:rPr>
        <w:lastRenderedPageBreak/>
        <w:t>导入期</w:t>
      </w:r>
    </w:p>
    <w:p w14:paraId="3A8D62AE" w14:textId="77777777" w:rsidR="00CC6107" w:rsidRDefault="009A5C53" w:rsidP="00CC6107">
      <w:pPr>
        <w:pStyle w:val="4"/>
        <w:rPr>
          <w:rFonts w:hint="eastAsia"/>
        </w:rPr>
      </w:pPr>
      <w:r w:rsidRPr="008F446E">
        <w:rPr>
          <w:rFonts w:hint="eastAsia"/>
        </w:rPr>
        <w:t>6g</w:t>
      </w:r>
    </w:p>
    <w:p w14:paraId="2FB6E90F" w14:textId="21255AA4" w:rsidR="00CC6107" w:rsidRDefault="00CC6107" w:rsidP="009A5C53">
      <w:pPr>
        <w:rPr>
          <w:rFonts w:ascii="楷体" w:eastAsia="楷体" w:hAnsi="楷体" w:hint="eastAsia"/>
        </w:rPr>
      </w:pPr>
      <w:r>
        <w:rPr>
          <w:rFonts w:ascii="楷体" w:eastAsia="楷体" w:hAnsi="楷体" w:hint="eastAsia"/>
        </w:rPr>
        <w:t>目前6G处于导入末期，即将从0到1的关键节点，也是从Lab走向场景的关键攻坚时期。</w:t>
      </w:r>
      <w:r w:rsidRPr="00CC6107">
        <w:rPr>
          <w:rFonts w:ascii="楷体" w:eastAsia="楷体" w:hAnsi="楷体"/>
        </w:rPr>
        <w:t>全球产业界在技术路线、标准制定、生态构建等方面已形成基本共识，竞争与合作并行，共同推动这一未来产业走向成熟。</w:t>
      </w:r>
    </w:p>
    <w:p w14:paraId="40D51527" w14:textId="623912B3" w:rsidR="00CC6107" w:rsidRDefault="00CC6107" w:rsidP="009A5C53">
      <w:pPr>
        <w:rPr>
          <w:rFonts w:ascii="楷体" w:eastAsia="楷体" w:hAnsi="楷体" w:hint="eastAsia"/>
        </w:rPr>
      </w:pPr>
      <w:r w:rsidRPr="00CC6107">
        <w:rPr>
          <w:rFonts w:ascii="楷体" w:eastAsia="楷体" w:hAnsi="楷体"/>
        </w:rPr>
        <w:t>根据国际标准组织的最新动态，6G的演进路径已日益清晰。国际电信联盟（ITU）已于2025年正式发布6G目标建议书。制定全球移动通信标准的第三代合作伙伴计划（3GPP）已全面启动6G网络架构、无线空口、安全技术等研究项目，形成了明确的标准化时间表和技术路线图。业界普遍预计，全球首个6G国际标准将在2029年完成制定并冻结，随后开展预商用产品测试验证，并在2030年左右开始网络部署和规模商用。</w:t>
      </w:r>
    </w:p>
    <w:p w14:paraId="077D36F0" w14:textId="713D944C" w:rsidR="004C353B" w:rsidRDefault="004C353B" w:rsidP="009A5C53">
      <w:pPr>
        <w:rPr>
          <w:rFonts w:ascii="楷体" w:eastAsia="楷体" w:hAnsi="楷体" w:hint="eastAsia"/>
        </w:rPr>
      </w:pPr>
      <w:r w:rsidRPr="004C353B">
        <w:rPr>
          <w:rFonts w:ascii="楷体" w:eastAsia="楷体" w:hAnsi="楷体"/>
        </w:rPr>
        <w:t>我国作为6G研发的积极推动者，已顺利完成第一阶段关键技术试验。根据工业和信息化部发布的信息，截至2025年底，我国已形成超过300项6G关键技术储备。目前，研发工作已进入第二阶段，即面向典型场景及性能指标开展6G原型样机测试的技术方案试验阶段。2025年的技术试验聚焦于沉浸式通信、无线智能化、通感一体化、天地一体化、网络架构等五个核心方向，并取得了阶段性成果。</w:t>
      </w:r>
    </w:p>
    <w:tbl>
      <w:tblPr>
        <w:tblStyle w:val="af2"/>
        <w:tblW w:w="0" w:type="auto"/>
        <w:tblLook w:val="04A0" w:firstRow="1" w:lastRow="0" w:firstColumn="1" w:lastColumn="0" w:noHBand="0" w:noVBand="1"/>
      </w:tblPr>
      <w:tblGrid>
        <w:gridCol w:w="1129"/>
        <w:gridCol w:w="7167"/>
      </w:tblGrid>
      <w:tr w:rsidR="007B74FC" w:rsidRPr="007B74FC" w14:paraId="448DFA68" w14:textId="77777777" w:rsidTr="007B74FC">
        <w:trPr>
          <w:trHeight w:val="285"/>
        </w:trPr>
        <w:tc>
          <w:tcPr>
            <w:tcW w:w="1129" w:type="dxa"/>
            <w:noWrap/>
            <w:hideMark/>
          </w:tcPr>
          <w:p w14:paraId="30190B42" w14:textId="77777777" w:rsidR="007B74FC" w:rsidRPr="007B74FC" w:rsidRDefault="007B74FC" w:rsidP="007B74FC">
            <w:pPr>
              <w:rPr>
                <w:rFonts w:ascii="楷体" w:eastAsia="楷体" w:hAnsi="楷体" w:hint="eastAsia"/>
              </w:rPr>
            </w:pPr>
            <w:r w:rsidRPr="007B74FC">
              <w:rPr>
                <w:rFonts w:ascii="楷体" w:eastAsia="楷体" w:hAnsi="楷体"/>
              </w:rPr>
              <w:t>主要方向</w:t>
            </w:r>
          </w:p>
        </w:tc>
        <w:tc>
          <w:tcPr>
            <w:tcW w:w="7167" w:type="dxa"/>
            <w:noWrap/>
            <w:hideMark/>
          </w:tcPr>
          <w:p w14:paraId="4BD1A404" w14:textId="77777777" w:rsidR="007B74FC" w:rsidRPr="007B74FC" w:rsidRDefault="007B74FC">
            <w:pPr>
              <w:rPr>
                <w:rFonts w:ascii="楷体" w:eastAsia="楷体" w:hAnsi="楷体" w:hint="eastAsia"/>
              </w:rPr>
            </w:pPr>
            <w:r w:rsidRPr="007B74FC">
              <w:rPr>
                <w:rFonts w:ascii="楷体" w:eastAsia="楷体" w:hAnsi="楷体"/>
              </w:rPr>
              <w:t>目前进度</w:t>
            </w:r>
          </w:p>
        </w:tc>
      </w:tr>
      <w:tr w:rsidR="007B74FC" w:rsidRPr="007B74FC" w14:paraId="72311530" w14:textId="77777777" w:rsidTr="007B74FC">
        <w:trPr>
          <w:trHeight w:val="285"/>
        </w:trPr>
        <w:tc>
          <w:tcPr>
            <w:tcW w:w="1129" w:type="dxa"/>
            <w:noWrap/>
            <w:hideMark/>
          </w:tcPr>
          <w:p w14:paraId="15CC302A" w14:textId="77777777" w:rsidR="007B74FC" w:rsidRPr="007B74FC" w:rsidRDefault="007B74FC">
            <w:pPr>
              <w:rPr>
                <w:rFonts w:ascii="楷体" w:eastAsia="楷体" w:hAnsi="楷体" w:hint="eastAsia"/>
              </w:rPr>
            </w:pPr>
            <w:r w:rsidRPr="007B74FC">
              <w:rPr>
                <w:rFonts w:ascii="楷体" w:eastAsia="楷体" w:hAnsi="楷体"/>
              </w:rPr>
              <w:t>通感一体</w:t>
            </w:r>
          </w:p>
        </w:tc>
        <w:tc>
          <w:tcPr>
            <w:tcW w:w="7167" w:type="dxa"/>
            <w:noWrap/>
            <w:hideMark/>
          </w:tcPr>
          <w:p w14:paraId="55608091" w14:textId="77777777" w:rsidR="007B74FC" w:rsidRPr="007B74FC" w:rsidRDefault="007B74FC">
            <w:pPr>
              <w:rPr>
                <w:rFonts w:ascii="楷体" w:eastAsia="楷体" w:hAnsi="楷体" w:hint="eastAsia"/>
              </w:rPr>
            </w:pPr>
            <w:r w:rsidRPr="007B74FC">
              <w:rPr>
                <w:rFonts w:ascii="楷体" w:eastAsia="楷体" w:hAnsi="楷体"/>
              </w:rPr>
              <w:t>验证了多场景（低空）通感相互辅助，网络不同层级中的AI辅助感知待研究</w:t>
            </w:r>
          </w:p>
        </w:tc>
      </w:tr>
      <w:tr w:rsidR="007B74FC" w:rsidRPr="007B74FC" w14:paraId="1FA773E0" w14:textId="77777777" w:rsidTr="007B74FC">
        <w:trPr>
          <w:trHeight w:val="285"/>
        </w:trPr>
        <w:tc>
          <w:tcPr>
            <w:tcW w:w="1129" w:type="dxa"/>
            <w:noWrap/>
            <w:hideMark/>
          </w:tcPr>
          <w:p w14:paraId="6006BC76" w14:textId="77777777" w:rsidR="007B74FC" w:rsidRPr="007B74FC" w:rsidRDefault="007B74FC">
            <w:pPr>
              <w:rPr>
                <w:rFonts w:ascii="楷体" w:eastAsia="楷体" w:hAnsi="楷体" w:hint="eastAsia"/>
              </w:rPr>
            </w:pPr>
            <w:r w:rsidRPr="007B74FC">
              <w:rPr>
                <w:rFonts w:ascii="楷体" w:eastAsia="楷体" w:hAnsi="楷体"/>
              </w:rPr>
              <w:t>沉浸通信</w:t>
            </w:r>
          </w:p>
        </w:tc>
        <w:tc>
          <w:tcPr>
            <w:tcW w:w="7167" w:type="dxa"/>
            <w:noWrap/>
            <w:hideMark/>
          </w:tcPr>
          <w:p w14:paraId="7D78D59A" w14:textId="77777777" w:rsidR="007B74FC" w:rsidRPr="007B74FC" w:rsidRDefault="007B74FC">
            <w:pPr>
              <w:rPr>
                <w:rFonts w:ascii="楷体" w:eastAsia="楷体" w:hAnsi="楷体" w:hint="eastAsia"/>
              </w:rPr>
            </w:pPr>
            <w:r w:rsidRPr="007B74FC">
              <w:rPr>
                <w:rFonts w:ascii="楷体" w:eastAsia="楷体" w:hAnsi="楷体"/>
              </w:rPr>
              <w:t>验证中频段1.4km以上，单用户下行20-33Gbps，多用户下行192-269Gbps</w:t>
            </w:r>
          </w:p>
        </w:tc>
      </w:tr>
      <w:tr w:rsidR="007B74FC" w:rsidRPr="007B74FC" w14:paraId="42C5B5D4" w14:textId="77777777" w:rsidTr="007B74FC">
        <w:trPr>
          <w:trHeight w:val="285"/>
        </w:trPr>
        <w:tc>
          <w:tcPr>
            <w:tcW w:w="1129" w:type="dxa"/>
            <w:noWrap/>
            <w:hideMark/>
          </w:tcPr>
          <w:p w14:paraId="761526D2" w14:textId="77777777" w:rsidR="007B74FC" w:rsidRPr="007B74FC" w:rsidRDefault="007B74FC">
            <w:pPr>
              <w:rPr>
                <w:rFonts w:ascii="楷体" w:eastAsia="楷体" w:hAnsi="楷体" w:hint="eastAsia"/>
              </w:rPr>
            </w:pPr>
            <w:r w:rsidRPr="007B74FC">
              <w:rPr>
                <w:rFonts w:ascii="楷体" w:eastAsia="楷体" w:hAnsi="楷体"/>
              </w:rPr>
              <w:t>网络架构</w:t>
            </w:r>
          </w:p>
        </w:tc>
        <w:tc>
          <w:tcPr>
            <w:tcW w:w="7167" w:type="dxa"/>
            <w:noWrap/>
            <w:hideMark/>
          </w:tcPr>
          <w:p w14:paraId="247F4D50" w14:textId="77777777" w:rsidR="007B74FC" w:rsidRPr="007B74FC" w:rsidRDefault="007B74FC">
            <w:pPr>
              <w:rPr>
                <w:rFonts w:ascii="楷体" w:eastAsia="楷体" w:hAnsi="楷体" w:hint="eastAsia"/>
              </w:rPr>
            </w:pPr>
            <w:r w:rsidRPr="007B74FC">
              <w:rPr>
                <w:rFonts w:ascii="楷体" w:eastAsia="楷体" w:hAnsi="楷体"/>
              </w:rPr>
              <w:t>验证网络架构对AI能力，通感融合能力，多要素协同能力的支持。并初步验证智能体通信能力，多采用分布式身份验证技术</w:t>
            </w:r>
          </w:p>
        </w:tc>
      </w:tr>
      <w:tr w:rsidR="007B74FC" w:rsidRPr="007B74FC" w14:paraId="621EBC8C" w14:textId="77777777" w:rsidTr="007B74FC">
        <w:trPr>
          <w:trHeight w:val="285"/>
        </w:trPr>
        <w:tc>
          <w:tcPr>
            <w:tcW w:w="1129" w:type="dxa"/>
            <w:noWrap/>
            <w:hideMark/>
          </w:tcPr>
          <w:p w14:paraId="35DD4F99" w14:textId="77777777" w:rsidR="007B74FC" w:rsidRPr="007B74FC" w:rsidRDefault="007B74FC">
            <w:pPr>
              <w:rPr>
                <w:rFonts w:ascii="楷体" w:eastAsia="楷体" w:hAnsi="楷体" w:hint="eastAsia"/>
              </w:rPr>
            </w:pPr>
            <w:r w:rsidRPr="007B74FC">
              <w:rPr>
                <w:rFonts w:ascii="楷体" w:eastAsia="楷体" w:hAnsi="楷体"/>
              </w:rPr>
              <w:t>天地一体</w:t>
            </w:r>
          </w:p>
        </w:tc>
        <w:tc>
          <w:tcPr>
            <w:tcW w:w="7167" w:type="dxa"/>
            <w:noWrap/>
            <w:hideMark/>
          </w:tcPr>
          <w:p w14:paraId="0643624C" w14:textId="77777777" w:rsidR="007B74FC" w:rsidRPr="007B74FC" w:rsidRDefault="007B74FC">
            <w:pPr>
              <w:rPr>
                <w:rFonts w:ascii="楷体" w:eastAsia="楷体" w:hAnsi="楷体" w:hint="eastAsia"/>
              </w:rPr>
            </w:pPr>
            <w:r w:rsidRPr="007B74FC">
              <w:rPr>
                <w:rFonts w:ascii="楷体" w:eastAsia="楷体" w:hAnsi="楷体"/>
              </w:rPr>
              <w:t>针对天地一体网络基础覆盖能力进行测试，验证接入，和干扰抑制的可行性</w:t>
            </w:r>
          </w:p>
        </w:tc>
      </w:tr>
      <w:tr w:rsidR="007B74FC" w:rsidRPr="007B74FC" w14:paraId="30DDD00E" w14:textId="77777777" w:rsidTr="007B74FC">
        <w:trPr>
          <w:trHeight w:val="285"/>
        </w:trPr>
        <w:tc>
          <w:tcPr>
            <w:tcW w:w="1129" w:type="dxa"/>
            <w:noWrap/>
            <w:hideMark/>
          </w:tcPr>
          <w:p w14:paraId="503436E0" w14:textId="77777777" w:rsidR="007B74FC" w:rsidRPr="007B74FC" w:rsidRDefault="007B74FC">
            <w:pPr>
              <w:rPr>
                <w:rFonts w:ascii="楷体" w:eastAsia="楷体" w:hAnsi="楷体" w:hint="eastAsia"/>
              </w:rPr>
            </w:pPr>
            <w:r w:rsidRPr="007B74FC">
              <w:rPr>
                <w:rFonts w:ascii="楷体" w:eastAsia="楷体" w:hAnsi="楷体"/>
              </w:rPr>
              <w:t>无线智能</w:t>
            </w:r>
          </w:p>
        </w:tc>
        <w:tc>
          <w:tcPr>
            <w:tcW w:w="7167" w:type="dxa"/>
            <w:noWrap/>
            <w:hideMark/>
          </w:tcPr>
          <w:p w14:paraId="7E2A1E6A" w14:textId="77777777" w:rsidR="007B74FC" w:rsidRPr="007B74FC" w:rsidRDefault="007B74FC">
            <w:pPr>
              <w:rPr>
                <w:rFonts w:ascii="楷体" w:eastAsia="楷体" w:hAnsi="楷体" w:hint="eastAsia"/>
              </w:rPr>
            </w:pPr>
            <w:r w:rsidRPr="007B74FC">
              <w:rPr>
                <w:rFonts w:ascii="楷体" w:eastAsia="楷体" w:hAnsi="楷体"/>
              </w:rPr>
              <w:t>目前在研究高速移动，多层联合状态下，对于智能链路传输效率和性能的优化</w:t>
            </w:r>
          </w:p>
        </w:tc>
      </w:tr>
    </w:tbl>
    <w:p w14:paraId="77BAC996" w14:textId="77777777" w:rsidR="007B74FC" w:rsidRPr="007B74FC" w:rsidRDefault="007B74FC" w:rsidP="009A5C53">
      <w:pPr>
        <w:rPr>
          <w:rFonts w:ascii="楷体" w:eastAsia="楷体" w:hAnsi="楷体" w:hint="eastAsia"/>
        </w:rPr>
      </w:pPr>
    </w:p>
    <w:p w14:paraId="5AB0C6D4" w14:textId="2D00FB0B" w:rsidR="004C353B" w:rsidRDefault="004C353B" w:rsidP="009A5C53">
      <w:pPr>
        <w:rPr>
          <w:rFonts w:ascii="楷体" w:eastAsia="楷体" w:hAnsi="楷体" w:hint="eastAsia"/>
        </w:rPr>
      </w:pPr>
      <w:r>
        <w:rPr>
          <w:noProof/>
        </w:rPr>
        <w:drawing>
          <wp:inline distT="0" distB="0" distL="0" distR="0" wp14:anchorId="19ABA58C" wp14:editId="29608BA2">
            <wp:extent cx="5274310" cy="1680845"/>
            <wp:effectExtent l="0" t="0" r="2540" b="0"/>
            <wp:docPr id="14621473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147376" name=""/>
                    <pic:cNvPicPr/>
                  </pic:nvPicPr>
                  <pic:blipFill>
                    <a:blip r:embed="rId23"/>
                    <a:stretch>
                      <a:fillRect/>
                    </a:stretch>
                  </pic:blipFill>
                  <pic:spPr>
                    <a:xfrm>
                      <a:off x="0" y="0"/>
                      <a:ext cx="5274310" cy="1680845"/>
                    </a:xfrm>
                    <a:prstGeom prst="rect">
                      <a:avLst/>
                    </a:prstGeom>
                  </pic:spPr>
                </pic:pic>
              </a:graphicData>
            </a:graphic>
          </wp:inline>
        </w:drawing>
      </w:r>
    </w:p>
    <w:p w14:paraId="3E217517" w14:textId="77777777" w:rsidR="00CE36DC" w:rsidRDefault="00CE36DC" w:rsidP="009A5C53">
      <w:pPr>
        <w:rPr>
          <w:rFonts w:ascii="楷体" w:eastAsia="楷体" w:hAnsi="楷体" w:hint="eastAsia"/>
        </w:rPr>
      </w:pPr>
    </w:p>
    <w:p w14:paraId="7046BBD2" w14:textId="77777777" w:rsidR="007B74FC" w:rsidRDefault="007B74FC" w:rsidP="009A5C53">
      <w:pPr>
        <w:rPr>
          <w:rFonts w:ascii="楷体" w:eastAsia="楷体" w:hAnsi="楷体" w:hint="eastAsia"/>
        </w:rPr>
      </w:pPr>
    </w:p>
    <w:p w14:paraId="22F1AE3C" w14:textId="66F61C82" w:rsidR="009A5C53" w:rsidRPr="008F446E" w:rsidRDefault="009A5C53" w:rsidP="00CC6107">
      <w:pPr>
        <w:pStyle w:val="4"/>
        <w:rPr>
          <w:rFonts w:hint="eastAsia"/>
        </w:rPr>
      </w:pPr>
      <w:r w:rsidRPr="008F446E">
        <w:rPr>
          <w:rFonts w:hint="eastAsia"/>
        </w:rPr>
        <w:t>星间通信</w:t>
      </w:r>
    </w:p>
    <w:p w14:paraId="4BC52075" w14:textId="77777777" w:rsidR="00073D19" w:rsidRPr="00073D19" w:rsidRDefault="00073D19" w:rsidP="00F14630">
      <w:pPr>
        <w:rPr>
          <w:rFonts w:ascii="楷体" w:eastAsia="楷体" w:hAnsi="楷体" w:hint="eastAsia"/>
        </w:rPr>
      </w:pPr>
    </w:p>
    <w:p w14:paraId="4C2BF2FE" w14:textId="443111CD" w:rsidR="00CF2996" w:rsidRPr="00073D19" w:rsidRDefault="004A519B" w:rsidP="00B7721B">
      <w:pPr>
        <w:pStyle w:val="2"/>
        <w:rPr>
          <w:rFonts w:ascii="楷体" w:eastAsia="楷体" w:hAnsi="楷体" w:hint="eastAsia"/>
        </w:rPr>
      </w:pPr>
      <w:r w:rsidRPr="00073D19">
        <w:rPr>
          <w:rFonts w:ascii="楷体" w:eastAsia="楷体" w:hAnsi="楷体" w:hint="eastAsia"/>
        </w:rPr>
        <w:t>政策</w:t>
      </w:r>
      <w:r w:rsidR="000563E9" w:rsidRPr="00073D19">
        <w:rPr>
          <w:rFonts w:ascii="楷体" w:eastAsia="楷体" w:hAnsi="楷体" w:hint="eastAsia"/>
        </w:rPr>
        <w:t>：面向未来</w:t>
      </w:r>
    </w:p>
    <w:p w14:paraId="2B2EBDE9" w14:textId="496814B6" w:rsidR="004A519B" w:rsidRPr="008F446E" w:rsidRDefault="004A519B" w:rsidP="004A519B">
      <w:pPr>
        <w:rPr>
          <w:rFonts w:ascii="楷体" w:eastAsia="楷体" w:hAnsi="楷体" w:hint="eastAsia"/>
        </w:rPr>
      </w:pPr>
      <w:r w:rsidRPr="00073D19">
        <w:rPr>
          <w:rFonts w:ascii="楷体" w:eastAsia="楷体" w:hAnsi="楷体" w:hint="eastAsia"/>
        </w:rPr>
        <w:t>AI基础设施已被提升到国家战略层面。华西证券年度策略</w:t>
      </w:r>
      <w:r w:rsidRPr="008F446E">
        <w:rPr>
          <w:rFonts w:ascii="楷体" w:eastAsia="楷体" w:hAnsi="楷体" w:hint="eastAsia"/>
        </w:rPr>
        <w:t>指出，国务院2025年7-8月连续发布AI相关文件，从顶层设计到产业落地的政策框架已基本成型</w:t>
      </w:r>
      <w:r w:rsidR="00CD3178" w:rsidRPr="008F446E">
        <w:rPr>
          <w:rFonts w:ascii="楷体" w:eastAsia="楷体" w:hAnsi="楷体" w:hint="eastAsia"/>
        </w:rPr>
        <w:t>。今年十五五期间，中央也明确提出了承接十四五总体规划，继续加强加快全国算力网络和基础设施以适配AI新发展格局的要求。</w:t>
      </w:r>
    </w:p>
    <w:p w14:paraId="3B384DB7" w14:textId="0B5AF308" w:rsidR="004A519B" w:rsidRPr="008F446E" w:rsidRDefault="004A519B" w:rsidP="004A519B">
      <w:pPr>
        <w:rPr>
          <w:rFonts w:ascii="楷体" w:eastAsia="楷体" w:hAnsi="楷体" w:hint="eastAsia"/>
        </w:rPr>
      </w:pPr>
      <w:r w:rsidRPr="008F446E">
        <w:rPr>
          <w:rFonts w:ascii="楷体" w:eastAsia="楷体" w:hAnsi="楷体" w:hint="eastAsia"/>
        </w:rPr>
        <w:t>政策层面的核心逻辑是：算力基础设施类似于高铁、电网，是数字经济时代的新型"基建"。中国</w:t>
      </w:r>
      <w:r w:rsidR="00B24E22" w:rsidRPr="008F446E">
        <w:rPr>
          <w:rFonts w:ascii="楷体" w:eastAsia="楷体" w:hAnsi="楷体" w:hint="eastAsia"/>
        </w:rPr>
        <w:t>要</w:t>
      </w:r>
      <w:r w:rsidRPr="008F446E">
        <w:rPr>
          <w:rFonts w:ascii="楷体" w:eastAsia="楷体" w:hAnsi="楷体" w:hint="eastAsia"/>
        </w:rPr>
        <w:t>通过"东数西算"工程和算力枢纽节点建设，系统性地布局智算中心网络。</w:t>
      </w:r>
    </w:p>
    <w:p w14:paraId="7A0A368D" w14:textId="77777777" w:rsidR="004A519B" w:rsidRPr="008F446E" w:rsidRDefault="004A519B" w:rsidP="004A519B">
      <w:pPr>
        <w:rPr>
          <w:rFonts w:ascii="楷体" w:eastAsia="楷体" w:hAnsi="楷体" w:hint="eastAsia"/>
        </w:rPr>
      </w:pPr>
      <w:r w:rsidRPr="008F446E">
        <w:rPr>
          <w:rFonts w:ascii="楷体" w:eastAsia="楷体" w:hAnsi="楷体" w:hint="eastAsia"/>
        </w:rPr>
        <w:t>这带来的直接利好是：政策驱动的算力建设需求独立于市场化Capex周期，提供了一个额外的需求安全垫。即使海外云商Capex短期波动，国内政策驱动的算力建设仍在持续推进，从而形成从产业界到国家基建层面的双轮驱动。</w:t>
      </w:r>
    </w:p>
    <w:p w14:paraId="74DBAD97" w14:textId="77777777" w:rsidR="004A519B" w:rsidRPr="008F446E" w:rsidRDefault="004A519B" w:rsidP="004A519B">
      <w:pPr>
        <w:jc w:val="center"/>
        <w:rPr>
          <w:rFonts w:ascii="楷体" w:eastAsia="楷体" w:hAnsi="楷体" w:hint="eastAsia"/>
          <w:sz w:val="21"/>
          <w:szCs w:val="22"/>
        </w:rPr>
      </w:pPr>
      <w:r w:rsidRPr="008F446E">
        <w:rPr>
          <w:rFonts w:ascii="楷体" w:eastAsia="楷体" w:hAnsi="楷体" w:hint="eastAsia"/>
          <w:sz w:val="21"/>
          <w:szCs w:val="22"/>
        </w:rPr>
        <w:t>表：中央政策</w:t>
      </w:r>
    </w:p>
    <w:tbl>
      <w:tblPr>
        <w:tblStyle w:val="af2"/>
        <w:tblW w:w="9923" w:type="dxa"/>
        <w:tblInd w:w="-572" w:type="dxa"/>
        <w:tblLook w:val="04A0" w:firstRow="1" w:lastRow="0" w:firstColumn="1" w:lastColumn="0" w:noHBand="0" w:noVBand="1"/>
      </w:tblPr>
      <w:tblGrid>
        <w:gridCol w:w="2268"/>
        <w:gridCol w:w="2127"/>
        <w:gridCol w:w="5528"/>
      </w:tblGrid>
      <w:tr w:rsidR="004A519B" w:rsidRPr="008F446E" w14:paraId="15EAF1F6" w14:textId="77777777" w:rsidTr="00AC574C">
        <w:tc>
          <w:tcPr>
            <w:tcW w:w="2268" w:type="dxa"/>
            <w:tcBorders>
              <w:bottom w:val="single" w:sz="4" w:space="0" w:color="auto"/>
            </w:tcBorders>
          </w:tcPr>
          <w:p w14:paraId="2A9F6920"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hint="eastAsia"/>
                <w:sz w:val="21"/>
                <w:szCs w:val="22"/>
              </w:rPr>
              <w:t>政策名称</w:t>
            </w:r>
          </w:p>
        </w:tc>
        <w:tc>
          <w:tcPr>
            <w:tcW w:w="2127" w:type="dxa"/>
            <w:tcBorders>
              <w:bottom w:val="single" w:sz="4" w:space="0" w:color="auto"/>
            </w:tcBorders>
          </w:tcPr>
          <w:p w14:paraId="4090C06D"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hint="eastAsia"/>
                <w:sz w:val="21"/>
                <w:szCs w:val="22"/>
              </w:rPr>
              <w:t>政策主体</w:t>
            </w:r>
          </w:p>
        </w:tc>
        <w:tc>
          <w:tcPr>
            <w:tcW w:w="5528" w:type="dxa"/>
            <w:tcBorders>
              <w:bottom w:val="single" w:sz="4" w:space="0" w:color="auto"/>
            </w:tcBorders>
          </w:tcPr>
          <w:p w14:paraId="0C32DA3C"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hint="eastAsia"/>
                <w:sz w:val="21"/>
                <w:szCs w:val="22"/>
              </w:rPr>
              <w:t>政策要点</w:t>
            </w:r>
          </w:p>
        </w:tc>
      </w:tr>
      <w:tr w:rsidR="00AC574C" w:rsidRPr="008F446E" w14:paraId="518285C0" w14:textId="77777777" w:rsidTr="00AC574C">
        <w:tc>
          <w:tcPr>
            <w:tcW w:w="2268" w:type="dxa"/>
            <w:tcBorders>
              <w:bottom w:val="nil"/>
            </w:tcBorders>
          </w:tcPr>
          <w:p w14:paraId="083F28FD" w14:textId="20A5AA0F" w:rsidR="00AC574C" w:rsidRPr="008F446E" w:rsidRDefault="00AC574C" w:rsidP="00010920">
            <w:pPr>
              <w:jc w:val="center"/>
              <w:rPr>
                <w:rFonts w:ascii="楷体" w:eastAsia="楷体" w:hAnsi="楷体" w:hint="eastAsia"/>
                <w:sz w:val="21"/>
                <w:szCs w:val="22"/>
              </w:rPr>
            </w:pPr>
            <w:r w:rsidRPr="008F446E">
              <w:rPr>
                <w:rFonts w:ascii="楷体" w:eastAsia="楷体" w:hAnsi="楷体"/>
                <w:sz w:val="21"/>
                <w:szCs w:val="22"/>
              </w:rPr>
              <w:t>《中共中央关于制定国民经济和社会发展第十五个五年规划和二〇三五年远景目标的建议》</w:t>
            </w:r>
          </w:p>
        </w:tc>
        <w:tc>
          <w:tcPr>
            <w:tcW w:w="2127" w:type="dxa"/>
            <w:tcBorders>
              <w:bottom w:val="nil"/>
            </w:tcBorders>
          </w:tcPr>
          <w:p w14:paraId="7A142096" w14:textId="10421A6B" w:rsidR="00AC574C" w:rsidRPr="008F446E" w:rsidRDefault="00AC574C" w:rsidP="00010920">
            <w:pPr>
              <w:jc w:val="center"/>
              <w:rPr>
                <w:rFonts w:ascii="楷体" w:eastAsia="楷体" w:hAnsi="楷体" w:hint="eastAsia"/>
                <w:sz w:val="21"/>
                <w:szCs w:val="22"/>
              </w:rPr>
            </w:pPr>
            <w:r w:rsidRPr="008F446E">
              <w:rPr>
                <w:rFonts w:ascii="楷体" w:eastAsia="楷体" w:hAnsi="楷体"/>
                <w:sz w:val="21"/>
                <w:szCs w:val="22"/>
              </w:rPr>
              <w:t>中共中央</w:t>
            </w:r>
          </w:p>
        </w:tc>
        <w:tc>
          <w:tcPr>
            <w:tcW w:w="5528" w:type="dxa"/>
            <w:tcBorders>
              <w:bottom w:val="nil"/>
            </w:tcBorders>
          </w:tcPr>
          <w:p w14:paraId="713320E9" w14:textId="46978EF8" w:rsidR="00AC574C" w:rsidRPr="008F446E" w:rsidRDefault="00BD6D45" w:rsidP="00010920">
            <w:pPr>
              <w:rPr>
                <w:rFonts w:ascii="楷体" w:eastAsia="楷体" w:hAnsi="楷体" w:hint="eastAsia"/>
                <w:sz w:val="21"/>
                <w:szCs w:val="22"/>
              </w:rPr>
            </w:pPr>
            <w:r w:rsidRPr="008F446E">
              <w:rPr>
                <w:rFonts w:ascii="楷体" w:eastAsia="楷体" w:hAnsi="楷体" w:hint="eastAsia"/>
                <w:sz w:val="21"/>
                <w:szCs w:val="22"/>
              </w:rPr>
              <w:t>适度超前建设新型基础设施；推进信息通信网络、全国一体化算力网、重大科技基础设施等建设和集约高效利用</w:t>
            </w:r>
          </w:p>
        </w:tc>
      </w:tr>
      <w:tr w:rsidR="00AC574C" w:rsidRPr="008F446E" w14:paraId="539D29A9" w14:textId="77777777" w:rsidTr="00AC574C">
        <w:tc>
          <w:tcPr>
            <w:tcW w:w="2268" w:type="dxa"/>
            <w:tcBorders>
              <w:bottom w:val="single" w:sz="4" w:space="0" w:color="auto"/>
            </w:tcBorders>
          </w:tcPr>
          <w:p w14:paraId="04656741" w14:textId="3D9E84D7" w:rsidR="00AC574C" w:rsidRPr="008F446E" w:rsidRDefault="00AC574C" w:rsidP="00010920">
            <w:pPr>
              <w:jc w:val="center"/>
              <w:rPr>
                <w:rFonts w:ascii="楷体" w:eastAsia="楷体" w:hAnsi="楷体" w:hint="eastAsia"/>
                <w:sz w:val="21"/>
                <w:szCs w:val="22"/>
              </w:rPr>
            </w:pPr>
            <w:r w:rsidRPr="008F446E">
              <w:rPr>
                <w:rFonts w:ascii="楷体" w:eastAsia="楷体" w:hAnsi="楷体"/>
                <w:sz w:val="21"/>
                <w:szCs w:val="22"/>
              </w:rPr>
              <w:t>《中华人民共和国国民经济和社会发展第十五个五年规划和2035年远景目标纲要》</w:t>
            </w:r>
          </w:p>
        </w:tc>
        <w:tc>
          <w:tcPr>
            <w:tcW w:w="2127" w:type="dxa"/>
            <w:tcBorders>
              <w:bottom w:val="single" w:sz="4" w:space="0" w:color="auto"/>
            </w:tcBorders>
          </w:tcPr>
          <w:p w14:paraId="4136ECB9" w14:textId="1F414837" w:rsidR="00AC574C" w:rsidRPr="008F446E" w:rsidRDefault="00AC574C" w:rsidP="00010920">
            <w:pPr>
              <w:jc w:val="center"/>
              <w:rPr>
                <w:rFonts w:ascii="楷体" w:eastAsia="楷体" w:hAnsi="楷体" w:hint="eastAsia"/>
                <w:sz w:val="21"/>
                <w:szCs w:val="22"/>
              </w:rPr>
            </w:pPr>
            <w:r w:rsidRPr="008F446E">
              <w:rPr>
                <w:rFonts w:ascii="楷体" w:eastAsia="楷体" w:hAnsi="楷体"/>
                <w:sz w:val="21"/>
                <w:szCs w:val="22"/>
              </w:rPr>
              <w:t>国务院/全国人大</w:t>
            </w:r>
          </w:p>
        </w:tc>
        <w:tc>
          <w:tcPr>
            <w:tcW w:w="5528" w:type="dxa"/>
            <w:tcBorders>
              <w:bottom w:val="single" w:sz="4" w:space="0" w:color="auto"/>
            </w:tcBorders>
          </w:tcPr>
          <w:p w14:paraId="73245350" w14:textId="1329FD4A" w:rsidR="00AC574C" w:rsidRPr="008F446E" w:rsidRDefault="00BD6D45" w:rsidP="00010920">
            <w:pPr>
              <w:rPr>
                <w:rFonts w:ascii="楷体" w:eastAsia="楷体" w:hAnsi="楷体" w:hint="eastAsia"/>
                <w:sz w:val="21"/>
                <w:szCs w:val="22"/>
              </w:rPr>
            </w:pPr>
            <w:r w:rsidRPr="008F446E">
              <w:rPr>
                <w:rFonts w:ascii="楷体" w:eastAsia="楷体" w:hAnsi="楷体" w:hint="eastAsia"/>
                <w:sz w:val="21"/>
                <w:szCs w:val="22"/>
              </w:rPr>
              <w:t>提升数智化发展水平单独成篇；强化算力算法数据高效供给；建设新一代超算、通算、智算设施体系；论证建设超大规模智算集群；推动算力设施市场化运营；支持政府购买算力服务、算力租赁；推动绿色电力与算力协同布局；建设算力监测调度平台；培育自主可控软硬件生态；创新发展标准化可扩展的智算云服务</w:t>
            </w:r>
          </w:p>
        </w:tc>
      </w:tr>
      <w:tr w:rsidR="00AC574C" w:rsidRPr="008F446E" w14:paraId="2DE6C142" w14:textId="77777777" w:rsidTr="00AC574C">
        <w:tc>
          <w:tcPr>
            <w:tcW w:w="2268" w:type="dxa"/>
            <w:tcBorders>
              <w:bottom w:val="single" w:sz="4" w:space="0" w:color="auto"/>
            </w:tcBorders>
          </w:tcPr>
          <w:p w14:paraId="0B0F8DBA" w14:textId="57A0F676" w:rsidR="00AC574C" w:rsidRPr="008F446E" w:rsidRDefault="00AC574C" w:rsidP="00010920">
            <w:pPr>
              <w:jc w:val="center"/>
              <w:rPr>
                <w:rFonts w:ascii="楷体" w:eastAsia="楷体" w:hAnsi="楷体" w:hint="eastAsia"/>
                <w:sz w:val="21"/>
                <w:szCs w:val="22"/>
              </w:rPr>
            </w:pPr>
            <w:r w:rsidRPr="008F446E">
              <w:rPr>
                <w:rFonts w:ascii="楷体" w:eastAsia="楷体" w:hAnsi="楷体"/>
                <w:sz w:val="21"/>
                <w:szCs w:val="22"/>
              </w:rPr>
              <w:t>《关于推动新型信息基础设施协调发展有关事项的通知》</w:t>
            </w:r>
          </w:p>
        </w:tc>
        <w:tc>
          <w:tcPr>
            <w:tcW w:w="2127" w:type="dxa"/>
            <w:tcBorders>
              <w:bottom w:val="single" w:sz="4" w:space="0" w:color="auto"/>
            </w:tcBorders>
          </w:tcPr>
          <w:p w14:paraId="23725BC4" w14:textId="5B2563B3" w:rsidR="00AC574C" w:rsidRPr="008F446E" w:rsidRDefault="00AC574C" w:rsidP="00010920">
            <w:pPr>
              <w:jc w:val="center"/>
              <w:rPr>
                <w:rFonts w:ascii="楷体" w:eastAsia="楷体" w:hAnsi="楷体" w:hint="eastAsia"/>
                <w:sz w:val="21"/>
                <w:szCs w:val="22"/>
              </w:rPr>
            </w:pPr>
            <w:r w:rsidRPr="008F446E">
              <w:rPr>
                <w:rFonts w:ascii="楷体" w:eastAsia="楷体" w:hAnsi="楷体"/>
                <w:sz w:val="21"/>
                <w:szCs w:val="22"/>
              </w:rPr>
              <w:t>工信部等</w:t>
            </w:r>
          </w:p>
          <w:p w14:paraId="6EBCBC4F" w14:textId="77777777" w:rsidR="00AC574C" w:rsidRPr="008F446E" w:rsidRDefault="00AC574C" w:rsidP="00AC574C">
            <w:pPr>
              <w:jc w:val="center"/>
              <w:rPr>
                <w:rFonts w:ascii="楷体" w:eastAsia="楷体" w:hAnsi="楷体" w:hint="eastAsia"/>
                <w:sz w:val="21"/>
                <w:szCs w:val="22"/>
              </w:rPr>
            </w:pPr>
          </w:p>
        </w:tc>
        <w:tc>
          <w:tcPr>
            <w:tcW w:w="5528" w:type="dxa"/>
            <w:tcBorders>
              <w:bottom w:val="single" w:sz="4" w:space="0" w:color="auto"/>
            </w:tcBorders>
          </w:tcPr>
          <w:p w14:paraId="76023CC6" w14:textId="0093031D" w:rsidR="00AC574C" w:rsidRPr="008F446E" w:rsidRDefault="00BD6D45" w:rsidP="00010920">
            <w:pPr>
              <w:rPr>
                <w:rFonts w:ascii="楷体" w:eastAsia="楷体" w:hAnsi="楷体" w:hint="eastAsia"/>
                <w:sz w:val="21"/>
                <w:szCs w:val="22"/>
              </w:rPr>
            </w:pPr>
            <w:r w:rsidRPr="008F446E">
              <w:rPr>
                <w:rFonts w:ascii="楷体" w:eastAsia="楷体" w:hAnsi="楷体" w:hint="eastAsia"/>
                <w:sz w:val="21"/>
                <w:szCs w:val="22"/>
              </w:rPr>
              <w:t>深化5G、千兆光网规模部署；推进5G-A、万兆光网建设；建设100万个50G-PON端口；加快5G-A规模商用（建设50万个基站）；加强6G技术研发、标准研制和应用验证；统筹推进卫星互联网星座建设；完善民用空间基础设施</w:t>
            </w:r>
          </w:p>
          <w:p w14:paraId="59911530" w14:textId="4EE262ED" w:rsidR="00BD6D45" w:rsidRPr="008F446E" w:rsidRDefault="00BD6D45" w:rsidP="00BD6D45">
            <w:pPr>
              <w:tabs>
                <w:tab w:val="left" w:pos="688"/>
              </w:tabs>
              <w:rPr>
                <w:rFonts w:ascii="楷体" w:eastAsia="楷体" w:hAnsi="楷体" w:hint="eastAsia"/>
                <w:sz w:val="21"/>
                <w:szCs w:val="22"/>
              </w:rPr>
            </w:pPr>
            <w:r w:rsidRPr="008F446E">
              <w:rPr>
                <w:rFonts w:ascii="楷体" w:eastAsia="楷体" w:hAnsi="楷体" w:hint="eastAsia"/>
                <w:sz w:val="21"/>
                <w:szCs w:val="22"/>
              </w:rPr>
              <w:tab/>
            </w:r>
          </w:p>
        </w:tc>
      </w:tr>
      <w:tr w:rsidR="004A519B" w:rsidRPr="008F446E" w14:paraId="42DD685D" w14:textId="77777777" w:rsidTr="00AC574C">
        <w:tc>
          <w:tcPr>
            <w:tcW w:w="2268" w:type="dxa"/>
            <w:tcBorders>
              <w:top w:val="single" w:sz="4" w:space="0" w:color="auto"/>
            </w:tcBorders>
          </w:tcPr>
          <w:p w14:paraId="71512CC0"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sz w:val="21"/>
                <w:szCs w:val="22"/>
              </w:rPr>
              <w:t>深入实施 “东数西算” 工程加快构建全国一体化算力网的实</w:t>
            </w:r>
            <w:r w:rsidRPr="008F446E">
              <w:rPr>
                <w:rFonts w:ascii="楷体" w:eastAsia="楷体" w:hAnsi="楷体"/>
                <w:sz w:val="21"/>
                <w:szCs w:val="22"/>
              </w:rPr>
              <w:lastRenderedPageBreak/>
              <w:t>施意见</w:t>
            </w:r>
          </w:p>
        </w:tc>
        <w:tc>
          <w:tcPr>
            <w:tcW w:w="2127" w:type="dxa"/>
            <w:tcBorders>
              <w:top w:val="single" w:sz="4" w:space="0" w:color="auto"/>
            </w:tcBorders>
          </w:tcPr>
          <w:p w14:paraId="522EBF67"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sz w:val="21"/>
                <w:szCs w:val="22"/>
              </w:rPr>
              <w:lastRenderedPageBreak/>
              <w:t>国家发改委等五部门</w:t>
            </w:r>
          </w:p>
        </w:tc>
        <w:tc>
          <w:tcPr>
            <w:tcW w:w="5528" w:type="dxa"/>
            <w:tcBorders>
              <w:top w:val="single" w:sz="4" w:space="0" w:color="auto"/>
            </w:tcBorders>
          </w:tcPr>
          <w:p w14:paraId="6671C3C8" w14:textId="77777777" w:rsidR="004A519B" w:rsidRPr="008F446E" w:rsidRDefault="004A519B" w:rsidP="00010920">
            <w:pPr>
              <w:rPr>
                <w:rFonts w:ascii="楷体" w:eastAsia="楷体" w:hAnsi="楷体" w:hint="eastAsia"/>
                <w:sz w:val="21"/>
                <w:szCs w:val="22"/>
              </w:rPr>
            </w:pPr>
            <w:r w:rsidRPr="008F446E">
              <w:rPr>
                <w:rFonts w:ascii="楷体" w:eastAsia="楷体" w:hAnsi="楷体"/>
                <w:sz w:val="21"/>
                <w:szCs w:val="22"/>
              </w:rPr>
              <w:t>到 2025 年底，通用算力、智能算力、超级算力等多元算力加速集聚，国家枢纽节点地区各类新增算力占全国新增算力的 60% 以上，国家枢纽节点算力资源使用率显著超</w:t>
            </w:r>
            <w:r w:rsidRPr="008F446E">
              <w:rPr>
                <w:rFonts w:ascii="楷体" w:eastAsia="楷体" w:hAnsi="楷体"/>
                <w:sz w:val="21"/>
                <w:szCs w:val="22"/>
              </w:rPr>
              <w:lastRenderedPageBreak/>
              <w:t>过全国平均水平</w:t>
            </w:r>
          </w:p>
          <w:p w14:paraId="3570C90B" w14:textId="77777777" w:rsidR="004A519B" w:rsidRPr="008F446E" w:rsidRDefault="004A519B" w:rsidP="00010920">
            <w:pPr>
              <w:jc w:val="center"/>
              <w:rPr>
                <w:rFonts w:ascii="楷体" w:eastAsia="楷体" w:hAnsi="楷体" w:hint="eastAsia"/>
                <w:sz w:val="21"/>
                <w:szCs w:val="22"/>
              </w:rPr>
            </w:pPr>
          </w:p>
        </w:tc>
      </w:tr>
      <w:tr w:rsidR="004A519B" w:rsidRPr="008F446E" w14:paraId="16A02B31" w14:textId="77777777" w:rsidTr="00010920">
        <w:tc>
          <w:tcPr>
            <w:tcW w:w="2268" w:type="dxa"/>
          </w:tcPr>
          <w:p w14:paraId="42F9888F"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sz w:val="21"/>
                <w:szCs w:val="22"/>
              </w:rPr>
              <w:lastRenderedPageBreak/>
              <w:t>算力基础设施高质量发展行动计划</w:t>
            </w:r>
          </w:p>
        </w:tc>
        <w:tc>
          <w:tcPr>
            <w:tcW w:w="2127" w:type="dxa"/>
          </w:tcPr>
          <w:p w14:paraId="79F8A871"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sz w:val="21"/>
                <w:szCs w:val="22"/>
              </w:rPr>
              <w:t>工信部等六部门</w:t>
            </w:r>
          </w:p>
        </w:tc>
        <w:tc>
          <w:tcPr>
            <w:tcW w:w="5528" w:type="dxa"/>
          </w:tcPr>
          <w:p w14:paraId="5362F6BA" w14:textId="77777777" w:rsidR="004A519B" w:rsidRPr="008F446E" w:rsidRDefault="004A519B" w:rsidP="00010920">
            <w:pPr>
              <w:rPr>
                <w:rFonts w:ascii="楷体" w:eastAsia="楷体" w:hAnsi="楷体" w:hint="eastAsia"/>
                <w:sz w:val="21"/>
                <w:szCs w:val="22"/>
              </w:rPr>
            </w:pPr>
            <w:r w:rsidRPr="008F446E">
              <w:rPr>
                <w:rFonts w:ascii="楷体" w:eastAsia="楷体" w:hAnsi="楷体"/>
                <w:sz w:val="21"/>
                <w:szCs w:val="22"/>
              </w:rPr>
              <w:t>到 2025 年算力规模超过 300EFLOPS，智能算力占比达到 35%。推动算力结构多元配置，逐步提升智能算力占比，推动智能算力与通用算力协同，满足不同类型算力业务需求</w:t>
            </w:r>
          </w:p>
        </w:tc>
      </w:tr>
      <w:tr w:rsidR="004A519B" w:rsidRPr="008F446E" w14:paraId="51F0C3D6" w14:textId="77777777" w:rsidTr="00010920">
        <w:tc>
          <w:tcPr>
            <w:tcW w:w="2268" w:type="dxa"/>
          </w:tcPr>
          <w:p w14:paraId="19A5C6AD"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sz w:val="21"/>
                <w:szCs w:val="22"/>
              </w:rPr>
              <w:t>数字中国建设整体布局规划</w:t>
            </w:r>
          </w:p>
        </w:tc>
        <w:tc>
          <w:tcPr>
            <w:tcW w:w="2127" w:type="dxa"/>
          </w:tcPr>
          <w:p w14:paraId="07C3A674"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sz w:val="21"/>
                <w:szCs w:val="22"/>
              </w:rPr>
              <w:t>国务院</w:t>
            </w:r>
          </w:p>
        </w:tc>
        <w:tc>
          <w:tcPr>
            <w:tcW w:w="5528" w:type="dxa"/>
          </w:tcPr>
          <w:p w14:paraId="77D56E2E" w14:textId="77777777" w:rsidR="004A519B" w:rsidRPr="008F446E" w:rsidRDefault="004A519B" w:rsidP="00010920">
            <w:pPr>
              <w:rPr>
                <w:rFonts w:ascii="楷体" w:eastAsia="楷体" w:hAnsi="楷体" w:hint="eastAsia"/>
                <w:sz w:val="21"/>
                <w:szCs w:val="22"/>
              </w:rPr>
            </w:pPr>
            <w:r w:rsidRPr="008F446E">
              <w:rPr>
                <w:rFonts w:ascii="楷体" w:eastAsia="楷体" w:hAnsi="楷体" w:hint="eastAsia"/>
                <w:sz w:val="21"/>
                <w:szCs w:val="22"/>
              </w:rPr>
              <w:t>系统优化算力基础设施布局，促进东西部算力高效互补和协同联动，引导通用数据中心超算中心、智能计算中心、边缘数据中心等合理梯次布局</w:t>
            </w:r>
          </w:p>
        </w:tc>
      </w:tr>
      <w:tr w:rsidR="004A519B" w:rsidRPr="008F446E" w14:paraId="3A14604A" w14:textId="77777777" w:rsidTr="00010920">
        <w:tc>
          <w:tcPr>
            <w:tcW w:w="2268" w:type="dxa"/>
          </w:tcPr>
          <w:p w14:paraId="1C95BC97"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sz w:val="21"/>
                <w:szCs w:val="22"/>
              </w:rPr>
              <w:t>国家发展改革委等部门关于同意京津冀地区启动建设全国一体化算力网络国家枢纽节点的复函</w:t>
            </w:r>
          </w:p>
        </w:tc>
        <w:tc>
          <w:tcPr>
            <w:tcW w:w="2127" w:type="dxa"/>
          </w:tcPr>
          <w:p w14:paraId="3770AA26"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sz w:val="21"/>
                <w:szCs w:val="22"/>
              </w:rPr>
              <w:t>国家发改委等四部门</w:t>
            </w:r>
          </w:p>
        </w:tc>
        <w:tc>
          <w:tcPr>
            <w:tcW w:w="5528" w:type="dxa"/>
          </w:tcPr>
          <w:p w14:paraId="783C3D9B" w14:textId="77777777" w:rsidR="004A519B" w:rsidRPr="008F446E" w:rsidRDefault="004A519B" w:rsidP="00010920">
            <w:pPr>
              <w:rPr>
                <w:rFonts w:ascii="楷体" w:eastAsia="楷体" w:hAnsi="楷体" w:hint="eastAsia"/>
                <w:sz w:val="21"/>
                <w:szCs w:val="22"/>
              </w:rPr>
            </w:pPr>
            <w:r w:rsidRPr="008F446E">
              <w:rPr>
                <w:rFonts w:ascii="楷体" w:eastAsia="楷体" w:hAnsi="楷体"/>
                <w:sz w:val="21"/>
                <w:szCs w:val="22"/>
              </w:rPr>
              <w:t>同意在京津冀地区启动建设全国一体化算力网络国家枢纽节点，发展高密度高能效、低碳数据中心集群，通过云网协同、云边协同等优化数据中心供给结构，扩展算力增长空间，实现大规模算力部署</w:t>
            </w:r>
          </w:p>
        </w:tc>
      </w:tr>
      <w:tr w:rsidR="004A519B" w:rsidRPr="008F446E" w14:paraId="1BDF14C8" w14:textId="77777777" w:rsidTr="00010920">
        <w:tc>
          <w:tcPr>
            <w:tcW w:w="2268" w:type="dxa"/>
          </w:tcPr>
          <w:p w14:paraId="3ABECFD3"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sz w:val="21"/>
                <w:szCs w:val="22"/>
              </w:rPr>
              <w:t>“十四五” 国家信息化规划</w:t>
            </w:r>
          </w:p>
        </w:tc>
        <w:tc>
          <w:tcPr>
            <w:tcW w:w="2127" w:type="dxa"/>
          </w:tcPr>
          <w:p w14:paraId="45379C6E"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hint="eastAsia"/>
                <w:sz w:val="21"/>
                <w:szCs w:val="22"/>
              </w:rPr>
              <w:t>中央网络安全和信息化委员会</w:t>
            </w:r>
          </w:p>
        </w:tc>
        <w:tc>
          <w:tcPr>
            <w:tcW w:w="5528" w:type="dxa"/>
          </w:tcPr>
          <w:p w14:paraId="01790C72" w14:textId="77777777" w:rsidR="004A519B" w:rsidRPr="008F446E" w:rsidRDefault="004A519B" w:rsidP="00010920">
            <w:pPr>
              <w:rPr>
                <w:rFonts w:ascii="楷体" w:eastAsia="楷体" w:hAnsi="楷体" w:hint="eastAsia"/>
                <w:sz w:val="21"/>
                <w:szCs w:val="22"/>
              </w:rPr>
            </w:pPr>
            <w:r w:rsidRPr="008F446E">
              <w:rPr>
                <w:rFonts w:ascii="楷体" w:eastAsia="楷体" w:hAnsi="楷体"/>
                <w:sz w:val="21"/>
                <w:szCs w:val="22"/>
              </w:rPr>
              <w:t>统筹建设面向区块链和人工智能等的算力和算法中心，构建具备周边环境感应能力和反馈回应能力的边缘计算节点提供低时延、高可靠强安全边缘计算服务</w:t>
            </w:r>
          </w:p>
        </w:tc>
      </w:tr>
      <w:tr w:rsidR="004A519B" w:rsidRPr="008F446E" w14:paraId="25FB56CA" w14:textId="77777777" w:rsidTr="00010920">
        <w:tc>
          <w:tcPr>
            <w:tcW w:w="2268" w:type="dxa"/>
          </w:tcPr>
          <w:p w14:paraId="582D0C4E"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sz w:val="21"/>
                <w:szCs w:val="22"/>
              </w:rPr>
              <w:t>“十四五” 大数据产业发展规划</w:t>
            </w:r>
          </w:p>
        </w:tc>
        <w:tc>
          <w:tcPr>
            <w:tcW w:w="2127" w:type="dxa"/>
          </w:tcPr>
          <w:p w14:paraId="533DF4E6"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sz w:val="21"/>
                <w:szCs w:val="22"/>
              </w:rPr>
              <w:t>工信部</w:t>
            </w:r>
          </w:p>
        </w:tc>
        <w:tc>
          <w:tcPr>
            <w:tcW w:w="5528" w:type="dxa"/>
          </w:tcPr>
          <w:p w14:paraId="0AE8F493" w14:textId="77777777" w:rsidR="004A519B" w:rsidRPr="008F446E" w:rsidRDefault="004A519B" w:rsidP="00010920">
            <w:pPr>
              <w:rPr>
                <w:rFonts w:ascii="楷体" w:eastAsia="楷体" w:hAnsi="楷体" w:hint="eastAsia"/>
                <w:sz w:val="21"/>
                <w:szCs w:val="22"/>
              </w:rPr>
            </w:pPr>
            <w:r w:rsidRPr="008F446E">
              <w:rPr>
                <w:rFonts w:ascii="楷体" w:eastAsia="楷体" w:hAnsi="楷体"/>
                <w:sz w:val="21"/>
                <w:szCs w:val="22"/>
              </w:rPr>
              <w:t>加快构建全国一体化大数据中心体系，推进国家工业互联网大数据中心建设强化算力统筹智能调度，建设若干国家枢纽节点和大数据中心集群。建设高性能计算集群，合理部署超级计算中心</w:t>
            </w:r>
          </w:p>
        </w:tc>
      </w:tr>
    </w:tbl>
    <w:p w14:paraId="363D3D61" w14:textId="77777777" w:rsidR="004A519B" w:rsidRPr="008F446E" w:rsidRDefault="004A519B" w:rsidP="004A519B">
      <w:pPr>
        <w:jc w:val="center"/>
        <w:rPr>
          <w:rFonts w:ascii="楷体" w:eastAsia="楷体" w:hAnsi="楷体" w:hint="eastAsia"/>
          <w:sz w:val="21"/>
          <w:szCs w:val="22"/>
        </w:rPr>
      </w:pPr>
    </w:p>
    <w:p w14:paraId="66687C57" w14:textId="77777777" w:rsidR="004A519B" w:rsidRPr="008F446E" w:rsidRDefault="004A519B" w:rsidP="004A519B">
      <w:pPr>
        <w:jc w:val="center"/>
        <w:rPr>
          <w:rFonts w:ascii="楷体" w:eastAsia="楷体" w:hAnsi="楷体" w:hint="eastAsia"/>
          <w:sz w:val="21"/>
          <w:szCs w:val="22"/>
        </w:rPr>
      </w:pPr>
      <w:r w:rsidRPr="008F446E">
        <w:rPr>
          <w:rFonts w:ascii="楷体" w:eastAsia="楷体" w:hAnsi="楷体" w:hint="eastAsia"/>
          <w:sz w:val="21"/>
          <w:szCs w:val="22"/>
        </w:rPr>
        <w:t>表：地方政策</w:t>
      </w:r>
    </w:p>
    <w:tbl>
      <w:tblPr>
        <w:tblStyle w:val="af2"/>
        <w:tblW w:w="9923" w:type="dxa"/>
        <w:tblInd w:w="-572" w:type="dxa"/>
        <w:tblLook w:val="04A0" w:firstRow="1" w:lastRow="0" w:firstColumn="1" w:lastColumn="0" w:noHBand="0" w:noVBand="1"/>
      </w:tblPr>
      <w:tblGrid>
        <w:gridCol w:w="2268"/>
        <w:gridCol w:w="2127"/>
        <w:gridCol w:w="5528"/>
      </w:tblGrid>
      <w:tr w:rsidR="004A519B" w:rsidRPr="008F446E" w14:paraId="489A0B89" w14:textId="77777777" w:rsidTr="00010920">
        <w:tc>
          <w:tcPr>
            <w:tcW w:w="2268" w:type="dxa"/>
          </w:tcPr>
          <w:p w14:paraId="51770818"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hint="eastAsia"/>
                <w:sz w:val="21"/>
                <w:szCs w:val="22"/>
              </w:rPr>
              <w:t>政策名称</w:t>
            </w:r>
          </w:p>
        </w:tc>
        <w:tc>
          <w:tcPr>
            <w:tcW w:w="2127" w:type="dxa"/>
          </w:tcPr>
          <w:p w14:paraId="5E7E6F89"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hint="eastAsia"/>
                <w:sz w:val="21"/>
                <w:szCs w:val="22"/>
              </w:rPr>
              <w:t>政策主体</w:t>
            </w:r>
          </w:p>
        </w:tc>
        <w:tc>
          <w:tcPr>
            <w:tcW w:w="5528" w:type="dxa"/>
          </w:tcPr>
          <w:p w14:paraId="3389CD69"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hint="eastAsia"/>
                <w:sz w:val="21"/>
                <w:szCs w:val="22"/>
              </w:rPr>
              <w:t>政策要点</w:t>
            </w:r>
          </w:p>
        </w:tc>
      </w:tr>
      <w:tr w:rsidR="004A519B" w:rsidRPr="008F446E" w14:paraId="2EBB3B76" w14:textId="77777777" w:rsidTr="00010920">
        <w:tc>
          <w:tcPr>
            <w:tcW w:w="2268" w:type="dxa"/>
          </w:tcPr>
          <w:p w14:paraId="58B9712B"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sz w:val="21"/>
                <w:szCs w:val="22"/>
              </w:rPr>
              <w:t>陕西省加快推动人工智能产业发展实施方案 (2024-2026 年)</w:t>
            </w:r>
          </w:p>
        </w:tc>
        <w:tc>
          <w:tcPr>
            <w:tcW w:w="2127" w:type="dxa"/>
          </w:tcPr>
          <w:p w14:paraId="5D3755C3"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hint="eastAsia"/>
                <w:sz w:val="21"/>
                <w:szCs w:val="22"/>
              </w:rPr>
              <w:t>陕西省</w:t>
            </w:r>
          </w:p>
        </w:tc>
        <w:tc>
          <w:tcPr>
            <w:tcW w:w="5528" w:type="dxa"/>
          </w:tcPr>
          <w:p w14:paraId="2EE1FD32" w14:textId="77777777" w:rsidR="004A519B" w:rsidRPr="008F446E" w:rsidRDefault="004A519B" w:rsidP="00010920">
            <w:pPr>
              <w:rPr>
                <w:rFonts w:ascii="楷体" w:eastAsia="楷体" w:hAnsi="楷体" w:hint="eastAsia"/>
                <w:sz w:val="21"/>
                <w:szCs w:val="22"/>
              </w:rPr>
            </w:pPr>
            <w:r w:rsidRPr="008F446E">
              <w:rPr>
                <w:rFonts w:ascii="楷体" w:eastAsia="楷体" w:hAnsi="楷体"/>
                <w:sz w:val="21"/>
                <w:szCs w:val="22"/>
              </w:rPr>
              <w:t>整合省内算力资源，建设省级算力统筹调度平台，实现 “算力一网化、统筹一体化、调度一站式”，2026 年建设运营智能算达到 3000P 以上，可统筹的公共智能算力达到西部领先水平</w:t>
            </w:r>
          </w:p>
        </w:tc>
      </w:tr>
      <w:tr w:rsidR="004A519B" w:rsidRPr="008F446E" w14:paraId="6C7D8635" w14:textId="77777777" w:rsidTr="00010920">
        <w:tc>
          <w:tcPr>
            <w:tcW w:w="2268" w:type="dxa"/>
          </w:tcPr>
          <w:p w14:paraId="5FE4DE9B"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sz w:val="21"/>
                <w:szCs w:val="22"/>
              </w:rPr>
              <w:t>北京市算力基础设施建设实施方案 (2024-2027 年)</w:t>
            </w:r>
          </w:p>
        </w:tc>
        <w:tc>
          <w:tcPr>
            <w:tcW w:w="2127" w:type="dxa"/>
          </w:tcPr>
          <w:p w14:paraId="6A3CB7BF"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hint="eastAsia"/>
                <w:sz w:val="21"/>
                <w:szCs w:val="22"/>
              </w:rPr>
              <w:t>北京市</w:t>
            </w:r>
          </w:p>
        </w:tc>
        <w:tc>
          <w:tcPr>
            <w:tcW w:w="5528" w:type="dxa"/>
          </w:tcPr>
          <w:p w14:paraId="3662199E" w14:textId="77777777" w:rsidR="004A519B" w:rsidRPr="008F446E" w:rsidRDefault="004A519B" w:rsidP="00010920">
            <w:pPr>
              <w:rPr>
                <w:rFonts w:ascii="楷体" w:eastAsia="楷体" w:hAnsi="楷体" w:hint="eastAsia"/>
                <w:sz w:val="21"/>
                <w:szCs w:val="22"/>
              </w:rPr>
            </w:pPr>
            <w:r w:rsidRPr="008F446E">
              <w:rPr>
                <w:rFonts w:ascii="楷体" w:eastAsia="楷体" w:hAnsi="楷体"/>
                <w:sz w:val="21"/>
                <w:szCs w:val="22"/>
              </w:rPr>
              <w:t>改变算建建设 “小散” 局面，集中建设一批智算单一大集群，到 2025 年，本市智算供给规模达到 45EFLOPS。到 2027 年，实现智算基础设施软硬件产品全栈自主可控，整体性能达到国内领先水平，具备 100% 自主可控智算中心建设能力</w:t>
            </w:r>
          </w:p>
        </w:tc>
      </w:tr>
      <w:tr w:rsidR="004A519B" w:rsidRPr="008F446E" w14:paraId="7E261103" w14:textId="77777777" w:rsidTr="00010920">
        <w:tc>
          <w:tcPr>
            <w:tcW w:w="2268" w:type="dxa"/>
          </w:tcPr>
          <w:p w14:paraId="269287DB"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sz w:val="21"/>
                <w:szCs w:val="22"/>
              </w:rPr>
              <w:t>上海市智能算力基础设施高质量发展 “算力浦江” 智算行动实施方案</w:t>
            </w:r>
          </w:p>
        </w:tc>
        <w:tc>
          <w:tcPr>
            <w:tcW w:w="2127" w:type="dxa"/>
          </w:tcPr>
          <w:p w14:paraId="5E72A5E9"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hint="eastAsia"/>
                <w:sz w:val="21"/>
                <w:szCs w:val="22"/>
              </w:rPr>
              <w:t>上海市</w:t>
            </w:r>
          </w:p>
        </w:tc>
        <w:tc>
          <w:tcPr>
            <w:tcW w:w="5528" w:type="dxa"/>
          </w:tcPr>
          <w:p w14:paraId="6F53D52D" w14:textId="77777777" w:rsidR="004A519B" w:rsidRPr="008F446E" w:rsidRDefault="004A519B" w:rsidP="00010920">
            <w:pPr>
              <w:rPr>
                <w:rFonts w:ascii="楷体" w:eastAsia="楷体" w:hAnsi="楷体" w:hint="eastAsia"/>
                <w:sz w:val="21"/>
                <w:szCs w:val="22"/>
              </w:rPr>
            </w:pPr>
            <w:r w:rsidRPr="008F446E">
              <w:rPr>
                <w:rFonts w:ascii="楷体" w:eastAsia="楷体" w:hAnsi="楷体"/>
                <w:sz w:val="21"/>
                <w:szCs w:val="22"/>
              </w:rPr>
              <w:t>到 2025 年，新建智算中心国产算力芯片使用占比超过 50%，国产存储使用占比超过 50%，PUE 值将降至 1.25 以下。到 2025 年，上海市智能算力规模将超过 30EFLOPS，占比达到总算力的 50% 以上，智算中心内先进存储容量占比达到 50% 以上</w:t>
            </w:r>
          </w:p>
        </w:tc>
      </w:tr>
      <w:tr w:rsidR="004A519B" w:rsidRPr="008F446E" w14:paraId="4FF55052" w14:textId="77777777" w:rsidTr="00010920">
        <w:tc>
          <w:tcPr>
            <w:tcW w:w="2268" w:type="dxa"/>
          </w:tcPr>
          <w:p w14:paraId="15678F10"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sz w:val="21"/>
                <w:szCs w:val="22"/>
              </w:rPr>
              <w:t>广东省算力基础设施高质量发展行动暨 “粤算” 行动计划 (2024-2025 年)</w:t>
            </w:r>
          </w:p>
        </w:tc>
        <w:tc>
          <w:tcPr>
            <w:tcW w:w="2127" w:type="dxa"/>
          </w:tcPr>
          <w:p w14:paraId="40E80CBD"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hint="eastAsia"/>
                <w:sz w:val="21"/>
                <w:szCs w:val="22"/>
              </w:rPr>
              <w:t>广东省</w:t>
            </w:r>
          </w:p>
        </w:tc>
        <w:tc>
          <w:tcPr>
            <w:tcW w:w="5528" w:type="dxa"/>
          </w:tcPr>
          <w:p w14:paraId="213D83C8" w14:textId="77777777" w:rsidR="004A519B" w:rsidRPr="008F446E" w:rsidRDefault="004A519B" w:rsidP="00010920">
            <w:pPr>
              <w:rPr>
                <w:rFonts w:ascii="楷体" w:eastAsia="楷体" w:hAnsi="楷体" w:hint="eastAsia"/>
                <w:sz w:val="21"/>
                <w:szCs w:val="22"/>
              </w:rPr>
            </w:pPr>
            <w:r w:rsidRPr="008F446E">
              <w:rPr>
                <w:rFonts w:ascii="楷体" w:eastAsia="楷体" w:hAnsi="楷体"/>
                <w:sz w:val="21"/>
                <w:szCs w:val="22"/>
              </w:rPr>
              <w:t>到 2025 年，在计算力方面，算力规模达到 38EFLOPS，智能算力占比达到 50%。建成智能计算中心 10 个，基本形成算力规模体量与数字化发展需求相适应、算力供给结构与业务需求相匹配的发展格局</w:t>
            </w:r>
          </w:p>
        </w:tc>
      </w:tr>
      <w:tr w:rsidR="004A519B" w:rsidRPr="008F446E" w14:paraId="4966DC66" w14:textId="77777777" w:rsidTr="00010920">
        <w:tc>
          <w:tcPr>
            <w:tcW w:w="2268" w:type="dxa"/>
          </w:tcPr>
          <w:p w14:paraId="11172A44"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sz w:val="21"/>
                <w:szCs w:val="22"/>
              </w:rPr>
              <w:lastRenderedPageBreak/>
              <w:t>深圳市算力基础设施高质量发展行动计划 (2024-2025)</w:t>
            </w:r>
          </w:p>
        </w:tc>
        <w:tc>
          <w:tcPr>
            <w:tcW w:w="2127" w:type="dxa"/>
          </w:tcPr>
          <w:p w14:paraId="40BD2953"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hint="eastAsia"/>
                <w:sz w:val="21"/>
                <w:szCs w:val="22"/>
              </w:rPr>
              <w:t>深圳市</w:t>
            </w:r>
          </w:p>
        </w:tc>
        <w:tc>
          <w:tcPr>
            <w:tcW w:w="5528" w:type="dxa"/>
          </w:tcPr>
          <w:p w14:paraId="33E73EF4" w14:textId="77777777" w:rsidR="004A519B" w:rsidRPr="008F446E" w:rsidRDefault="004A519B" w:rsidP="00010920">
            <w:pPr>
              <w:rPr>
                <w:rFonts w:ascii="楷体" w:eastAsia="楷体" w:hAnsi="楷体" w:hint="eastAsia"/>
                <w:sz w:val="21"/>
                <w:szCs w:val="22"/>
              </w:rPr>
            </w:pPr>
            <w:r w:rsidRPr="008F446E">
              <w:rPr>
                <w:rFonts w:ascii="楷体" w:eastAsia="楷体" w:hAnsi="楷体"/>
                <w:sz w:val="21"/>
                <w:szCs w:val="22"/>
              </w:rPr>
              <w:t>到 2025 年，通用算力达到 14 EFLOPS (FP32)，智能算力达到 25 EFLOPS (FP16)，超算算力达到 2 EFLOPS (FP64)，存储量达到 90EB。先进存储容量占比达到 80% 以上，重点行业核心数据、重要数据灾备覆盖率达到 100%</w:t>
            </w:r>
          </w:p>
        </w:tc>
      </w:tr>
      <w:tr w:rsidR="004A519B" w:rsidRPr="008F446E" w14:paraId="5C9EA939" w14:textId="77777777" w:rsidTr="00010920">
        <w:tc>
          <w:tcPr>
            <w:tcW w:w="2268" w:type="dxa"/>
          </w:tcPr>
          <w:p w14:paraId="0A221305"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sz w:val="21"/>
                <w:szCs w:val="22"/>
              </w:rPr>
              <w:t>山东省数字基础设施建设行动方案 (2024-2025 年)</w:t>
            </w:r>
          </w:p>
        </w:tc>
        <w:tc>
          <w:tcPr>
            <w:tcW w:w="2127" w:type="dxa"/>
          </w:tcPr>
          <w:p w14:paraId="584051C0"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hint="eastAsia"/>
                <w:sz w:val="21"/>
                <w:szCs w:val="22"/>
              </w:rPr>
              <w:t>山东省</w:t>
            </w:r>
          </w:p>
        </w:tc>
        <w:tc>
          <w:tcPr>
            <w:tcW w:w="5528" w:type="dxa"/>
          </w:tcPr>
          <w:p w14:paraId="368D0FA9" w14:textId="77777777" w:rsidR="004A519B" w:rsidRPr="008F446E" w:rsidRDefault="004A519B" w:rsidP="00010920">
            <w:pPr>
              <w:rPr>
                <w:rFonts w:ascii="楷体" w:eastAsia="楷体" w:hAnsi="楷体" w:hint="eastAsia"/>
                <w:sz w:val="21"/>
                <w:szCs w:val="22"/>
              </w:rPr>
            </w:pPr>
            <w:r w:rsidRPr="008F446E">
              <w:rPr>
                <w:rFonts w:ascii="楷体" w:eastAsia="楷体" w:hAnsi="楷体"/>
                <w:sz w:val="21"/>
                <w:szCs w:val="22"/>
              </w:rPr>
              <w:t>到 2025 年，全省数据中心在用标准机架总数达到 45 万个，总算力达到 12.5EFLOPS，智能算力占比达到 35%，算力规模达 65EB，先进存储占比达到 35% 以上</w:t>
            </w:r>
          </w:p>
        </w:tc>
      </w:tr>
      <w:tr w:rsidR="004A519B" w:rsidRPr="008F446E" w14:paraId="713237F6" w14:textId="77777777" w:rsidTr="00010920">
        <w:tc>
          <w:tcPr>
            <w:tcW w:w="2268" w:type="dxa"/>
          </w:tcPr>
          <w:p w14:paraId="4DCEDFF3"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sz w:val="21"/>
                <w:szCs w:val="22"/>
              </w:rPr>
              <w:t>河南省重大新型基础设施建设提速行动方案 (2023-2025 年)</w:t>
            </w:r>
          </w:p>
        </w:tc>
        <w:tc>
          <w:tcPr>
            <w:tcW w:w="2127" w:type="dxa"/>
          </w:tcPr>
          <w:p w14:paraId="14724ADE"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hint="eastAsia"/>
                <w:sz w:val="21"/>
                <w:szCs w:val="22"/>
              </w:rPr>
              <w:t>河南省</w:t>
            </w:r>
          </w:p>
        </w:tc>
        <w:tc>
          <w:tcPr>
            <w:tcW w:w="5528" w:type="dxa"/>
          </w:tcPr>
          <w:p w14:paraId="7FAED51A" w14:textId="77777777" w:rsidR="004A519B" w:rsidRPr="008F446E" w:rsidRDefault="004A519B" w:rsidP="00010920">
            <w:pPr>
              <w:rPr>
                <w:rFonts w:ascii="楷体" w:eastAsia="楷体" w:hAnsi="楷体" w:hint="eastAsia"/>
                <w:sz w:val="21"/>
                <w:szCs w:val="22"/>
              </w:rPr>
            </w:pPr>
            <w:r w:rsidRPr="008F446E">
              <w:rPr>
                <w:rFonts w:ascii="楷体" w:eastAsia="楷体" w:hAnsi="楷体"/>
                <w:sz w:val="21"/>
                <w:szCs w:val="22"/>
              </w:rPr>
              <w:t>到 2025 年智算和超算算力规模超过 2000PFLOPS，高性能算力占比超过 30%。持续提升国家超算郑州中心超算能力，建设智算中心和郑州城市算力网调度中心，资源利用率达到 70%</w:t>
            </w:r>
          </w:p>
        </w:tc>
      </w:tr>
      <w:tr w:rsidR="004A519B" w:rsidRPr="008F446E" w14:paraId="5AFA9BFD" w14:textId="77777777" w:rsidTr="00010920">
        <w:tc>
          <w:tcPr>
            <w:tcW w:w="2268" w:type="dxa"/>
          </w:tcPr>
          <w:p w14:paraId="2E99B967"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sz w:val="21"/>
                <w:szCs w:val="22"/>
              </w:rPr>
              <w:t>临港新片区加快构建算力产业生态行动方案 (2023-2025 年)</w:t>
            </w:r>
          </w:p>
        </w:tc>
        <w:tc>
          <w:tcPr>
            <w:tcW w:w="2127" w:type="dxa"/>
          </w:tcPr>
          <w:p w14:paraId="5A6A6096"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hint="eastAsia"/>
                <w:sz w:val="21"/>
                <w:szCs w:val="22"/>
              </w:rPr>
              <w:t>上海市</w:t>
            </w:r>
          </w:p>
        </w:tc>
        <w:tc>
          <w:tcPr>
            <w:tcW w:w="5528" w:type="dxa"/>
          </w:tcPr>
          <w:p w14:paraId="3E082EDD" w14:textId="77777777" w:rsidR="004A519B" w:rsidRPr="008F446E" w:rsidRDefault="004A519B" w:rsidP="00010920">
            <w:pPr>
              <w:rPr>
                <w:rFonts w:ascii="楷体" w:eastAsia="楷体" w:hAnsi="楷体" w:hint="eastAsia"/>
                <w:sz w:val="21"/>
                <w:szCs w:val="22"/>
              </w:rPr>
            </w:pPr>
            <w:r w:rsidRPr="008F446E">
              <w:rPr>
                <w:rFonts w:ascii="楷体" w:eastAsia="楷体" w:hAnsi="楷体"/>
                <w:sz w:val="21"/>
                <w:szCs w:val="22"/>
              </w:rPr>
              <w:t>到 2025 年，新片区算力供给形成以智算算力为主、基础算力和超算算力协同的多元算力供给体系，总算力超过 5EFLOPS (FP32)，AI 算力占比达到 80%，新建数据中心 PUE 控制在 1.25 以内</w:t>
            </w:r>
          </w:p>
        </w:tc>
      </w:tr>
      <w:tr w:rsidR="004A519B" w:rsidRPr="008F446E" w14:paraId="52FFBF86" w14:textId="77777777" w:rsidTr="00010920">
        <w:tc>
          <w:tcPr>
            <w:tcW w:w="2268" w:type="dxa"/>
          </w:tcPr>
          <w:p w14:paraId="5B3F3298"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sz w:val="21"/>
                <w:szCs w:val="22"/>
              </w:rPr>
              <w:t>面向全国的算力保障基地建设规划</w:t>
            </w:r>
          </w:p>
        </w:tc>
        <w:tc>
          <w:tcPr>
            <w:tcW w:w="2127" w:type="dxa"/>
          </w:tcPr>
          <w:p w14:paraId="2284CA76" w14:textId="77777777" w:rsidR="004A519B" w:rsidRPr="008F446E" w:rsidRDefault="004A519B" w:rsidP="00010920">
            <w:pPr>
              <w:jc w:val="center"/>
              <w:rPr>
                <w:rFonts w:ascii="楷体" w:eastAsia="楷体" w:hAnsi="楷体" w:hint="eastAsia"/>
                <w:sz w:val="21"/>
                <w:szCs w:val="22"/>
              </w:rPr>
            </w:pPr>
            <w:r w:rsidRPr="008F446E">
              <w:rPr>
                <w:rFonts w:ascii="楷体" w:eastAsia="楷体" w:hAnsi="楷体"/>
                <w:sz w:val="21"/>
                <w:szCs w:val="22"/>
              </w:rPr>
              <w:t>贵州</w:t>
            </w:r>
            <w:r w:rsidRPr="008F446E">
              <w:rPr>
                <w:rFonts w:ascii="楷体" w:eastAsia="楷体" w:hAnsi="楷体" w:hint="eastAsia"/>
                <w:sz w:val="21"/>
                <w:szCs w:val="22"/>
              </w:rPr>
              <w:t>省</w:t>
            </w:r>
          </w:p>
        </w:tc>
        <w:tc>
          <w:tcPr>
            <w:tcW w:w="5528" w:type="dxa"/>
          </w:tcPr>
          <w:p w14:paraId="5B57D128" w14:textId="77777777" w:rsidR="004A519B" w:rsidRPr="008F446E" w:rsidRDefault="004A519B" w:rsidP="00010920">
            <w:pPr>
              <w:rPr>
                <w:rFonts w:ascii="楷体" w:eastAsia="楷体" w:hAnsi="楷体" w:hint="eastAsia"/>
                <w:sz w:val="21"/>
                <w:szCs w:val="22"/>
              </w:rPr>
            </w:pPr>
            <w:r w:rsidRPr="008F446E">
              <w:rPr>
                <w:rFonts w:ascii="楷体" w:eastAsia="楷体" w:hAnsi="楷体"/>
                <w:sz w:val="21"/>
                <w:szCs w:val="22"/>
              </w:rPr>
              <w:t>围绕高可靠、高可用目标，从备份中心提升为计算中心、效益中心，重点布局智算基础设施，形成低时延人工智能算力基地、全国低成本中心、高安全中心，到 2024 年通用算力、智算算力、超算算力的总规模达到 5EFLOPS</w:t>
            </w:r>
          </w:p>
        </w:tc>
      </w:tr>
    </w:tbl>
    <w:p w14:paraId="38636946" w14:textId="77777777" w:rsidR="004A519B" w:rsidRPr="008F446E" w:rsidRDefault="004A519B" w:rsidP="004A519B">
      <w:pPr>
        <w:rPr>
          <w:rFonts w:ascii="楷体" w:eastAsia="楷体" w:hAnsi="楷体" w:hint="eastAsia"/>
          <w:sz w:val="21"/>
          <w:szCs w:val="22"/>
        </w:rPr>
      </w:pPr>
      <w:r w:rsidRPr="008F446E">
        <w:rPr>
          <w:rFonts w:ascii="楷体" w:eastAsia="楷体" w:hAnsi="楷体" w:hint="eastAsia"/>
          <w:sz w:val="21"/>
          <w:szCs w:val="22"/>
        </w:rPr>
        <w:t>信息来源：银河证券</w:t>
      </w:r>
    </w:p>
    <w:p w14:paraId="073F93AA" w14:textId="77777777" w:rsidR="004A519B" w:rsidRPr="008F446E" w:rsidRDefault="004A519B">
      <w:pPr>
        <w:rPr>
          <w:rFonts w:ascii="楷体" w:eastAsia="楷体" w:hAnsi="楷体" w:hint="eastAsia"/>
        </w:rPr>
      </w:pPr>
    </w:p>
    <w:p w14:paraId="6E8F84ED" w14:textId="48B2810F" w:rsidR="004A519B" w:rsidRPr="008F446E" w:rsidRDefault="001D687A">
      <w:pPr>
        <w:rPr>
          <w:rFonts w:ascii="楷体" w:eastAsia="楷体" w:hAnsi="楷体" w:hint="eastAsia"/>
        </w:rPr>
      </w:pPr>
      <w:r w:rsidRPr="008F446E">
        <w:rPr>
          <w:rFonts w:ascii="楷体" w:eastAsia="楷体" w:hAnsi="楷体" w:hint="eastAsia"/>
        </w:rPr>
        <w:t>3.2 供给侧</w:t>
      </w:r>
    </w:p>
    <w:p w14:paraId="6CD7C7BD" w14:textId="6356F2F7" w:rsidR="00465C8F" w:rsidRPr="008F446E" w:rsidRDefault="00465C8F">
      <w:pPr>
        <w:rPr>
          <w:rFonts w:ascii="楷体" w:eastAsia="楷体" w:hAnsi="楷体" w:hint="eastAsia"/>
        </w:rPr>
      </w:pPr>
      <w:r w:rsidRPr="008F446E">
        <w:rPr>
          <w:rFonts w:ascii="楷体" w:eastAsia="楷体" w:hAnsi="楷体" w:hint="eastAsia"/>
        </w:rPr>
        <w:t>3.2.1 竞争格局集中</w:t>
      </w:r>
    </w:p>
    <w:p w14:paraId="055E348B" w14:textId="77777777" w:rsidR="00CE30B9" w:rsidRPr="008F446E" w:rsidRDefault="00CE30B9">
      <w:pPr>
        <w:rPr>
          <w:rFonts w:ascii="楷体" w:eastAsia="楷体" w:hAnsi="楷体" w:hint="eastAsia"/>
        </w:rPr>
      </w:pPr>
    </w:p>
    <w:p w14:paraId="7E6C10A5" w14:textId="77777777" w:rsidR="00CE30B9" w:rsidRPr="008F446E" w:rsidRDefault="00CE30B9">
      <w:pPr>
        <w:rPr>
          <w:rFonts w:ascii="楷体" w:eastAsia="楷体" w:hAnsi="楷体" w:hint="eastAsia"/>
        </w:rPr>
      </w:pPr>
    </w:p>
    <w:p w14:paraId="0B594736" w14:textId="77777777" w:rsidR="00CE30B9" w:rsidRPr="008F446E" w:rsidRDefault="00CE30B9">
      <w:pPr>
        <w:rPr>
          <w:rFonts w:ascii="楷体" w:eastAsia="楷体" w:hAnsi="楷体" w:hint="eastAsia"/>
        </w:rPr>
      </w:pPr>
    </w:p>
    <w:p w14:paraId="5249D3A4" w14:textId="77777777" w:rsidR="00CE30B9" w:rsidRPr="008F446E" w:rsidRDefault="00CE30B9">
      <w:pPr>
        <w:rPr>
          <w:rFonts w:ascii="楷体" w:eastAsia="楷体" w:hAnsi="楷体" w:hint="eastAsia"/>
        </w:rPr>
      </w:pPr>
    </w:p>
    <w:p w14:paraId="118F884D" w14:textId="093DFEEA" w:rsidR="00CE30B9" w:rsidRPr="008F446E" w:rsidRDefault="00CE30B9">
      <w:pPr>
        <w:rPr>
          <w:rFonts w:ascii="楷体" w:eastAsia="楷体" w:hAnsi="楷体" w:hint="eastAsia"/>
        </w:rPr>
      </w:pPr>
      <w:r w:rsidRPr="008F446E">
        <w:rPr>
          <w:rFonts w:ascii="楷体" w:eastAsia="楷体" w:hAnsi="楷体" w:hint="eastAsia"/>
        </w:rPr>
        <w:t>扩张情况如何</w:t>
      </w:r>
    </w:p>
    <w:p w14:paraId="3621C96A" w14:textId="77777777" w:rsidR="00CE539B" w:rsidRPr="008F446E" w:rsidRDefault="00CE539B">
      <w:pPr>
        <w:rPr>
          <w:rFonts w:ascii="楷体" w:eastAsia="楷体" w:hAnsi="楷体" w:hint="eastAsia"/>
        </w:rPr>
      </w:pPr>
    </w:p>
    <w:p w14:paraId="3198B574" w14:textId="5D2357BD" w:rsidR="00CE539B" w:rsidRPr="008F446E" w:rsidRDefault="00CE539B">
      <w:pPr>
        <w:rPr>
          <w:rFonts w:ascii="楷体" w:eastAsia="楷体" w:hAnsi="楷体" w:hint="eastAsia"/>
        </w:rPr>
      </w:pPr>
      <w:r w:rsidRPr="008F446E">
        <w:rPr>
          <w:rFonts w:ascii="楷体" w:eastAsia="楷体" w:hAnsi="楷体" w:hint="eastAsia"/>
        </w:rPr>
        <w:t>供给分析</w:t>
      </w:r>
    </w:p>
    <w:p w14:paraId="529E1BB1" w14:textId="77777777" w:rsidR="00CE539B" w:rsidRPr="008F446E" w:rsidRDefault="00CE539B" w:rsidP="00CE539B">
      <w:pPr>
        <w:rPr>
          <w:rFonts w:ascii="楷体" w:eastAsia="楷体" w:hAnsi="楷体" w:hint="eastAsia"/>
        </w:rPr>
      </w:pPr>
      <w:r w:rsidRPr="008F446E">
        <w:rPr>
          <w:rFonts w:ascii="楷体" w:eastAsia="楷体" w:hAnsi="楷体" w:hint="eastAsia"/>
        </w:rPr>
        <w:t>核心景气度判断：当前及未来 1-3 年，行业供给是紧平衡、过剩还是短缺？边际变化的方向和拐点在哪里？</w:t>
      </w:r>
    </w:p>
    <w:p w14:paraId="16993835" w14:textId="77777777" w:rsidR="00CE539B" w:rsidRPr="008F446E" w:rsidRDefault="00CE539B" w:rsidP="00CE539B">
      <w:pPr>
        <w:rPr>
          <w:rFonts w:ascii="楷体" w:eastAsia="楷体" w:hAnsi="楷体" w:hint="eastAsia"/>
        </w:rPr>
      </w:pPr>
      <w:r w:rsidRPr="008F446E">
        <w:rPr>
          <w:rFonts w:ascii="楷体" w:eastAsia="楷体" w:hAnsi="楷体" w:hint="eastAsia"/>
        </w:rPr>
        <w:t>盈利持续性判断：产能扩张 / 收缩的节奏，会不会打破当前供需格局？是否会出现产能过剩导致的价格战、盈利下滑，或是产能约束带来的价格持续上行？</w:t>
      </w:r>
    </w:p>
    <w:p w14:paraId="0F0E1A1B" w14:textId="77777777" w:rsidR="00CE539B" w:rsidRPr="008F446E" w:rsidRDefault="00CE539B" w:rsidP="00CE539B">
      <w:pPr>
        <w:rPr>
          <w:rFonts w:ascii="楷体" w:eastAsia="楷体" w:hAnsi="楷体" w:hint="eastAsia"/>
        </w:rPr>
      </w:pPr>
      <w:r w:rsidRPr="008F446E">
        <w:rPr>
          <w:rFonts w:ascii="楷体" w:eastAsia="楷体" w:hAnsi="楷体" w:hint="eastAsia"/>
        </w:rPr>
        <w:lastRenderedPageBreak/>
        <w:t>护城河与估值安全边际判断：行业供给壁垒到底有多高？新进入者能否快速放量？头部厂商能否维持市场份额和定价权？</w:t>
      </w:r>
    </w:p>
    <w:p w14:paraId="2B0C30E9" w14:textId="77777777" w:rsidR="00CE539B" w:rsidRPr="008F446E" w:rsidRDefault="00CE539B" w:rsidP="00CE539B">
      <w:pPr>
        <w:rPr>
          <w:rFonts w:ascii="楷体" w:eastAsia="楷体" w:hAnsi="楷体" w:hint="eastAsia"/>
        </w:rPr>
      </w:pPr>
      <w:r w:rsidRPr="008F446E">
        <w:rPr>
          <w:rFonts w:ascii="楷体" w:eastAsia="楷体" w:hAnsi="楷体" w:hint="eastAsia"/>
        </w:rPr>
        <w:t>价格走势预判：行业产品价格的底部和顶部在哪里？边际产能盈亏线决定的价格支撑位、产能天花板决定的价格压力位分别是多少？</w:t>
      </w:r>
    </w:p>
    <w:p w14:paraId="1D87313C" w14:textId="2DE112BD" w:rsidR="00CE539B" w:rsidRPr="008F446E" w:rsidRDefault="00CE539B" w:rsidP="00CE539B">
      <w:pPr>
        <w:rPr>
          <w:rFonts w:ascii="楷体" w:eastAsia="楷体" w:hAnsi="楷体" w:hint="eastAsia"/>
        </w:rPr>
      </w:pPr>
      <w:r w:rsidRPr="008F446E">
        <w:rPr>
          <w:rFonts w:ascii="楷体" w:eastAsia="楷体" w:hAnsi="楷体" w:hint="eastAsia"/>
        </w:rPr>
        <w:t>短期择时判断：库存周期处于什么阶段？会不会带来短期供给冲击 / 供需错配？库存去化 / 补库的拐点何时到来？</w:t>
      </w:r>
    </w:p>
    <w:p w14:paraId="5119ADE2" w14:textId="77777777" w:rsidR="000114B0" w:rsidRPr="008F446E" w:rsidRDefault="000114B0" w:rsidP="00CE539B">
      <w:pPr>
        <w:rPr>
          <w:rFonts w:ascii="楷体" w:eastAsia="楷体" w:hAnsi="楷体" w:hint="eastAsia"/>
        </w:rPr>
      </w:pPr>
    </w:p>
    <w:p w14:paraId="22BBD69E" w14:textId="47BAB705" w:rsidR="000114B0" w:rsidRPr="008F446E" w:rsidRDefault="000114B0" w:rsidP="000114B0">
      <w:pPr>
        <w:pStyle w:val="1"/>
        <w:rPr>
          <w:rFonts w:ascii="楷体" w:eastAsia="楷体" w:hAnsi="楷体" w:hint="eastAsia"/>
        </w:rPr>
      </w:pPr>
      <w:r w:rsidRPr="008F446E">
        <w:rPr>
          <w:rFonts w:ascii="楷体" w:eastAsia="楷体" w:hAnsi="楷体" w:hint="eastAsia"/>
        </w:rPr>
        <w:t>相关ETF概况</w:t>
      </w:r>
    </w:p>
    <w:p w14:paraId="11AF9F1C" w14:textId="610C1CE5" w:rsidR="000114B0" w:rsidRPr="008F446E" w:rsidRDefault="000114B0" w:rsidP="00F52CBB">
      <w:pPr>
        <w:pStyle w:val="2"/>
        <w:rPr>
          <w:rFonts w:ascii="楷体" w:eastAsia="楷体" w:hAnsi="楷体" w:hint="eastAsia"/>
        </w:rPr>
      </w:pPr>
      <w:r w:rsidRPr="008F446E">
        <w:rPr>
          <w:rFonts w:ascii="楷体" w:eastAsia="楷体" w:hAnsi="楷体" w:hint="eastAsia"/>
        </w:rPr>
        <w:t xml:space="preserve">.1 </w:t>
      </w:r>
      <w:r w:rsidR="00C33770" w:rsidRPr="008F446E">
        <w:rPr>
          <w:rFonts w:ascii="楷体" w:eastAsia="楷体" w:hAnsi="楷体" w:hint="eastAsia"/>
        </w:rPr>
        <w:t>通信ETF华夏（515050.SH）</w:t>
      </w:r>
    </w:p>
    <w:p w14:paraId="0FB6D2E4" w14:textId="3507D543" w:rsidR="00F52CBB" w:rsidRPr="008F446E" w:rsidRDefault="00F52CBB" w:rsidP="00F52CBB">
      <w:pPr>
        <w:pStyle w:val="3"/>
        <w:rPr>
          <w:rFonts w:ascii="楷体" w:eastAsia="楷体" w:hAnsi="楷体" w:hint="eastAsia"/>
        </w:rPr>
      </w:pPr>
      <w:r w:rsidRPr="008F446E">
        <w:rPr>
          <w:rFonts w:ascii="楷体" w:eastAsia="楷体" w:hAnsi="楷体" w:hint="eastAsia"/>
        </w:rPr>
        <w:t>.1.1 概况</w:t>
      </w:r>
    </w:p>
    <w:p w14:paraId="123174A1" w14:textId="5B2F39B4" w:rsidR="00EA44A5" w:rsidRPr="008F446E" w:rsidRDefault="00EA44A5" w:rsidP="00EA44A5">
      <w:pPr>
        <w:pStyle w:val="af3"/>
        <w:rPr>
          <w:rFonts w:ascii="楷体" w:hAnsi="楷体" w:hint="eastAsia"/>
        </w:rPr>
      </w:pPr>
      <w:r w:rsidRPr="008F446E">
        <w:rPr>
          <w:rFonts w:ascii="楷体" w:hAnsi="楷体" w:hint="eastAsia"/>
        </w:rPr>
        <w:t>表：ETF基本信息（2025年</w:t>
      </w:r>
      <w:r w:rsidR="004F4E20" w:rsidRPr="008F446E">
        <w:rPr>
          <w:rFonts w:ascii="楷体" w:hAnsi="楷体" w:hint="eastAsia"/>
        </w:rPr>
        <w:t>4</w:t>
      </w:r>
      <w:r w:rsidRPr="008F446E">
        <w:rPr>
          <w:rFonts w:ascii="楷体" w:hAnsi="楷体" w:hint="eastAsia"/>
        </w:rPr>
        <w:t>月2</w:t>
      </w:r>
      <w:r w:rsidR="004F4E20" w:rsidRPr="008F446E">
        <w:rPr>
          <w:rFonts w:ascii="楷体" w:hAnsi="楷体" w:hint="eastAsia"/>
        </w:rPr>
        <w:t>1</w:t>
      </w:r>
      <w:r w:rsidRPr="008F446E">
        <w:rPr>
          <w:rFonts w:ascii="楷体" w:hAnsi="楷体" w:hint="eastAsia"/>
        </w:rPr>
        <w:t>日）</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82"/>
        <w:gridCol w:w="2766"/>
        <w:gridCol w:w="1384"/>
        <w:gridCol w:w="2764"/>
      </w:tblGrid>
      <w:tr w:rsidR="00EA44A5" w:rsidRPr="008F446E" w14:paraId="487A2951" w14:textId="77777777" w:rsidTr="006E42CE">
        <w:tc>
          <w:tcPr>
            <w:tcW w:w="833" w:type="pct"/>
            <w:tcMar>
              <w:top w:w="30" w:type="dxa"/>
              <w:left w:w="75" w:type="dxa"/>
              <w:bottom w:w="30" w:type="dxa"/>
              <w:right w:w="75" w:type="dxa"/>
            </w:tcMar>
            <w:vAlign w:val="center"/>
            <w:hideMark/>
          </w:tcPr>
          <w:p w14:paraId="0E540801" w14:textId="77777777" w:rsidR="00EA44A5" w:rsidRPr="008F446E" w:rsidRDefault="00EA44A5" w:rsidP="006E42CE">
            <w:pPr>
              <w:pStyle w:val="af3"/>
              <w:rPr>
                <w:rFonts w:ascii="楷体" w:hAnsi="楷体" w:hint="eastAsia"/>
              </w:rPr>
            </w:pPr>
            <w:r w:rsidRPr="008F446E">
              <w:rPr>
                <w:rFonts w:ascii="楷体" w:hAnsi="楷体" w:hint="eastAsia"/>
              </w:rPr>
              <w:t>基金全称</w:t>
            </w:r>
          </w:p>
        </w:tc>
        <w:tc>
          <w:tcPr>
            <w:tcW w:w="1667" w:type="pct"/>
            <w:tcMar>
              <w:top w:w="30" w:type="dxa"/>
              <w:left w:w="75" w:type="dxa"/>
              <w:bottom w:w="30" w:type="dxa"/>
              <w:right w:w="75" w:type="dxa"/>
            </w:tcMar>
            <w:vAlign w:val="center"/>
            <w:hideMark/>
          </w:tcPr>
          <w:p w14:paraId="48C3B4BA" w14:textId="2FAC92BE" w:rsidR="00EA44A5" w:rsidRPr="008F446E" w:rsidRDefault="0015546B" w:rsidP="006E42CE">
            <w:pPr>
              <w:pStyle w:val="af3"/>
              <w:rPr>
                <w:rFonts w:ascii="楷体" w:hAnsi="楷体" w:hint="eastAsia"/>
              </w:rPr>
            </w:pPr>
            <w:r w:rsidRPr="008F446E">
              <w:rPr>
                <w:rFonts w:ascii="楷体" w:hAnsi="楷体" w:hint="eastAsia"/>
              </w:rPr>
              <w:t>华夏中证5G通信主题交易型开放式指数证券投资基金</w:t>
            </w:r>
          </w:p>
        </w:tc>
        <w:tc>
          <w:tcPr>
            <w:tcW w:w="834" w:type="pct"/>
            <w:tcMar>
              <w:top w:w="30" w:type="dxa"/>
              <w:left w:w="75" w:type="dxa"/>
              <w:bottom w:w="30" w:type="dxa"/>
              <w:right w:w="75" w:type="dxa"/>
            </w:tcMar>
            <w:vAlign w:val="center"/>
            <w:hideMark/>
          </w:tcPr>
          <w:p w14:paraId="16F91D6A" w14:textId="77777777" w:rsidR="00EA44A5" w:rsidRPr="008F446E" w:rsidRDefault="00EA44A5" w:rsidP="006E42CE">
            <w:pPr>
              <w:pStyle w:val="af3"/>
              <w:rPr>
                <w:rFonts w:ascii="楷体" w:hAnsi="楷体" w:hint="eastAsia"/>
              </w:rPr>
            </w:pPr>
            <w:r w:rsidRPr="008F446E">
              <w:rPr>
                <w:rFonts w:ascii="楷体" w:hAnsi="楷体" w:hint="eastAsia"/>
              </w:rPr>
              <w:t>基金简称</w:t>
            </w:r>
          </w:p>
        </w:tc>
        <w:tc>
          <w:tcPr>
            <w:tcW w:w="1667" w:type="pct"/>
            <w:tcMar>
              <w:top w:w="30" w:type="dxa"/>
              <w:left w:w="75" w:type="dxa"/>
              <w:bottom w:w="30" w:type="dxa"/>
              <w:right w:w="75" w:type="dxa"/>
            </w:tcMar>
            <w:vAlign w:val="center"/>
            <w:hideMark/>
          </w:tcPr>
          <w:p w14:paraId="6DEA16D0" w14:textId="71F09854" w:rsidR="00EA44A5" w:rsidRPr="008F446E" w:rsidRDefault="0015546B" w:rsidP="006E42CE">
            <w:pPr>
              <w:pStyle w:val="af3"/>
              <w:rPr>
                <w:rFonts w:ascii="楷体" w:hAnsi="楷体" w:hint="eastAsia"/>
              </w:rPr>
            </w:pPr>
            <w:r w:rsidRPr="008F446E">
              <w:rPr>
                <w:rFonts w:ascii="楷体" w:hAnsi="楷体" w:hint="eastAsia"/>
              </w:rPr>
              <w:t>5GETF</w:t>
            </w:r>
          </w:p>
        </w:tc>
      </w:tr>
      <w:tr w:rsidR="00EA44A5" w:rsidRPr="008F446E" w14:paraId="2893D564" w14:textId="77777777" w:rsidTr="006E42CE">
        <w:tc>
          <w:tcPr>
            <w:tcW w:w="833" w:type="pct"/>
            <w:tcMar>
              <w:top w:w="30" w:type="dxa"/>
              <w:left w:w="75" w:type="dxa"/>
              <w:bottom w:w="30" w:type="dxa"/>
              <w:right w:w="75" w:type="dxa"/>
            </w:tcMar>
            <w:vAlign w:val="center"/>
            <w:hideMark/>
          </w:tcPr>
          <w:p w14:paraId="118FD6BB" w14:textId="77777777" w:rsidR="00EA44A5" w:rsidRPr="008F446E" w:rsidRDefault="00EA44A5" w:rsidP="006E42CE">
            <w:pPr>
              <w:pStyle w:val="af3"/>
              <w:rPr>
                <w:rFonts w:ascii="楷体" w:hAnsi="楷体" w:hint="eastAsia"/>
              </w:rPr>
            </w:pPr>
            <w:r w:rsidRPr="008F446E">
              <w:rPr>
                <w:rFonts w:ascii="楷体" w:hAnsi="楷体" w:hint="eastAsia"/>
              </w:rPr>
              <w:t>基金代码</w:t>
            </w:r>
          </w:p>
        </w:tc>
        <w:tc>
          <w:tcPr>
            <w:tcW w:w="1667" w:type="pct"/>
            <w:tcMar>
              <w:top w:w="30" w:type="dxa"/>
              <w:left w:w="75" w:type="dxa"/>
              <w:bottom w:w="30" w:type="dxa"/>
              <w:right w:w="75" w:type="dxa"/>
            </w:tcMar>
            <w:vAlign w:val="center"/>
            <w:hideMark/>
          </w:tcPr>
          <w:p w14:paraId="562D704A" w14:textId="0E39C0A7" w:rsidR="00EA44A5" w:rsidRPr="008F446E" w:rsidRDefault="00A0695D" w:rsidP="006E42CE">
            <w:pPr>
              <w:pStyle w:val="af3"/>
              <w:rPr>
                <w:rFonts w:ascii="楷体" w:hAnsi="楷体" w:hint="eastAsia"/>
              </w:rPr>
            </w:pPr>
            <w:r w:rsidRPr="008F446E">
              <w:rPr>
                <w:rFonts w:ascii="楷体" w:hAnsi="楷体" w:hint="eastAsia"/>
              </w:rPr>
              <w:t>515050</w:t>
            </w:r>
            <w:r w:rsidR="00EA44A5" w:rsidRPr="008F446E">
              <w:rPr>
                <w:rFonts w:ascii="楷体" w:hAnsi="楷体" w:hint="eastAsia"/>
              </w:rPr>
              <w:t>(主代码)</w:t>
            </w:r>
          </w:p>
        </w:tc>
        <w:tc>
          <w:tcPr>
            <w:tcW w:w="834" w:type="pct"/>
            <w:tcMar>
              <w:top w:w="30" w:type="dxa"/>
              <w:left w:w="75" w:type="dxa"/>
              <w:bottom w:w="30" w:type="dxa"/>
              <w:right w:w="75" w:type="dxa"/>
            </w:tcMar>
            <w:vAlign w:val="center"/>
            <w:hideMark/>
          </w:tcPr>
          <w:p w14:paraId="2839B51B" w14:textId="77777777" w:rsidR="00EA44A5" w:rsidRPr="008F446E" w:rsidRDefault="00EA44A5" w:rsidP="006E42CE">
            <w:pPr>
              <w:pStyle w:val="af3"/>
              <w:rPr>
                <w:rFonts w:ascii="楷体" w:hAnsi="楷体" w:hint="eastAsia"/>
              </w:rPr>
            </w:pPr>
            <w:r w:rsidRPr="008F446E">
              <w:rPr>
                <w:rFonts w:ascii="楷体" w:hAnsi="楷体" w:hint="eastAsia"/>
              </w:rPr>
              <w:t>基金类型</w:t>
            </w:r>
          </w:p>
        </w:tc>
        <w:tc>
          <w:tcPr>
            <w:tcW w:w="1667" w:type="pct"/>
            <w:tcMar>
              <w:top w:w="30" w:type="dxa"/>
              <w:left w:w="75" w:type="dxa"/>
              <w:bottom w:w="30" w:type="dxa"/>
              <w:right w:w="75" w:type="dxa"/>
            </w:tcMar>
            <w:vAlign w:val="center"/>
            <w:hideMark/>
          </w:tcPr>
          <w:p w14:paraId="48E587B4" w14:textId="6364EF92" w:rsidR="00EA44A5" w:rsidRPr="008F446E" w:rsidRDefault="0015546B" w:rsidP="006E42CE">
            <w:pPr>
              <w:pStyle w:val="af3"/>
              <w:rPr>
                <w:rFonts w:ascii="楷体" w:hAnsi="楷体" w:hint="eastAsia"/>
              </w:rPr>
            </w:pPr>
            <w:r w:rsidRPr="008F446E">
              <w:rPr>
                <w:rFonts w:ascii="楷体" w:hAnsi="楷体" w:hint="eastAsia"/>
              </w:rPr>
              <w:t>被动指数型股票基金</w:t>
            </w:r>
          </w:p>
        </w:tc>
      </w:tr>
      <w:tr w:rsidR="00EA44A5" w:rsidRPr="008F446E" w14:paraId="2D70EE69" w14:textId="77777777" w:rsidTr="006E42CE">
        <w:tc>
          <w:tcPr>
            <w:tcW w:w="833" w:type="pct"/>
            <w:tcMar>
              <w:top w:w="30" w:type="dxa"/>
              <w:left w:w="75" w:type="dxa"/>
              <w:bottom w:w="30" w:type="dxa"/>
              <w:right w:w="75" w:type="dxa"/>
            </w:tcMar>
            <w:vAlign w:val="center"/>
            <w:hideMark/>
          </w:tcPr>
          <w:p w14:paraId="4A6E1E5E" w14:textId="77777777" w:rsidR="00EA44A5" w:rsidRPr="008F446E" w:rsidRDefault="00EA44A5" w:rsidP="006E42CE">
            <w:pPr>
              <w:pStyle w:val="af3"/>
              <w:rPr>
                <w:rFonts w:ascii="楷体" w:hAnsi="楷体" w:hint="eastAsia"/>
              </w:rPr>
            </w:pPr>
            <w:r w:rsidRPr="008F446E">
              <w:rPr>
                <w:rFonts w:ascii="楷体" w:hAnsi="楷体" w:hint="eastAsia"/>
              </w:rPr>
              <w:t>发行日期</w:t>
            </w:r>
          </w:p>
        </w:tc>
        <w:tc>
          <w:tcPr>
            <w:tcW w:w="1667" w:type="pct"/>
            <w:tcMar>
              <w:top w:w="30" w:type="dxa"/>
              <w:left w:w="75" w:type="dxa"/>
              <w:bottom w:w="30" w:type="dxa"/>
              <w:right w:w="75" w:type="dxa"/>
            </w:tcMar>
            <w:vAlign w:val="center"/>
            <w:hideMark/>
          </w:tcPr>
          <w:p w14:paraId="7D8FC919" w14:textId="1426D766" w:rsidR="00EA44A5" w:rsidRPr="008F446E" w:rsidRDefault="00EA44A5" w:rsidP="006E42CE">
            <w:pPr>
              <w:pStyle w:val="af3"/>
              <w:rPr>
                <w:rFonts w:ascii="楷体" w:hAnsi="楷体" w:hint="eastAsia"/>
              </w:rPr>
            </w:pPr>
            <w:r w:rsidRPr="008F446E">
              <w:rPr>
                <w:rFonts w:ascii="楷体" w:hAnsi="楷体" w:hint="eastAsia"/>
              </w:rPr>
              <w:t>20</w:t>
            </w:r>
            <w:r w:rsidR="0015546B" w:rsidRPr="008F446E">
              <w:rPr>
                <w:rFonts w:ascii="楷体" w:hAnsi="楷体" w:hint="eastAsia"/>
              </w:rPr>
              <w:t>19</w:t>
            </w:r>
            <w:r w:rsidRPr="008F446E">
              <w:rPr>
                <w:rFonts w:ascii="楷体" w:hAnsi="楷体" w:hint="eastAsia"/>
              </w:rPr>
              <w:t>年</w:t>
            </w:r>
            <w:r w:rsidR="00DB01BD" w:rsidRPr="008F446E">
              <w:rPr>
                <w:rFonts w:ascii="楷体" w:hAnsi="楷体" w:hint="eastAsia"/>
              </w:rPr>
              <w:t>10</w:t>
            </w:r>
            <w:r w:rsidRPr="008F446E">
              <w:rPr>
                <w:rFonts w:ascii="楷体" w:hAnsi="楷体" w:hint="eastAsia"/>
              </w:rPr>
              <w:t>月</w:t>
            </w:r>
            <w:r w:rsidR="00DB01BD" w:rsidRPr="008F446E">
              <w:rPr>
                <w:rFonts w:ascii="楷体" w:hAnsi="楷体" w:hint="eastAsia"/>
              </w:rPr>
              <w:t>16</w:t>
            </w:r>
            <w:r w:rsidRPr="008F446E">
              <w:rPr>
                <w:rFonts w:ascii="楷体" w:hAnsi="楷体" w:hint="eastAsia"/>
              </w:rPr>
              <w:t>日</w:t>
            </w:r>
          </w:p>
        </w:tc>
        <w:tc>
          <w:tcPr>
            <w:tcW w:w="834" w:type="pct"/>
            <w:tcMar>
              <w:top w:w="30" w:type="dxa"/>
              <w:left w:w="75" w:type="dxa"/>
              <w:bottom w:w="30" w:type="dxa"/>
              <w:right w:w="75" w:type="dxa"/>
            </w:tcMar>
            <w:vAlign w:val="center"/>
            <w:hideMark/>
          </w:tcPr>
          <w:p w14:paraId="1022B2D4" w14:textId="77777777" w:rsidR="00EA44A5" w:rsidRPr="008F446E" w:rsidRDefault="00EA44A5" w:rsidP="006E42CE">
            <w:pPr>
              <w:pStyle w:val="af3"/>
              <w:rPr>
                <w:rFonts w:ascii="楷体" w:hAnsi="楷体" w:hint="eastAsia"/>
              </w:rPr>
            </w:pPr>
            <w:r w:rsidRPr="008F446E">
              <w:rPr>
                <w:rFonts w:ascii="楷体" w:hAnsi="楷体" w:hint="eastAsia"/>
              </w:rPr>
              <w:t>成立日期/规模</w:t>
            </w:r>
          </w:p>
        </w:tc>
        <w:tc>
          <w:tcPr>
            <w:tcW w:w="1667" w:type="pct"/>
            <w:tcMar>
              <w:top w:w="30" w:type="dxa"/>
              <w:left w:w="75" w:type="dxa"/>
              <w:bottom w:w="30" w:type="dxa"/>
              <w:right w:w="75" w:type="dxa"/>
            </w:tcMar>
            <w:vAlign w:val="center"/>
            <w:hideMark/>
          </w:tcPr>
          <w:p w14:paraId="1E33347A" w14:textId="2B79EB2C" w:rsidR="00EA44A5" w:rsidRPr="008F446E" w:rsidRDefault="00DB01BD" w:rsidP="006E42CE">
            <w:pPr>
              <w:pStyle w:val="af3"/>
              <w:rPr>
                <w:rFonts w:ascii="楷体" w:hAnsi="楷体" w:hint="eastAsia"/>
              </w:rPr>
            </w:pPr>
            <w:r w:rsidRPr="008F446E">
              <w:rPr>
                <w:rFonts w:ascii="楷体" w:hAnsi="楷体" w:hint="eastAsia"/>
              </w:rPr>
              <w:t>2019年9月17日</w:t>
            </w:r>
            <w:r w:rsidR="00EA44A5" w:rsidRPr="008F446E">
              <w:rPr>
                <w:rFonts w:ascii="楷体" w:hAnsi="楷体" w:hint="eastAsia"/>
              </w:rPr>
              <w:t>/</w:t>
            </w:r>
            <w:r w:rsidR="006777B0" w:rsidRPr="008F446E">
              <w:rPr>
                <w:rFonts w:ascii="楷体" w:hAnsi="楷体" w:hint="eastAsia"/>
              </w:rPr>
              <w:t>41.53</w:t>
            </w:r>
            <w:r w:rsidR="00EA44A5" w:rsidRPr="008F446E">
              <w:rPr>
                <w:rFonts w:ascii="楷体" w:hAnsi="楷体" w:hint="eastAsia"/>
              </w:rPr>
              <w:t>亿份</w:t>
            </w:r>
          </w:p>
        </w:tc>
      </w:tr>
      <w:tr w:rsidR="00EA44A5" w:rsidRPr="008F446E" w14:paraId="61C1EBC5" w14:textId="77777777" w:rsidTr="006E42CE">
        <w:tc>
          <w:tcPr>
            <w:tcW w:w="833" w:type="pct"/>
            <w:tcMar>
              <w:top w:w="30" w:type="dxa"/>
              <w:left w:w="75" w:type="dxa"/>
              <w:bottom w:w="30" w:type="dxa"/>
              <w:right w:w="75" w:type="dxa"/>
            </w:tcMar>
            <w:vAlign w:val="center"/>
            <w:hideMark/>
          </w:tcPr>
          <w:p w14:paraId="6076ED90" w14:textId="77777777" w:rsidR="00EA44A5" w:rsidRPr="008F446E" w:rsidRDefault="00EA44A5" w:rsidP="006E42CE">
            <w:pPr>
              <w:pStyle w:val="af3"/>
              <w:rPr>
                <w:rFonts w:ascii="楷体" w:hAnsi="楷体" w:hint="eastAsia"/>
              </w:rPr>
            </w:pPr>
            <w:r w:rsidRPr="008F446E">
              <w:rPr>
                <w:rFonts w:ascii="楷体" w:hAnsi="楷体" w:hint="eastAsia"/>
              </w:rPr>
              <w:t>资产规模</w:t>
            </w:r>
          </w:p>
        </w:tc>
        <w:tc>
          <w:tcPr>
            <w:tcW w:w="1667" w:type="pct"/>
            <w:tcMar>
              <w:top w:w="30" w:type="dxa"/>
              <w:left w:w="75" w:type="dxa"/>
              <w:bottom w:w="30" w:type="dxa"/>
              <w:right w:w="75" w:type="dxa"/>
            </w:tcMar>
            <w:vAlign w:val="center"/>
            <w:hideMark/>
          </w:tcPr>
          <w:p w14:paraId="4D8488B9" w14:textId="649E6CB3" w:rsidR="00EA44A5" w:rsidRPr="008F446E" w:rsidRDefault="00EA44A5" w:rsidP="006E42CE">
            <w:pPr>
              <w:pStyle w:val="af3"/>
              <w:rPr>
                <w:rFonts w:ascii="楷体" w:hAnsi="楷体" w:hint="eastAsia"/>
              </w:rPr>
            </w:pPr>
            <w:r w:rsidRPr="008F446E">
              <w:rPr>
                <w:rFonts w:ascii="楷体" w:hAnsi="楷体" w:hint="eastAsia"/>
              </w:rPr>
              <w:t>1</w:t>
            </w:r>
            <w:r w:rsidR="006E036B" w:rsidRPr="008F446E">
              <w:rPr>
                <w:rFonts w:ascii="楷体" w:hAnsi="楷体" w:hint="eastAsia"/>
              </w:rPr>
              <w:t>00.76</w:t>
            </w:r>
            <w:r w:rsidRPr="008F446E">
              <w:rPr>
                <w:rFonts w:ascii="楷体" w:hAnsi="楷体" w:hint="eastAsia"/>
              </w:rPr>
              <w:t>亿元/（截止至：202</w:t>
            </w:r>
            <w:r w:rsidR="006E036B" w:rsidRPr="008F446E">
              <w:rPr>
                <w:rFonts w:ascii="楷体" w:hAnsi="楷体" w:hint="eastAsia"/>
              </w:rPr>
              <w:t>6</w:t>
            </w:r>
            <w:r w:rsidRPr="008F446E">
              <w:rPr>
                <w:rFonts w:ascii="楷体" w:hAnsi="楷体" w:hint="eastAsia"/>
              </w:rPr>
              <w:t>年</w:t>
            </w:r>
            <w:r w:rsidR="006E036B" w:rsidRPr="008F446E">
              <w:rPr>
                <w:rFonts w:ascii="楷体" w:hAnsi="楷体" w:hint="eastAsia"/>
              </w:rPr>
              <w:t>04</w:t>
            </w:r>
            <w:r w:rsidRPr="008F446E">
              <w:rPr>
                <w:rFonts w:ascii="楷体" w:hAnsi="楷体" w:hint="eastAsia"/>
              </w:rPr>
              <w:t>月21日）</w:t>
            </w:r>
          </w:p>
        </w:tc>
        <w:tc>
          <w:tcPr>
            <w:tcW w:w="834" w:type="pct"/>
            <w:tcMar>
              <w:top w:w="30" w:type="dxa"/>
              <w:left w:w="75" w:type="dxa"/>
              <w:bottom w:w="30" w:type="dxa"/>
              <w:right w:w="75" w:type="dxa"/>
            </w:tcMar>
            <w:vAlign w:val="center"/>
            <w:hideMark/>
          </w:tcPr>
          <w:p w14:paraId="707E121F" w14:textId="77777777" w:rsidR="00EA44A5" w:rsidRPr="008F446E" w:rsidRDefault="00EA44A5" w:rsidP="006E42CE">
            <w:pPr>
              <w:pStyle w:val="af3"/>
              <w:rPr>
                <w:rFonts w:ascii="楷体" w:hAnsi="楷体" w:hint="eastAsia"/>
              </w:rPr>
            </w:pPr>
            <w:r w:rsidRPr="008F446E">
              <w:rPr>
                <w:rFonts w:ascii="楷体" w:hAnsi="楷体" w:hint="eastAsia"/>
              </w:rPr>
              <w:t>份额规模</w:t>
            </w:r>
          </w:p>
        </w:tc>
        <w:tc>
          <w:tcPr>
            <w:tcW w:w="1667" w:type="pct"/>
            <w:tcMar>
              <w:top w:w="30" w:type="dxa"/>
              <w:left w:w="75" w:type="dxa"/>
              <w:bottom w:w="30" w:type="dxa"/>
              <w:right w:w="75" w:type="dxa"/>
            </w:tcMar>
            <w:vAlign w:val="center"/>
            <w:hideMark/>
          </w:tcPr>
          <w:p w14:paraId="2F8A2533" w14:textId="12049A4A" w:rsidR="00EA44A5" w:rsidRPr="008F446E" w:rsidRDefault="006E036B" w:rsidP="006E42CE">
            <w:pPr>
              <w:pStyle w:val="af3"/>
              <w:rPr>
                <w:rFonts w:ascii="楷体" w:hAnsi="楷体" w:hint="eastAsia"/>
              </w:rPr>
            </w:pPr>
            <w:r w:rsidRPr="008F446E">
              <w:rPr>
                <w:rFonts w:ascii="楷体" w:hAnsi="楷体" w:hint="eastAsia"/>
              </w:rPr>
              <w:t>34.27</w:t>
            </w:r>
            <w:r w:rsidR="00EA44A5" w:rsidRPr="008F446E">
              <w:rPr>
                <w:rFonts w:ascii="楷体" w:hAnsi="楷体" w:hint="eastAsia"/>
              </w:rPr>
              <w:t>亿份/（截止至：202</w:t>
            </w:r>
            <w:r w:rsidRPr="008F446E">
              <w:rPr>
                <w:rFonts w:ascii="楷体" w:hAnsi="楷体" w:hint="eastAsia"/>
              </w:rPr>
              <w:t>6</w:t>
            </w:r>
            <w:r w:rsidR="00EA44A5" w:rsidRPr="008F446E">
              <w:rPr>
                <w:rFonts w:ascii="楷体" w:hAnsi="楷体" w:hint="eastAsia"/>
              </w:rPr>
              <w:t>年</w:t>
            </w:r>
            <w:r w:rsidRPr="008F446E">
              <w:rPr>
                <w:rFonts w:ascii="楷体" w:hAnsi="楷体" w:hint="eastAsia"/>
              </w:rPr>
              <w:t>04</w:t>
            </w:r>
            <w:r w:rsidR="00EA44A5" w:rsidRPr="008F446E">
              <w:rPr>
                <w:rFonts w:ascii="楷体" w:hAnsi="楷体" w:hint="eastAsia"/>
              </w:rPr>
              <w:t>月21日）</w:t>
            </w:r>
          </w:p>
        </w:tc>
      </w:tr>
      <w:tr w:rsidR="00EA44A5" w:rsidRPr="008F446E" w14:paraId="46670B85" w14:textId="77777777" w:rsidTr="006E42CE">
        <w:tc>
          <w:tcPr>
            <w:tcW w:w="833" w:type="pct"/>
            <w:tcMar>
              <w:top w:w="30" w:type="dxa"/>
              <w:left w:w="75" w:type="dxa"/>
              <w:bottom w:w="30" w:type="dxa"/>
              <w:right w:w="75" w:type="dxa"/>
            </w:tcMar>
            <w:vAlign w:val="center"/>
            <w:hideMark/>
          </w:tcPr>
          <w:p w14:paraId="677EC107" w14:textId="77777777" w:rsidR="00EA44A5" w:rsidRPr="008F446E" w:rsidRDefault="00EA44A5" w:rsidP="006E42CE">
            <w:pPr>
              <w:pStyle w:val="af3"/>
              <w:rPr>
                <w:rFonts w:ascii="楷体" w:hAnsi="楷体" w:hint="eastAsia"/>
              </w:rPr>
            </w:pPr>
            <w:r w:rsidRPr="008F446E">
              <w:rPr>
                <w:rFonts w:ascii="楷体" w:hAnsi="楷体" w:hint="eastAsia"/>
              </w:rPr>
              <w:t>基金管理人</w:t>
            </w:r>
          </w:p>
        </w:tc>
        <w:tc>
          <w:tcPr>
            <w:tcW w:w="1667" w:type="pct"/>
            <w:tcMar>
              <w:top w:w="30" w:type="dxa"/>
              <w:left w:w="75" w:type="dxa"/>
              <w:bottom w:w="30" w:type="dxa"/>
              <w:right w:w="75" w:type="dxa"/>
            </w:tcMar>
            <w:vAlign w:val="center"/>
            <w:hideMark/>
          </w:tcPr>
          <w:p w14:paraId="04C008EE" w14:textId="44303162" w:rsidR="00EA44A5" w:rsidRPr="008F446E" w:rsidRDefault="00DB01BD" w:rsidP="006E42CE">
            <w:pPr>
              <w:pStyle w:val="af3"/>
              <w:rPr>
                <w:rFonts w:ascii="楷体" w:hAnsi="楷体" w:hint="eastAsia"/>
              </w:rPr>
            </w:pPr>
            <w:r w:rsidRPr="008F446E">
              <w:rPr>
                <w:rFonts w:ascii="楷体" w:hAnsi="楷体" w:hint="eastAsia"/>
              </w:rPr>
              <w:t>华夏</w:t>
            </w:r>
            <w:r w:rsidR="00EA44A5" w:rsidRPr="008F446E">
              <w:rPr>
                <w:rFonts w:ascii="楷体" w:hAnsi="楷体" w:hint="eastAsia"/>
              </w:rPr>
              <w:t>基金</w:t>
            </w:r>
          </w:p>
        </w:tc>
        <w:tc>
          <w:tcPr>
            <w:tcW w:w="834" w:type="pct"/>
            <w:tcMar>
              <w:top w:w="30" w:type="dxa"/>
              <w:left w:w="75" w:type="dxa"/>
              <w:bottom w:w="30" w:type="dxa"/>
              <w:right w:w="75" w:type="dxa"/>
            </w:tcMar>
            <w:vAlign w:val="center"/>
            <w:hideMark/>
          </w:tcPr>
          <w:p w14:paraId="56234EB4" w14:textId="77777777" w:rsidR="00EA44A5" w:rsidRPr="008F446E" w:rsidRDefault="00EA44A5" w:rsidP="006E42CE">
            <w:pPr>
              <w:pStyle w:val="af3"/>
              <w:rPr>
                <w:rFonts w:ascii="楷体" w:hAnsi="楷体" w:hint="eastAsia"/>
              </w:rPr>
            </w:pPr>
            <w:r w:rsidRPr="008F446E">
              <w:rPr>
                <w:rFonts w:ascii="楷体" w:hAnsi="楷体" w:hint="eastAsia"/>
              </w:rPr>
              <w:t>基金托管人</w:t>
            </w:r>
          </w:p>
        </w:tc>
        <w:tc>
          <w:tcPr>
            <w:tcW w:w="1667" w:type="pct"/>
            <w:tcMar>
              <w:top w:w="30" w:type="dxa"/>
              <w:left w:w="75" w:type="dxa"/>
              <w:bottom w:w="30" w:type="dxa"/>
              <w:right w:w="75" w:type="dxa"/>
            </w:tcMar>
            <w:vAlign w:val="center"/>
            <w:hideMark/>
          </w:tcPr>
          <w:p w14:paraId="238F2ABB" w14:textId="709AEFE0" w:rsidR="00EA44A5" w:rsidRPr="008F446E" w:rsidRDefault="00DB01BD" w:rsidP="006E42CE">
            <w:pPr>
              <w:pStyle w:val="af3"/>
              <w:rPr>
                <w:rFonts w:ascii="楷体" w:hAnsi="楷体" w:hint="eastAsia"/>
              </w:rPr>
            </w:pPr>
            <w:r w:rsidRPr="008F446E">
              <w:rPr>
                <w:rFonts w:ascii="楷体" w:hAnsi="楷体" w:hint="eastAsia"/>
              </w:rPr>
              <w:t>中国</w:t>
            </w:r>
            <w:r w:rsidR="00EA44A5" w:rsidRPr="008F446E">
              <w:rPr>
                <w:rFonts w:ascii="楷体" w:hAnsi="楷体" w:hint="eastAsia"/>
              </w:rPr>
              <w:t>银行</w:t>
            </w:r>
          </w:p>
        </w:tc>
      </w:tr>
      <w:tr w:rsidR="00EA44A5" w:rsidRPr="008F446E" w14:paraId="0394021A" w14:textId="77777777" w:rsidTr="006E42CE">
        <w:tc>
          <w:tcPr>
            <w:tcW w:w="833" w:type="pct"/>
            <w:tcMar>
              <w:top w:w="30" w:type="dxa"/>
              <w:left w:w="75" w:type="dxa"/>
              <w:bottom w:w="30" w:type="dxa"/>
              <w:right w:w="75" w:type="dxa"/>
            </w:tcMar>
            <w:vAlign w:val="center"/>
            <w:hideMark/>
          </w:tcPr>
          <w:p w14:paraId="7A31C102" w14:textId="77777777" w:rsidR="00EA44A5" w:rsidRPr="008F446E" w:rsidRDefault="00EA44A5" w:rsidP="006E42CE">
            <w:pPr>
              <w:pStyle w:val="af3"/>
              <w:rPr>
                <w:rFonts w:ascii="楷体" w:hAnsi="楷体" w:hint="eastAsia"/>
              </w:rPr>
            </w:pPr>
            <w:r w:rsidRPr="008F446E">
              <w:rPr>
                <w:rFonts w:ascii="楷体" w:hAnsi="楷体" w:hint="eastAsia"/>
              </w:rPr>
              <w:t>基金经理人</w:t>
            </w:r>
          </w:p>
        </w:tc>
        <w:tc>
          <w:tcPr>
            <w:tcW w:w="1667" w:type="pct"/>
            <w:tcMar>
              <w:top w:w="30" w:type="dxa"/>
              <w:left w:w="75" w:type="dxa"/>
              <w:bottom w:w="30" w:type="dxa"/>
              <w:right w:w="75" w:type="dxa"/>
            </w:tcMar>
            <w:vAlign w:val="center"/>
            <w:hideMark/>
          </w:tcPr>
          <w:p w14:paraId="61C665CE" w14:textId="37FB33A5" w:rsidR="00EA44A5" w:rsidRPr="008F446E" w:rsidRDefault="00324209" w:rsidP="006E42CE">
            <w:pPr>
              <w:pStyle w:val="af3"/>
              <w:rPr>
                <w:rFonts w:ascii="楷体" w:hAnsi="楷体" w:hint="eastAsia"/>
              </w:rPr>
            </w:pPr>
            <w:r w:rsidRPr="008F446E">
              <w:rPr>
                <w:rFonts w:ascii="楷体" w:hAnsi="楷体" w:hint="eastAsia"/>
              </w:rPr>
              <w:t>李俊</w:t>
            </w:r>
          </w:p>
        </w:tc>
        <w:tc>
          <w:tcPr>
            <w:tcW w:w="834" w:type="pct"/>
            <w:tcMar>
              <w:top w:w="30" w:type="dxa"/>
              <w:left w:w="75" w:type="dxa"/>
              <w:bottom w:w="30" w:type="dxa"/>
              <w:right w:w="75" w:type="dxa"/>
            </w:tcMar>
            <w:vAlign w:val="center"/>
            <w:hideMark/>
          </w:tcPr>
          <w:p w14:paraId="133C8840" w14:textId="77777777" w:rsidR="00EA44A5" w:rsidRPr="008F446E" w:rsidRDefault="00EA44A5" w:rsidP="006E42CE">
            <w:pPr>
              <w:pStyle w:val="af3"/>
              <w:rPr>
                <w:rFonts w:ascii="楷体" w:hAnsi="楷体" w:hint="eastAsia"/>
              </w:rPr>
            </w:pPr>
            <w:r w:rsidRPr="008F446E">
              <w:rPr>
                <w:rFonts w:ascii="楷体" w:hAnsi="楷体" w:hint="eastAsia"/>
              </w:rPr>
              <w:t>成立来分红</w:t>
            </w:r>
          </w:p>
        </w:tc>
        <w:tc>
          <w:tcPr>
            <w:tcW w:w="1667" w:type="pct"/>
            <w:tcMar>
              <w:top w:w="30" w:type="dxa"/>
              <w:left w:w="75" w:type="dxa"/>
              <w:bottom w:w="30" w:type="dxa"/>
              <w:right w:w="75" w:type="dxa"/>
            </w:tcMar>
            <w:vAlign w:val="center"/>
            <w:hideMark/>
          </w:tcPr>
          <w:p w14:paraId="1443AEC2" w14:textId="77777777" w:rsidR="00EA44A5" w:rsidRPr="008F446E" w:rsidRDefault="00EA44A5" w:rsidP="006E42CE">
            <w:pPr>
              <w:pStyle w:val="af3"/>
              <w:rPr>
                <w:rFonts w:ascii="楷体" w:hAnsi="楷体" w:hint="eastAsia"/>
              </w:rPr>
            </w:pPr>
            <w:r w:rsidRPr="008F446E">
              <w:rPr>
                <w:rFonts w:ascii="楷体" w:hAnsi="楷体" w:hint="eastAsia"/>
              </w:rPr>
              <w:t>*</w:t>
            </w:r>
          </w:p>
        </w:tc>
      </w:tr>
      <w:tr w:rsidR="00EA44A5" w:rsidRPr="008F446E" w14:paraId="3F0293F7" w14:textId="77777777" w:rsidTr="006E42CE">
        <w:tc>
          <w:tcPr>
            <w:tcW w:w="833" w:type="pct"/>
            <w:tcMar>
              <w:top w:w="30" w:type="dxa"/>
              <w:left w:w="75" w:type="dxa"/>
              <w:bottom w:w="30" w:type="dxa"/>
              <w:right w:w="75" w:type="dxa"/>
            </w:tcMar>
            <w:vAlign w:val="center"/>
            <w:hideMark/>
          </w:tcPr>
          <w:p w14:paraId="602146B5" w14:textId="77777777" w:rsidR="00EA44A5" w:rsidRPr="008F446E" w:rsidRDefault="00EA44A5" w:rsidP="006E42CE">
            <w:pPr>
              <w:pStyle w:val="af3"/>
              <w:rPr>
                <w:rFonts w:ascii="楷体" w:hAnsi="楷体" w:hint="eastAsia"/>
              </w:rPr>
            </w:pPr>
            <w:r w:rsidRPr="008F446E">
              <w:rPr>
                <w:rFonts w:ascii="楷体" w:hAnsi="楷体" w:hint="eastAsia"/>
              </w:rPr>
              <w:t>管理费率</w:t>
            </w:r>
          </w:p>
        </w:tc>
        <w:tc>
          <w:tcPr>
            <w:tcW w:w="1667" w:type="pct"/>
            <w:tcMar>
              <w:top w:w="30" w:type="dxa"/>
              <w:left w:w="75" w:type="dxa"/>
              <w:bottom w:w="30" w:type="dxa"/>
              <w:right w:w="75" w:type="dxa"/>
            </w:tcMar>
            <w:vAlign w:val="center"/>
            <w:hideMark/>
          </w:tcPr>
          <w:p w14:paraId="77A26E7C" w14:textId="77777777" w:rsidR="00EA44A5" w:rsidRPr="008F446E" w:rsidRDefault="00EA44A5" w:rsidP="006E42CE">
            <w:pPr>
              <w:pStyle w:val="af3"/>
              <w:rPr>
                <w:rFonts w:ascii="楷体" w:hAnsi="楷体" w:hint="eastAsia"/>
              </w:rPr>
            </w:pPr>
            <w:r w:rsidRPr="008F446E">
              <w:rPr>
                <w:rFonts w:ascii="楷体" w:hAnsi="楷体" w:hint="eastAsia"/>
              </w:rPr>
              <w:t>0.50%（每年）</w:t>
            </w:r>
          </w:p>
        </w:tc>
        <w:tc>
          <w:tcPr>
            <w:tcW w:w="834" w:type="pct"/>
            <w:tcMar>
              <w:top w:w="30" w:type="dxa"/>
              <w:left w:w="75" w:type="dxa"/>
              <w:bottom w:w="30" w:type="dxa"/>
              <w:right w:w="75" w:type="dxa"/>
            </w:tcMar>
            <w:vAlign w:val="center"/>
            <w:hideMark/>
          </w:tcPr>
          <w:p w14:paraId="2D7577FE" w14:textId="77777777" w:rsidR="00EA44A5" w:rsidRPr="008F446E" w:rsidRDefault="00EA44A5" w:rsidP="006E42CE">
            <w:pPr>
              <w:pStyle w:val="af3"/>
              <w:rPr>
                <w:rFonts w:ascii="楷体" w:hAnsi="楷体" w:hint="eastAsia"/>
              </w:rPr>
            </w:pPr>
            <w:r w:rsidRPr="008F446E">
              <w:rPr>
                <w:rFonts w:ascii="楷体" w:hAnsi="楷体" w:hint="eastAsia"/>
              </w:rPr>
              <w:t>托管费率</w:t>
            </w:r>
          </w:p>
        </w:tc>
        <w:tc>
          <w:tcPr>
            <w:tcW w:w="1667" w:type="pct"/>
            <w:tcMar>
              <w:top w:w="30" w:type="dxa"/>
              <w:left w:w="75" w:type="dxa"/>
              <w:bottom w:w="30" w:type="dxa"/>
              <w:right w:w="75" w:type="dxa"/>
            </w:tcMar>
            <w:vAlign w:val="center"/>
            <w:hideMark/>
          </w:tcPr>
          <w:p w14:paraId="0E892950" w14:textId="77777777" w:rsidR="00EA44A5" w:rsidRPr="008F446E" w:rsidRDefault="00EA44A5" w:rsidP="006E42CE">
            <w:pPr>
              <w:pStyle w:val="af3"/>
              <w:rPr>
                <w:rFonts w:ascii="楷体" w:hAnsi="楷体" w:hint="eastAsia"/>
              </w:rPr>
            </w:pPr>
            <w:r w:rsidRPr="008F446E">
              <w:rPr>
                <w:rFonts w:ascii="楷体" w:hAnsi="楷体" w:hint="eastAsia"/>
              </w:rPr>
              <w:t>0.10%（每年）</w:t>
            </w:r>
          </w:p>
        </w:tc>
      </w:tr>
      <w:tr w:rsidR="00EA44A5" w:rsidRPr="008F446E" w14:paraId="55FD2099" w14:textId="77777777" w:rsidTr="006E42CE">
        <w:tc>
          <w:tcPr>
            <w:tcW w:w="833" w:type="pct"/>
            <w:tcMar>
              <w:top w:w="30" w:type="dxa"/>
              <w:left w:w="75" w:type="dxa"/>
              <w:bottom w:w="30" w:type="dxa"/>
              <w:right w:w="75" w:type="dxa"/>
            </w:tcMar>
            <w:vAlign w:val="center"/>
            <w:hideMark/>
          </w:tcPr>
          <w:p w14:paraId="60F34385" w14:textId="77777777" w:rsidR="00EA44A5" w:rsidRPr="008F446E" w:rsidRDefault="00EA44A5" w:rsidP="006E42CE">
            <w:pPr>
              <w:pStyle w:val="af3"/>
              <w:rPr>
                <w:rFonts w:ascii="楷体" w:hAnsi="楷体" w:hint="eastAsia"/>
              </w:rPr>
            </w:pPr>
            <w:r w:rsidRPr="008F446E">
              <w:rPr>
                <w:rFonts w:ascii="楷体" w:hAnsi="楷体" w:hint="eastAsia"/>
              </w:rPr>
              <w:t>销售服务费率</w:t>
            </w:r>
          </w:p>
        </w:tc>
        <w:tc>
          <w:tcPr>
            <w:tcW w:w="1667" w:type="pct"/>
            <w:tcMar>
              <w:top w:w="30" w:type="dxa"/>
              <w:left w:w="75" w:type="dxa"/>
              <w:bottom w:w="30" w:type="dxa"/>
              <w:right w:w="75" w:type="dxa"/>
            </w:tcMar>
            <w:vAlign w:val="center"/>
            <w:hideMark/>
          </w:tcPr>
          <w:p w14:paraId="6F722885" w14:textId="77777777" w:rsidR="00EA44A5" w:rsidRPr="008F446E" w:rsidRDefault="00EA44A5" w:rsidP="006E42CE">
            <w:pPr>
              <w:pStyle w:val="af3"/>
              <w:rPr>
                <w:rFonts w:ascii="楷体" w:hAnsi="楷体" w:hint="eastAsia"/>
              </w:rPr>
            </w:pPr>
            <w:r w:rsidRPr="008F446E">
              <w:rPr>
                <w:rFonts w:ascii="楷体" w:hAnsi="楷体" w:hint="eastAsia"/>
              </w:rPr>
              <w:t>--（每年）</w:t>
            </w:r>
          </w:p>
        </w:tc>
        <w:tc>
          <w:tcPr>
            <w:tcW w:w="834" w:type="pct"/>
            <w:tcMar>
              <w:top w:w="30" w:type="dxa"/>
              <w:left w:w="75" w:type="dxa"/>
              <w:bottom w:w="30" w:type="dxa"/>
              <w:right w:w="75" w:type="dxa"/>
            </w:tcMar>
            <w:vAlign w:val="center"/>
            <w:hideMark/>
          </w:tcPr>
          <w:p w14:paraId="0989630A" w14:textId="77777777" w:rsidR="00EA44A5" w:rsidRPr="008F446E" w:rsidRDefault="00EA44A5" w:rsidP="006E42CE">
            <w:pPr>
              <w:pStyle w:val="af3"/>
              <w:rPr>
                <w:rFonts w:ascii="楷体" w:hAnsi="楷体" w:hint="eastAsia"/>
              </w:rPr>
            </w:pPr>
            <w:r w:rsidRPr="008F446E">
              <w:rPr>
                <w:rFonts w:ascii="楷体" w:hAnsi="楷体" w:hint="eastAsia"/>
              </w:rPr>
              <w:t>跟踪标的</w:t>
            </w:r>
          </w:p>
        </w:tc>
        <w:tc>
          <w:tcPr>
            <w:tcW w:w="1667" w:type="pct"/>
            <w:tcMar>
              <w:top w:w="30" w:type="dxa"/>
              <w:left w:w="75" w:type="dxa"/>
              <w:bottom w:w="30" w:type="dxa"/>
              <w:right w:w="75" w:type="dxa"/>
            </w:tcMar>
            <w:vAlign w:val="center"/>
            <w:hideMark/>
          </w:tcPr>
          <w:p w14:paraId="76A93FAF" w14:textId="77777777" w:rsidR="00EA44A5" w:rsidRPr="008F446E" w:rsidRDefault="00EA44A5" w:rsidP="006E42CE">
            <w:pPr>
              <w:pStyle w:val="af3"/>
              <w:rPr>
                <w:rFonts w:ascii="楷体" w:hAnsi="楷体" w:hint="eastAsia"/>
              </w:rPr>
            </w:pPr>
            <w:r w:rsidRPr="008F446E">
              <w:rPr>
                <w:rFonts w:ascii="楷体" w:hAnsi="楷体" w:hint="eastAsia"/>
              </w:rPr>
              <w:t>新能电池</w:t>
            </w:r>
          </w:p>
        </w:tc>
      </w:tr>
      <w:tr w:rsidR="00EA44A5" w:rsidRPr="008F446E" w14:paraId="536011C2" w14:textId="77777777" w:rsidTr="006E42CE">
        <w:tc>
          <w:tcPr>
            <w:tcW w:w="833" w:type="pct"/>
            <w:tcMar>
              <w:top w:w="30" w:type="dxa"/>
              <w:left w:w="75" w:type="dxa"/>
              <w:bottom w:w="30" w:type="dxa"/>
              <w:right w:w="75" w:type="dxa"/>
            </w:tcMar>
            <w:vAlign w:val="center"/>
            <w:hideMark/>
          </w:tcPr>
          <w:p w14:paraId="6AD86984" w14:textId="77777777" w:rsidR="00EA44A5" w:rsidRPr="008F446E" w:rsidRDefault="00EA44A5" w:rsidP="006E42CE">
            <w:pPr>
              <w:pStyle w:val="af3"/>
              <w:rPr>
                <w:rFonts w:ascii="楷体" w:hAnsi="楷体" w:hint="eastAsia"/>
              </w:rPr>
            </w:pPr>
            <w:r w:rsidRPr="008F446E">
              <w:rPr>
                <w:rFonts w:ascii="楷体" w:hAnsi="楷体" w:hint="eastAsia"/>
              </w:rPr>
              <w:t>业绩比较基准</w:t>
            </w:r>
          </w:p>
        </w:tc>
        <w:tc>
          <w:tcPr>
            <w:tcW w:w="4167" w:type="pct"/>
            <w:gridSpan w:val="3"/>
            <w:tcMar>
              <w:top w:w="30" w:type="dxa"/>
              <w:left w:w="75" w:type="dxa"/>
              <w:bottom w:w="30" w:type="dxa"/>
              <w:right w:w="75" w:type="dxa"/>
            </w:tcMar>
            <w:vAlign w:val="center"/>
            <w:hideMark/>
          </w:tcPr>
          <w:p w14:paraId="0B54E84A" w14:textId="3C9E3FCF" w:rsidR="00EA44A5" w:rsidRPr="008F446E" w:rsidRDefault="005E7E4C" w:rsidP="006E42CE">
            <w:pPr>
              <w:pStyle w:val="af3"/>
              <w:rPr>
                <w:rFonts w:ascii="楷体" w:hAnsi="楷体" w:hint="eastAsia"/>
              </w:rPr>
            </w:pPr>
            <w:r w:rsidRPr="008F446E">
              <w:rPr>
                <w:rFonts w:ascii="楷体" w:hAnsi="楷体" w:hint="eastAsia"/>
              </w:rPr>
              <w:t>中证5G通信主题指数</w:t>
            </w:r>
          </w:p>
        </w:tc>
      </w:tr>
    </w:tbl>
    <w:p w14:paraId="27962621" w14:textId="77777777" w:rsidR="00EA44A5" w:rsidRPr="008F446E" w:rsidRDefault="00EA44A5" w:rsidP="00EA44A5">
      <w:pPr>
        <w:ind w:firstLine="560"/>
        <w:rPr>
          <w:rFonts w:ascii="楷体" w:eastAsia="楷体" w:hAnsi="楷体" w:hint="eastAsia"/>
        </w:rPr>
      </w:pPr>
    </w:p>
    <w:p w14:paraId="5E01D693" w14:textId="7CD36B6F" w:rsidR="000114B0" w:rsidRPr="008F446E" w:rsidRDefault="00F52CBB" w:rsidP="00C65C43">
      <w:pPr>
        <w:pStyle w:val="3"/>
        <w:rPr>
          <w:rFonts w:ascii="楷体" w:eastAsia="楷体" w:hAnsi="楷体" w:hint="eastAsia"/>
        </w:rPr>
      </w:pPr>
      <w:r w:rsidRPr="008F446E">
        <w:rPr>
          <w:rFonts w:ascii="楷体" w:eastAsia="楷体" w:hAnsi="楷体" w:hint="eastAsia"/>
        </w:rPr>
        <w:t>.1.2 投资范围及策略</w:t>
      </w:r>
    </w:p>
    <w:p w14:paraId="209C92B7" w14:textId="6BEBF569" w:rsidR="00C65C43" w:rsidRPr="008F446E" w:rsidRDefault="00C65C43" w:rsidP="00CE539B">
      <w:pPr>
        <w:rPr>
          <w:rFonts w:ascii="楷体" w:eastAsia="楷体" w:hAnsi="楷体" w:hint="eastAsia"/>
        </w:rPr>
      </w:pPr>
      <w:r w:rsidRPr="008F446E">
        <w:rPr>
          <w:rFonts w:ascii="楷体" w:eastAsia="楷体" w:hAnsi="楷体" w:hint="eastAsia"/>
        </w:rPr>
        <w:t>本基金主要采取复制法，即按照标的指数成份股及其权重构建基金的股票投资组合，并根据标的指数成份股及其权重的变动对股票投资组合进行相应地调整。</w:t>
      </w:r>
    </w:p>
    <w:tbl>
      <w:tblPr>
        <w:tblStyle w:val="af2"/>
        <w:tblW w:w="9215" w:type="dxa"/>
        <w:tblInd w:w="-431" w:type="dxa"/>
        <w:tblLook w:val="04A0" w:firstRow="1" w:lastRow="0" w:firstColumn="1" w:lastColumn="0" w:noHBand="0" w:noVBand="1"/>
      </w:tblPr>
      <w:tblGrid>
        <w:gridCol w:w="1277"/>
        <w:gridCol w:w="1276"/>
        <w:gridCol w:w="1275"/>
        <w:gridCol w:w="5387"/>
      </w:tblGrid>
      <w:tr w:rsidR="00921D9A" w:rsidRPr="008F446E" w14:paraId="4EFC0E55" w14:textId="77777777" w:rsidTr="00921D9A">
        <w:trPr>
          <w:trHeight w:val="402"/>
        </w:trPr>
        <w:tc>
          <w:tcPr>
            <w:tcW w:w="1277" w:type="dxa"/>
            <w:noWrap/>
            <w:hideMark/>
          </w:tcPr>
          <w:p w14:paraId="12D3D60C" w14:textId="77777777" w:rsidR="00921D9A" w:rsidRPr="008F446E" w:rsidRDefault="00921D9A" w:rsidP="00921D9A">
            <w:pPr>
              <w:rPr>
                <w:rFonts w:ascii="楷体" w:eastAsia="楷体" w:hAnsi="楷体" w:hint="eastAsia"/>
                <w:b/>
                <w:bCs/>
              </w:rPr>
            </w:pPr>
            <w:r w:rsidRPr="008F446E">
              <w:rPr>
                <w:rFonts w:ascii="楷体" w:eastAsia="楷体" w:hAnsi="楷体" w:hint="eastAsia"/>
                <w:b/>
                <w:bCs/>
              </w:rPr>
              <w:t>证券代码</w:t>
            </w:r>
          </w:p>
        </w:tc>
        <w:tc>
          <w:tcPr>
            <w:tcW w:w="1276" w:type="dxa"/>
            <w:noWrap/>
            <w:hideMark/>
          </w:tcPr>
          <w:p w14:paraId="63C748B3" w14:textId="77777777" w:rsidR="00921D9A" w:rsidRPr="008F446E" w:rsidRDefault="00921D9A">
            <w:pPr>
              <w:rPr>
                <w:rFonts w:ascii="楷体" w:eastAsia="楷体" w:hAnsi="楷体" w:hint="eastAsia"/>
                <w:b/>
                <w:bCs/>
              </w:rPr>
            </w:pPr>
            <w:r w:rsidRPr="008F446E">
              <w:rPr>
                <w:rFonts w:ascii="楷体" w:eastAsia="楷体" w:hAnsi="楷体" w:hint="eastAsia"/>
                <w:b/>
                <w:bCs/>
              </w:rPr>
              <w:t>证券简称</w:t>
            </w:r>
          </w:p>
        </w:tc>
        <w:tc>
          <w:tcPr>
            <w:tcW w:w="1275" w:type="dxa"/>
            <w:noWrap/>
            <w:hideMark/>
          </w:tcPr>
          <w:p w14:paraId="6F3CD9A9" w14:textId="77777777" w:rsidR="00921D9A" w:rsidRPr="008F446E" w:rsidRDefault="00921D9A">
            <w:pPr>
              <w:rPr>
                <w:rFonts w:ascii="楷体" w:eastAsia="楷体" w:hAnsi="楷体" w:hint="eastAsia"/>
                <w:b/>
                <w:bCs/>
              </w:rPr>
            </w:pPr>
            <w:r w:rsidRPr="008F446E">
              <w:rPr>
                <w:rFonts w:ascii="楷体" w:eastAsia="楷体" w:hAnsi="楷体" w:hint="eastAsia"/>
                <w:b/>
                <w:bCs/>
              </w:rPr>
              <w:t>占基金净值比(%)</w:t>
            </w:r>
          </w:p>
        </w:tc>
        <w:tc>
          <w:tcPr>
            <w:tcW w:w="5387" w:type="dxa"/>
            <w:hideMark/>
          </w:tcPr>
          <w:p w14:paraId="0C77120C" w14:textId="77777777" w:rsidR="00921D9A" w:rsidRPr="008F446E" w:rsidRDefault="00921D9A">
            <w:pPr>
              <w:rPr>
                <w:rFonts w:ascii="楷体" w:eastAsia="楷体" w:hAnsi="楷体" w:hint="eastAsia"/>
                <w:b/>
                <w:bCs/>
              </w:rPr>
            </w:pPr>
            <w:r w:rsidRPr="008F446E">
              <w:rPr>
                <w:rFonts w:ascii="楷体" w:eastAsia="楷体" w:hAnsi="楷体" w:hint="eastAsia"/>
                <w:b/>
                <w:bCs/>
              </w:rPr>
              <w:t>简介</w:t>
            </w:r>
          </w:p>
        </w:tc>
      </w:tr>
      <w:tr w:rsidR="00921D9A" w:rsidRPr="008F446E" w14:paraId="1155E683" w14:textId="77777777" w:rsidTr="00921D9A">
        <w:trPr>
          <w:trHeight w:val="855"/>
        </w:trPr>
        <w:tc>
          <w:tcPr>
            <w:tcW w:w="1277" w:type="dxa"/>
            <w:noWrap/>
            <w:hideMark/>
          </w:tcPr>
          <w:p w14:paraId="36BEA0A8" w14:textId="77777777" w:rsidR="00921D9A" w:rsidRPr="008F446E" w:rsidRDefault="00921D9A" w:rsidP="00921D9A">
            <w:pPr>
              <w:rPr>
                <w:rFonts w:ascii="楷体" w:eastAsia="楷体" w:hAnsi="楷体" w:hint="eastAsia"/>
              </w:rPr>
            </w:pPr>
            <w:r w:rsidRPr="008F446E">
              <w:rPr>
                <w:rFonts w:ascii="楷体" w:eastAsia="楷体" w:hAnsi="楷体" w:hint="eastAsia"/>
              </w:rPr>
              <w:lastRenderedPageBreak/>
              <w:t>300502.SZ</w:t>
            </w:r>
          </w:p>
        </w:tc>
        <w:tc>
          <w:tcPr>
            <w:tcW w:w="1276" w:type="dxa"/>
            <w:noWrap/>
            <w:hideMark/>
          </w:tcPr>
          <w:p w14:paraId="4A261556" w14:textId="77777777" w:rsidR="00921D9A" w:rsidRPr="008F446E" w:rsidRDefault="00921D9A" w:rsidP="00921D9A">
            <w:pPr>
              <w:rPr>
                <w:rFonts w:ascii="楷体" w:eastAsia="楷体" w:hAnsi="楷体" w:hint="eastAsia"/>
              </w:rPr>
            </w:pPr>
            <w:r w:rsidRPr="008F446E">
              <w:rPr>
                <w:rFonts w:ascii="楷体" w:eastAsia="楷体" w:hAnsi="楷体" w:hint="eastAsia"/>
              </w:rPr>
              <w:t>新易盛</w:t>
            </w:r>
          </w:p>
        </w:tc>
        <w:tc>
          <w:tcPr>
            <w:tcW w:w="1275" w:type="dxa"/>
            <w:noWrap/>
            <w:hideMark/>
          </w:tcPr>
          <w:p w14:paraId="320D68F2" w14:textId="77777777" w:rsidR="00921D9A" w:rsidRPr="008F446E" w:rsidRDefault="00921D9A" w:rsidP="00921D9A">
            <w:pPr>
              <w:rPr>
                <w:rFonts w:ascii="楷体" w:eastAsia="楷体" w:hAnsi="楷体" w:hint="eastAsia"/>
              </w:rPr>
            </w:pPr>
            <w:r w:rsidRPr="008F446E">
              <w:rPr>
                <w:rFonts w:ascii="楷体" w:eastAsia="楷体" w:hAnsi="楷体" w:hint="eastAsia"/>
              </w:rPr>
              <w:t>10.29</w:t>
            </w:r>
          </w:p>
        </w:tc>
        <w:tc>
          <w:tcPr>
            <w:tcW w:w="5387" w:type="dxa"/>
            <w:hideMark/>
          </w:tcPr>
          <w:p w14:paraId="477FEA8C" w14:textId="77777777" w:rsidR="00921D9A" w:rsidRPr="008F446E" w:rsidRDefault="00921D9A">
            <w:pPr>
              <w:rPr>
                <w:rFonts w:ascii="楷体" w:eastAsia="楷体" w:hAnsi="楷体" w:hint="eastAsia"/>
              </w:rPr>
            </w:pPr>
            <w:r w:rsidRPr="008F446E">
              <w:rPr>
                <w:rFonts w:ascii="楷体" w:eastAsia="楷体" w:hAnsi="楷体" w:hint="eastAsia"/>
              </w:rPr>
              <w:t>国内光模块核心供应商之一，深度布局 800G/1.6T 高速光模块，在硅光及 LPO（线性驱动可插拔光学）技术路线具备先发优势。客户覆盖北美云厂商及国内互联网巨头，受益于 AI 算力基础设施扩容，高速产品占比持续提升，盈利能力行业领先。</w:t>
            </w:r>
          </w:p>
        </w:tc>
      </w:tr>
      <w:tr w:rsidR="00921D9A" w:rsidRPr="008F446E" w14:paraId="007251FC" w14:textId="77777777" w:rsidTr="00921D9A">
        <w:trPr>
          <w:trHeight w:val="855"/>
        </w:trPr>
        <w:tc>
          <w:tcPr>
            <w:tcW w:w="1277" w:type="dxa"/>
            <w:noWrap/>
            <w:hideMark/>
          </w:tcPr>
          <w:p w14:paraId="2778E76A" w14:textId="77777777" w:rsidR="00921D9A" w:rsidRPr="008F446E" w:rsidRDefault="00921D9A" w:rsidP="00921D9A">
            <w:pPr>
              <w:rPr>
                <w:rFonts w:ascii="楷体" w:eastAsia="楷体" w:hAnsi="楷体" w:hint="eastAsia"/>
              </w:rPr>
            </w:pPr>
            <w:r w:rsidRPr="008F446E">
              <w:rPr>
                <w:rFonts w:ascii="楷体" w:eastAsia="楷体" w:hAnsi="楷体" w:hint="eastAsia"/>
              </w:rPr>
              <w:t>300308.SZ</w:t>
            </w:r>
          </w:p>
        </w:tc>
        <w:tc>
          <w:tcPr>
            <w:tcW w:w="1276" w:type="dxa"/>
            <w:noWrap/>
            <w:hideMark/>
          </w:tcPr>
          <w:p w14:paraId="64528D58" w14:textId="77777777" w:rsidR="00921D9A" w:rsidRPr="008F446E" w:rsidRDefault="00921D9A" w:rsidP="00921D9A">
            <w:pPr>
              <w:rPr>
                <w:rFonts w:ascii="楷体" w:eastAsia="楷体" w:hAnsi="楷体" w:hint="eastAsia"/>
              </w:rPr>
            </w:pPr>
            <w:r w:rsidRPr="008F446E">
              <w:rPr>
                <w:rFonts w:ascii="楷体" w:eastAsia="楷体" w:hAnsi="楷体" w:hint="eastAsia"/>
              </w:rPr>
              <w:t>中际旭创</w:t>
            </w:r>
          </w:p>
        </w:tc>
        <w:tc>
          <w:tcPr>
            <w:tcW w:w="1275" w:type="dxa"/>
            <w:noWrap/>
            <w:hideMark/>
          </w:tcPr>
          <w:p w14:paraId="4E055FE1" w14:textId="77777777" w:rsidR="00921D9A" w:rsidRPr="008F446E" w:rsidRDefault="00921D9A" w:rsidP="00921D9A">
            <w:pPr>
              <w:rPr>
                <w:rFonts w:ascii="楷体" w:eastAsia="楷体" w:hAnsi="楷体" w:hint="eastAsia"/>
              </w:rPr>
            </w:pPr>
            <w:r w:rsidRPr="008F446E">
              <w:rPr>
                <w:rFonts w:ascii="楷体" w:eastAsia="楷体" w:hAnsi="楷体" w:hint="eastAsia"/>
              </w:rPr>
              <w:t>9.4</w:t>
            </w:r>
          </w:p>
        </w:tc>
        <w:tc>
          <w:tcPr>
            <w:tcW w:w="5387" w:type="dxa"/>
            <w:hideMark/>
          </w:tcPr>
          <w:p w14:paraId="3F3C1EB1" w14:textId="77777777" w:rsidR="00921D9A" w:rsidRPr="008F446E" w:rsidRDefault="00921D9A">
            <w:pPr>
              <w:rPr>
                <w:rFonts w:ascii="楷体" w:eastAsia="楷体" w:hAnsi="楷体" w:hint="eastAsia"/>
              </w:rPr>
            </w:pPr>
            <w:r w:rsidRPr="008F446E">
              <w:rPr>
                <w:rFonts w:ascii="楷体" w:eastAsia="楷体" w:hAnsi="楷体" w:hint="eastAsia"/>
              </w:rPr>
              <w:t>全球光模块龙头，800G 出货量市占率第一，1.6T 硅光模块已进入英伟达、谷歌等核心客户供应链。通过收购储翰科技完善硅光芯片自主能力，深度绑定台积电 CMOS 代工资源。AI 驱动下，公司技术迭代与客户卡位优势显著，是 1.6T 时代最确定的受益标的之一。</w:t>
            </w:r>
          </w:p>
        </w:tc>
      </w:tr>
      <w:tr w:rsidR="00921D9A" w:rsidRPr="008F446E" w14:paraId="1A53E8D3" w14:textId="77777777" w:rsidTr="00921D9A">
        <w:trPr>
          <w:trHeight w:val="855"/>
        </w:trPr>
        <w:tc>
          <w:tcPr>
            <w:tcW w:w="1277" w:type="dxa"/>
            <w:noWrap/>
            <w:hideMark/>
          </w:tcPr>
          <w:p w14:paraId="3CBFD051" w14:textId="77777777" w:rsidR="00921D9A" w:rsidRPr="008F446E" w:rsidRDefault="00921D9A" w:rsidP="00921D9A">
            <w:pPr>
              <w:rPr>
                <w:rFonts w:ascii="楷体" w:eastAsia="楷体" w:hAnsi="楷体" w:hint="eastAsia"/>
              </w:rPr>
            </w:pPr>
            <w:r w:rsidRPr="008F446E">
              <w:rPr>
                <w:rFonts w:ascii="楷体" w:eastAsia="楷体" w:hAnsi="楷体" w:hint="eastAsia"/>
              </w:rPr>
              <w:t>002475.SZ</w:t>
            </w:r>
          </w:p>
        </w:tc>
        <w:tc>
          <w:tcPr>
            <w:tcW w:w="1276" w:type="dxa"/>
            <w:noWrap/>
            <w:hideMark/>
          </w:tcPr>
          <w:p w14:paraId="25A78DDE" w14:textId="77777777" w:rsidR="00921D9A" w:rsidRPr="008F446E" w:rsidRDefault="00921D9A" w:rsidP="00921D9A">
            <w:pPr>
              <w:rPr>
                <w:rFonts w:ascii="楷体" w:eastAsia="楷体" w:hAnsi="楷体" w:hint="eastAsia"/>
              </w:rPr>
            </w:pPr>
            <w:r w:rsidRPr="008F446E">
              <w:rPr>
                <w:rFonts w:ascii="楷体" w:eastAsia="楷体" w:hAnsi="楷体" w:hint="eastAsia"/>
              </w:rPr>
              <w:t>立讯精密</w:t>
            </w:r>
          </w:p>
        </w:tc>
        <w:tc>
          <w:tcPr>
            <w:tcW w:w="1275" w:type="dxa"/>
            <w:noWrap/>
            <w:hideMark/>
          </w:tcPr>
          <w:p w14:paraId="27FA45CE" w14:textId="77777777" w:rsidR="00921D9A" w:rsidRPr="008F446E" w:rsidRDefault="00921D9A" w:rsidP="00921D9A">
            <w:pPr>
              <w:rPr>
                <w:rFonts w:ascii="楷体" w:eastAsia="楷体" w:hAnsi="楷体" w:hint="eastAsia"/>
              </w:rPr>
            </w:pPr>
            <w:r w:rsidRPr="008F446E">
              <w:rPr>
                <w:rFonts w:ascii="楷体" w:eastAsia="楷体" w:hAnsi="楷体" w:hint="eastAsia"/>
              </w:rPr>
              <w:t>7.72</w:t>
            </w:r>
          </w:p>
        </w:tc>
        <w:tc>
          <w:tcPr>
            <w:tcW w:w="5387" w:type="dxa"/>
            <w:hideMark/>
          </w:tcPr>
          <w:p w14:paraId="4754C69A" w14:textId="77777777" w:rsidR="00921D9A" w:rsidRPr="008F446E" w:rsidRDefault="00921D9A">
            <w:pPr>
              <w:rPr>
                <w:rFonts w:ascii="楷体" w:eastAsia="楷体" w:hAnsi="楷体" w:hint="eastAsia"/>
              </w:rPr>
            </w:pPr>
            <w:r w:rsidRPr="008F446E">
              <w:rPr>
                <w:rFonts w:ascii="楷体" w:eastAsia="楷体" w:hAnsi="楷体" w:hint="eastAsia"/>
              </w:rPr>
              <w:t>消费电子精密制造龙头，业务边界持续向汽车电子、通信互联延伸。在光通信领域布局 AOC（有源光缆）及高速连接器，为数据中心内部互联提供一站式解决方案。凭借精密制造能力与苹果供应链管理经验，具备向更高附加值光互联组件渗透的潜力。</w:t>
            </w:r>
          </w:p>
        </w:tc>
      </w:tr>
      <w:tr w:rsidR="00921D9A" w:rsidRPr="008F446E" w14:paraId="738583CE" w14:textId="77777777" w:rsidTr="00921D9A">
        <w:trPr>
          <w:trHeight w:val="855"/>
        </w:trPr>
        <w:tc>
          <w:tcPr>
            <w:tcW w:w="1277" w:type="dxa"/>
            <w:noWrap/>
            <w:hideMark/>
          </w:tcPr>
          <w:p w14:paraId="2017A931" w14:textId="77777777" w:rsidR="00921D9A" w:rsidRPr="008F446E" w:rsidRDefault="00921D9A" w:rsidP="00921D9A">
            <w:pPr>
              <w:rPr>
                <w:rFonts w:ascii="楷体" w:eastAsia="楷体" w:hAnsi="楷体" w:hint="eastAsia"/>
              </w:rPr>
            </w:pPr>
            <w:r w:rsidRPr="008F446E">
              <w:rPr>
                <w:rFonts w:ascii="楷体" w:eastAsia="楷体" w:hAnsi="楷体" w:hint="eastAsia"/>
              </w:rPr>
              <w:t>601138.SH</w:t>
            </w:r>
          </w:p>
        </w:tc>
        <w:tc>
          <w:tcPr>
            <w:tcW w:w="1276" w:type="dxa"/>
            <w:noWrap/>
            <w:hideMark/>
          </w:tcPr>
          <w:p w14:paraId="46C27BAA" w14:textId="77777777" w:rsidR="00921D9A" w:rsidRPr="008F446E" w:rsidRDefault="00921D9A" w:rsidP="00921D9A">
            <w:pPr>
              <w:rPr>
                <w:rFonts w:ascii="楷体" w:eastAsia="楷体" w:hAnsi="楷体" w:hint="eastAsia"/>
              </w:rPr>
            </w:pPr>
            <w:r w:rsidRPr="008F446E">
              <w:rPr>
                <w:rFonts w:ascii="楷体" w:eastAsia="楷体" w:hAnsi="楷体" w:hint="eastAsia"/>
              </w:rPr>
              <w:t>工业富联</w:t>
            </w:r>
          </w:p>
        </w:tc>
        <w:tc>
          <w:tcPr>
            <w:tcW w:w="1275" w:type="dxa"/>
            <w:noWrap/>
            <w:hideMark/>
          </w:tcPr>
          <w:p w14:paraId="2E0F11CF" w14:textId="77777777" w:rsidR="00921D9A" w:rsidRPr="008F446E" w:rsidRDefault="00921D9A" w:rsidP="00921D9A">
            <w:pPr>
              <w:rPr>
                <w:rFonts w:ascii="楷体" w:eastAsia="楷体" w:hAnsi="楷体" w:hint="eastAsia"/>
              </w:rPr>
            </w:pPr>
            <w:r w:rsidRPr="008F446E">
              <w:rPr>
                <w:rFonts w:ascii="楷体" w:eastAsia="楷体" w:hAnsi="楷体" w:hint="eastAsia"/>
              </w:rPr>
              <w:t>6.67</w:t>
            </w:r>
          </w:p>
        </w:tc>
        <w:tc>
          <w:tcPr>
            <w:tcW w:w="5387" w:type="dxa"/>
            <w:hideMark/>
          </w:tcPr>
          <w:p w14:paraId="132AFF01" w14:textId="77777777" w:rsidR="00921D9A" w:rsidRPr="008F446E" w:rsidRDefault="00921D9A">
            <w:pPr>
              <w:rPr>
                <w:rFonts w:ascii="楷体" w:eastAsia="楷体" w:hAnsi="楷体" w:hint="eastAsia"/>
              </w:rPr>
            </w:pPr>
            <w:r w:rsidRPr="008F446E">
              <w:rPr>
                <w:rFonts w:ascii="楷体" w:eastAsia="楷体" w:hAnsi="楷体" w:hint="eastAsia"/>
              </w:rPr>
              <w:t>全球电子制造服务（EMS）巨头，深度绑定英伟达 AI 服务器代工业务，覆盖 GPU 模组、HGX 基板及整机组装。随着英伟达 Blackwell/Rubin 平台放量，公司作为核心代工厂直接受益于 AI 服务器出货量激增，同时向上游光互联、液冷等环节延伸布局。</w:t>
            </w:r>
          </w:p>
        </w:tc>
      </w:tr>
      <w:tr w:rsidR="00921D9A" w:rsidRPr="008F446E" w14:paraId="1938CA4B" w14:textId="77777777" w:rsidTr="00921D9A">
        <w:trPr>
          <w:trHeight w:val="855"/>
        </w:trPr>
        <w:tc>
          <w:tcPr>
            <w:tcW w:w="1277" w:type="dxa"/>
            <w:noWrap/>
            <w:hideMark/>
          </w:tcPr>
          <w:p w14:paraId="641E69C0" w14:textId="77777777" w:rsidR="00921D9A" w:rsidRPr="008F446E" w:rsidRDefault="00921D9A" w:rsidP="00921D9A">
            <w:pPr>
              <w:rPr>
                <w:rFonts w:ascii="楷体" w:eastAsia="楷体" w:hAnsi="楷体" w:hint="eastAsia"/>
              </w:rPr>
            </w:pPr>
            <w:r w:rsidRPr="008F446E">
              <w:rPr>
                <w:rFonts w:ascii="楷体" w:eastAsia="楷体" w:hAnsi="楷体" w:hint="eastAsia"/>
              </w:rPr>
              <w:t>603986.SH</w:t>
            </w:r>
          </w:p>
        </w:tc>
        <w:tc>
          <w:tcPr>
            <w:tcW w:w="1276" w:type="dxa"/>
            <w:noWrap/>
            <w:hideMark/>
          </w:tcPr>
          <w:p w14:paraId="7DCBC496" w14:textId="77777777" w:rsidR="00921D9A" w:rsidRPr="008F446E" w:rsidRDefault="00921D9A" w:rsidP="00921D9A">
            <w:pPr>
              <w:rPr>
                <w:rFonts w:ascii="楷体" w:eastAsia="楷体" w:hAnsi="楷体" w:hint="eastAsia"/>
              </w:rPr>
            </w:pPr>
            <w:r w:rsidRPr="008F446E">
              <w:rPr>
                <w:rFonts w:ascii="楷体" w:eastAsia="楷体" w:hAnsi="楷体" w:hint="eastAsia"/>
              </w:rPr>
              <w:t>兆易创新</w:t>
            </w:r>
          </w:p>
        </w:tc>
        <w:tc>
          <w:tcPr>
            <w:tcW w:w="1275" w:type="dxa"/>
            <w:noWrap/>
            <w:hideMark/>
          </w:tcPr>
          <w:p w14:paraId="0D41A688" w14:textId="77777777" w:rsidR="00921D9A" w:rsidRPr="008F446E" w:rsidRDefault="00921D9A" w:rsidP="00921D9A">
            <w:pPr>
              <w:rPr>
                <w:rFonts w:ascii="楷体" w:eastAsia="楷体" w:hAnsi="楷体" w:hint="eastAsia"/>
              </w:rPr>
            </w:pPr>
            <w:r w:rsidRPr="008F446E">
              <w:rPr>
                <w:rFonts w:ascii="楷体" w:eastAsia="楷体" w:hAnsi="楷体" w:hint="eastAsia"/>
              </w:rPr>
              <w:t>5.18</w:t>
            </w:r>
          </w:p>
        </w:tc>
        <w:tc>
          <w:tcPr>
            <w:tcW w:w="5387" w:type="dxa"/>
            <w:hideMark/>
          </w:tcPr>
          <w:p w14:paraId="2A9E6295" w14:textId="77777777" w:rsidR="00921D9A" w:rsidRPr="008F446E" w:rsidRDefault="00921D9A">
            <w:pPr>
              <w:rPr>
                <w:rFonts w:ascii="楷体" w:eastAsia="楷体" w:hAnsi="楷体" w:hint="eastAsia"/>
              </w:rPr>
            </w:pPr>
            <w:r w:rsidRPr="008F446E">
              <w:rPr>
                <w:rFonts w:ascii="楷体" w:eastAsia="楷体" w:hAnsi="楷体" w:hint="eastAsia"/>
              </w:rPr>
              <w:t>国内存储与 MCU 双龙头，Nor Flash 全球前三，自研 DRAM 与利基型存储产品持续突破。AI 终端与边缘计算带动高容量存储需求，公司车规级 MCU 与存储方案已进入主流车企及工业客户。虽非光通信直接标的，但受益于 AI 算力全链条的存储配套需求。</w:t>
            </w:r>
          </w:p>
        </w:tc>
      </w:tr>
      <w:tr w:rsidR="00921D9A" w:rsidRPr="008F446E" w14:paraId="10BC2F92" w14:textId="77777777" w:rsidTr="00921D9A">
        <w:trPr>
          <w:trHeight w:val="855"/>
        </w:trPr>
        <w:tc>
          <w:tcPr>
            <w:tcW w:w="1277" w:type="dxa"/>
            <w:noWrap/>
            <w:hideMark/>
          </w:tcPr>
          <w:p w14:paraId="32B562C2" w14:textId="77777777" w:rsidR="00921D9A" w:rsidRPr="008F446E" w:rsidRDefault="00921D9A" w:rsidP="00921D9A">
            <w:pPr>
              <w:rPr>
                <w:rFonts w:ascii="楷体" w:eastAsia="楷体" w:hAnsi="楷体" w:hint="eastAsia"/>
              </w:rPr>
            </w:pPr>
            <w:r w:rsidRPr="008F446E">
              <w:rPr>
                <w:rFonts w:ascii="楷体" w:eastAsia="楷体" w:hAnsi="楷体" w:hint="eastAsia"/>
              </w:rPr>
              <w:t>300394.SZ</w:t>
            </w:r>
          </w:p>
        </w:tc>
        <w:tc>
          <w:tcPr>
            <w:tcW w:w="1276" w:type="dxa"/>
            <w:noWrap/>
            <w:hideMark/>
          </w:tcPr>
          <w:p w14:paraId="739A7933" w14:textId="77777777" w:rsidR="00921D9A" w:rsidRPr="008F446E" w:rsidRDefault="00921D9A" w:rsidP="00921D9A">
            <w:pPr>
              <w:rPr>
                <w:rFonts w:ascii="楷体" w:eastAsia="楷体" w:hAnsi="楷体" w:hint="eastAsia"/>
              </w:rPr>
            </w:pPr>
            <w:r w:rsidRPr="008F446E">
              <w:rPr>
                <w:rFonts w:ascii="楷体" w:eastAsia="楷体" w:hAnsi="楷体" w:hint="eastAsia"/>
              </w:rPr>
              <w:t>天孚通信</w:t>
            </w:r>
          </w:p>
        </w:tc>
        <w:tc>
          <w:tcPr>
            <w:tcW w:w="1275" w:type="dxa"/>
            <w:noWrap/>
            <w:hideMark/>
          </w:tcPr>
          <w:p w14:paraId="082899BC" w14:textId="77777777" w:rsidR="00921D9A" w:rsidRPr="008F446E" w:rsidRDefault="00921D9A" w:rsidP="00921D9A">
            <w:pPr>
              <w:rPr>
                <w:rFonts w:ascii="楷体" w:eastAsia="楷体" w:hAnsi="楷体" w:hint="eastAsia"/>
              </w:rPr>
            </w:pPr>
            <w:r w:rsidRPr="008F446E">
              <w:rPr>
                <w:rFonts w:ascii="楷体" w:eastAsia="楷体" w:hAnsi="楷体" w:hint="eastAsia"/>
              </w:rPr>
              <w:t>4.57</w:t>
            </w:r>
          </w:p>
        </w:tc>
        <w:tc>
          <w:tcPr>
            <w:tcW w:w="5387" w:type="dxa"/>
            <w:hideMark/>
          </w:tcPr>
          <w:p w14:paraId="189E6CAF" w14:textId="77777777" w:rsidR="00921D9A" w:rsidRPr="008F446E" w:rsidRDefault="00921D9A">
            <w:pPr>
              <w:rPr>
                <w:rFonts w:ascii="楷体" w:eastAsia="楷体" w:hAnsi="楷体" w:hint="eastAsia"/>
              </w:rPr>
            </w:pPr>
            <w:r w:rsidRPr="008F446E">
              <w:rPr>
                <w:rFonts w:ascii="楷体" w:eastAsia="楷体" w:hAnsi="楷体" w:hint="eastAsia"/>
              </w:rPr>
              <w:t>光器件细分领域隐形冠军，主营光引擎、光隔离器、Mux/Demux 等无源/有源器件。为 800G/1.6T 光模块提供核心光学组件，深度配套中际旭创、新易盛等模块厂商。随着高速模块集成度提升，公司光引擎业务向更高价值量升级，是光模块产业链上游的关键卡位者。</w:t>
            </w:r>
          </w:p>
        </w:tc>
      </w:tr>
      <w:tr w:rsidR="00921D9A" w:rsidRPr="008F446E" w14:paraId="584A3EE6" w14:textId="77777777" w:rsidTr="00921D9A">
        <w:trPr>
          <w:trHeight w:val="855"/>
        </w:trPr>
        <w:tc>
          <w:tcPr>
            <w:tcW w:w="1277" w:type="dxa"/>
            <w:noWrap/>
            <w:hideMark/>
          </w:tcPr>
          <w:p w14:paraId="1E79BE25" w14:textId="77777777" w:rsidR="00921D9A" w:rsidRPr="008F446E" w:rsidRDefault="00921D9A" w:rsidP="00921D9A">
            <w:pPr>
              <w:rPr>
                <w:rFonts w:ascii="楷体" w:eastAsia="楷体" w:hAnsi="楷体" w:hint="eastAsia"/>
              </w:rPr>
            </w:pPr>
            <w:r w:rsidRPr="008F446E">
              <w:rPr>
                <w:rFonts w:ascii="楷体" w:eastAsia="楷体" w:hAnsi="楷体" w:hint="eastAsia"/>
              </w:rPr>
              <w:t>002384.SZ</w:t>
            </w:r>
          </w:p>
        </w:tc>
        <w:tc>
          <w:tcPr>
            <w:tcW w:w="1276" w:type="dxa"/>
            <w:noWrap/>
            <w:hideMark/>
          </w:tcPr>
          <w:p w14:paraId="3F805D92" w14:textId="77777777" w:rsidR="00921D9A" w:rsidRPr="008F446E" w:rsidRDefault="00921D9A" w:rsidP="00921D9A">
            <w:pPr>
              <w:rPr>
                <w:rFonts w:ascii="楷体" w:eastAsia="楷体" w:hAnsi="楷体" w:hint="eastAsia"/>
              </w:rPr>
            </w:pPr>
            <w:r w:rsidRPr="008F446E">
              <w:rPr>
                <w:rFonts w:ascii="楷体" w:eastAsia="楷体" w:hAnsi="楷体" w:hint="eastAsia"/>
              </w:rPr>
              <w:t>东山精密</w:t>
            </w:r>
          </w:p>
        </w:tc>
        <w:tc>
          <w:tcPr>
            <w:tcW w:w="1275" w:type="dxa"/>
            <w:noWrap/>
            <w:hideMark/>
          </w:tcPr>
          <w:p w14:paraId="3A92727F" w14:textId="77777777" w:rsidR="00921D9A" w:rsidRPr="008F446E" w:rsidRDefault="00921D9A" w:rsidP="00921D9A">
            <w:pPr>
              <w:rPr>
                <w:rFonts w:ascii="楷体" w:eastAsia="楷体" w:hAnsi="楷体" w:hint="eastAsia"/>
              </w:rPr>
            </w:pPr>
            <w:r w:rsidRPr="008F446E">
              <w:rPr>
                <w:rFonts w:ascii="楷体" w:eastAsia="楷体" w:hAnsi="楷体" w:hint="eastAsia"/>
              </w:rPr>
              <w:t>4.33</w:t>
            </w:r>
          </w:p>
        </w:tc>
        <w:tc>
          <w:tcPr>
            <w:tcW w:w="5387" w:type="dxa"/>
            <w:hideMark/>
          </w:tcPr>
          <w:p w14:paraId="1F3F3E6B" w14:textId="77777777" w:rsidR="00921D9A" w:rsidRPr="008F446E" w:rsidRDefault="00921D9A">
            <w:pPr>
              <w:rPr>
                <w:rFonts w:ascii="楷体" w:eastAsia="楷体" w:hAnsi="楷体" w:hint="eastAsia"/>
              </w:rPr>
            </w:pPr>
            <w:r w:rsidRPr="008F446E">
              <w:rPr>
                <w:rFonts w:ascii="楷体" w:eastAsia="楷体" w:hAnsi="楷体" w:hint="eastAsia"/>
              </w:rPr>
              <w:t>PCB 及精密结构件龙头，FPC（柔性电路板）全球领先。在通信领域布局高频高速 PCB 及光电封装基板，为光模块、交换机提供关键载体。AI 服务器对高多层板、HDI 板需求激增，公司技术储备与客户结构持续向高端通信及算力基础设施迁移。</w:t>
            </w:r>
          </w:p>
        </w:tc>
      </w:tr>
      <w:tr w:rsidR="00921D9A" w:rsidRPr="008F446E" w14:paraId="51F2B7B4" w14:textId="77777777" w:rsidTr="00921D9A">
        <w:trPr>
          <w:trHeight w:val="855"/>
        </w:trPr>
        <w:tc>
          <w:tcPr>
            <w:tcW w:w="1277" w:type="dxa"/>
            <w:noWrap/>
            <w:hideMark/>
          </w:tcPr>
          <w:p w14:paraId="335BE7F4" w14:textId="77777777" w:rsidR="00921D9A" w:rsidRPr="008F446E" w:rsidRDefault="00921D9A" w:rsidP="00921D9A">
            <w:pPr>
              <w:rPr>
                <w:rFonts w:ascii="楷体" w:eastAsia="楷体" w:hAnsi="楷体" w:hint="eastAsia"/>
              </w:rPr>
            </w:pPr>
            <w:r w:rsidRPr="008F446E">
              <w:rPr>
                <w:rFonts w:ascii="楷体" w:eastAsia="楷体" w:hAnsi="楷体" w:hint="eastAsia"/>
              </w:rPr>
              <w:t>000063.SZ</w:t>
            </w:r>
          </w:p>
        </w:tc>
        <w:tc>
          <w:tcPr>
            <w:tcW w:w="1276" w:type="dxa"/>
            <w:noWrap/>
            <w:hideMark/>
          </w:tcPr>
          <w:p w14:paraId="67DE52C8" w14:textId="77777777" w:rsidR="00921D9A" w:rsidRPr="008F446E" w:rsidRDefault="00921D9A" w:rsidP="00921D9A">
            <w:pPr>
              <w:rPr>
                <w:rFonts w:ascii="楷体" w:eastAsia="楷体" w:hAnsi="楷体" w:hint="eastAsia"/>
              </w:rPr>
            </w:pPr>
            <w:r w:rsidRPr="008F446E">
              <w:rPr>
                <w:rFonts w:ascii="楷体" w:eastAsia="楷体" w:hAnsi="楷体" w:hint="eastAsia"/>
              </w:rPr>
              <w:t>中兴通讯</w:t>
            </w:r>
          </w:p>
        </w:tc>
        <w:tc>
          <w:tcPr>
            <w:tcW w:w="1275" w:type="dxa"/>
            <w:noWrap/>
            <w:hideMark/>
          </w:tcPr>
          <w:p w14:paraId="571AA603" w14:textId="77777777" w:rsidR="00921D9A" w:rsidRPr="008F446E" w:rsidRDefault="00921D9A" w:rsidP="00921D9A">
            <w:pPr>
              <w:rPr>
                <w:rFonts w:ascii="楷体" w:eastAsia="楷体" w:hAnsi="楷体" w:hint="eastAsia"/>
              </w:rPr>
            </w:pPr>
            <w:r w:rsidRPr="008F446E">
              <w:rPr>
                <w:rFonts w:ascii="楷体" w:eastAsia="楷体" w:hAnsi="楷体" w:hint="eastAsia"/>
              </w:rPr>
              <w:t>3.42</w:t>
            </w:r>
          </w:p>
        </w:tc>
        <w:tc>
          <w:tcPr>
            <w:tcW w:w="5387" w:type="dxa"/>
            <w:hideMark/>
          </w:tcPr>
          <w:p w14:paraId="345F9563" w14:textId="77777777" w:rsidR="00921D9A" w:rsidRPr="008F446E" w:rsidRDefault="00921D9A">
            <w:pPr>
              <w:rPr>
                <w:rFonts w:ascii="楷体" w:eastAsia="楷体" w:hAnsi="楷体" w:hint="eastAsia"/>
              </w:rPr>
            </w:pPr>
            <w:r w:rsidRPr="008F446E">
              <w:rPr>
                <w:rFonts w:ascii="楷体" w:eastAsia="楷体" w:hAnsi="楷体" w:hint="eastAsia"/>
              </w:rPr>
              <w:t>全球通信设备四强之一，覆盖无线基站、光传输、核心网及算力基础设施。在光通信领域具备从芯片到系统的垂直能力，自研 400G/800G 光模块及 OTN 设备。受益于国内算力网络建设及海外 5G-A/FTTR 升级，是电信级光通信市场的核心参与者。</w:t>
            </w:r>
          </w:p>
        </w:tc>
      </w:tr>
      <w:tr w:rsidR="00921D9A" w:rsidRPr="008F446E" w14:paraId="08B3DDEF" w14:textId="77777777" w:rsidTr="00921D9A">
        <w:trPr>
          <w:trHeight w:val="855"/>
        </w:trPr>
        <w:tc>
          <w:tcPr>
            <w:tcW w:w="1277" w:type="dxa"/>
            <w:noWrap/>
            <w:hideMark/>
          </w:tcPr>
          <w:p w14:paraId="677E4BD4" w14:textId="77777777" w:rsidR="00921D9A" w:rsidRPr="008F446E" w:rsidRDefault="00921D9A" w:rsidP="00921D9A">
            <w:pPr>
              <w:rPr>
                <w:rFonts w:ascii="楷体" w:eastAsia="楷体" w:hAnsi="楷体" w:hint="eastAsia"/>
              </w:rPr>
            </w:pPr>
            <w:r w:rsidRPr="008F446E">
              <w:rPr>
                <w:rFonts w:ascii="楷体" w:eastAsia="楷体" w:hAnsi="楷体" w:hint="eastAsia"/>
              </w:rPr>
              <w:lastRenderedPageBreak/>
              <w:t>000988.SZ</w:t>
            </w:r>
          </w:p>
        </w:tc>
        <w:tc>
          <w:tcPr>
            <w:tcW w:w="1276" w:type="dxa"/>
            <w:noWrap/>
            <w:hideMark/>
          </w:tcPr>
          <w:p w14:paraId="7330033E" w14:textId="77777777" w:rsidR="00921D9A" w:rsidRPr="008F446E" w:rsidRDefault="00921D9A" w:rsidP="00921D9A">
            <w:pPr>
              <w:rPr>
                <w:rFonts w:ascii="楷体" w:eastAsia="楷体" w:hAnsi="楷体" w:hint="eastAsia"/>
              </w:rPr>
            </w:pPr>
            <w:r w:rsidRPr="008F446E">
              <w:rPr>
                <w:rFonts w:ascii="楷体" w:eastAsia="楷体" w:hAnsi="楷体" w:hint="eastAsia"/>
              </w:rPr>
              <w:t>华工科技</w:t>
            </w:r>
          </w:p>
        </w:tc>
        <w:tc>
          <w:tcPr>
            <w:tcW w:w="1275" w:type="dxa"/>
            <w:noWrap/>
            <w:hideMark/>
          </w:tcPr>
          <w:p w14:paraId="13F94BB3" w14:textId="77777777" w:rsidR="00921D9A" w:rsidRPr="008F446E" w:rsidRDefault="00921D9A" w:rsidP="00921D9A">
            <w:pPr>
              <w:rPr>
                <w:rFonts w:ascii="楷体" w:eastAsia="楷体" w:hAnsi="楷体" w:hint="eastAsia"/>
              </w:rPr>
            </w:pPr>
            <w:r w:rsidRPr="008F446E">
              <w:rPr>
                <w:rFonts w:ascii="楷体" w:eastAsia="楷体" w:hAnsi="楷体" w:hint="eastAsia"/>
              </w:rPr>
              <w:t>3.4</w:t>
            </w:r>
          </w:p>
        </w:tc>
        <w:tc>
          <w:tcPr>
            <w:tcW w:w="5387" w:type="dxa"/>
            <w:hideMark/>
          </w:tcPr>
          <w:p w14:paraId="5DD9D456" w14:textId="77777777" w:rsidR="00921D9A" w:rsidRPr="008F446E" w:rsidRDefault="00921D9A">
            <w:pPr>
              <w:rPr>
                <w:rFonts w:ascii="楷体" w:eastAsia="楷体" w:hAnsi="楷体" w:hint="eastAsia"/>
              </w:rPr>
            </w:pPr>
            <w:r w:rsidRPr="008F446E">
              <w:rPr>
                <w:rFonts w:ascii="楷体" w:eastAsia="楷体" w:hAnsi="楷体" w:hint="eastAsia"/>
              </w:rPr>
              <w:t>激光装备与光通信双轮驱动，子公司华工正源是国内光模块老牌厂商。在硅光、CPO（共封装光学）及 3.2T 前沿方案积极布局，2025 年首发 3.2T NPO/CPO 光引擎。同时激光加工装备受益于新能源及智能制造需求，业务结构多元，技术储备覆盖光通信下一代架构。</w:t>
            </w:r>
          </w:p>
        </w:tc>
      </w:tr>
      <w:tr w:rsidR="00921D9A" w:rsidRPr="008F446E" w14:paraId="3D2E9435" w14:textId="77777777" w:rsidTr="00921D9A">
        <w:trPr>
          <w:trHeight w:val="855"/>
        </w:trPr>
        <w:tc>
          <w:tcPr>
            <w:tcW w:w="1277" w:type="dxa"/>
            <w:noWrap/>
            <w:hideMark/>
          </w:tcPr>
          <w:p w14:paraId="7755C282" w14:textId="77777777" w:rsidR="00921D9A" w:rsidRPr="008F446E" w:rsidRDefault="00921D9A" w:rsidP="00921D9A">
            <w:pPr>
              <w:rPr>
                <w:rFonts w:ascii="楷体" w:eastAsia="楷体" w:hAnsi="楷体" w:hint="eastAsia"/>
              </w:rPr>
            </w:pPr>
            <w:r w:rsidRPr="008F446E">
              <w:rPr>
                <w:rFonts w:ascii="楷体" w:eastAsia="楷体" w:hAnsi="楷体" w:hint="eastAsia"/>
              </w:rPr>
              <w:t>600487.SH</w:t>
            </w:r>
          </w:p>
        </w:tc>
        <w:tc>
          <w:tcPr>
            <w:tcW w:w="1276" w:type="dxa"/>
            <w:noWrap/>
            <w:hideMark/>
          </w:tcPr>
          <w:p w14:paraId="3013E745" w14:textId="77777777" w:rsidR="00921D9A" w:rsidRPr="008F446E" w:rsidRDefault="00921D9A" w:rsidP="00921D9A">
            <w:pPr>
              <w:rPr>
                <w:rFonts w:ascii="楷体" w:eastAsia="楷体" w:hAnsi="楷体" w:hint="eastAsia"/>
              </w:rPr>
            </w:pPr>
            <w:r w:rsidRPr="008F446E">
              <w:rPr>
                <w:rFonts w:ascii="楷体" w:eastAsia="楷体" w:hAnsi="楷体" w:hint="eastAsia"/>
              </w:rPr>
              <w:t>亨通光电</w:t>
            </w:r>
          </w:p>
        </w:tc>
        <w:tc>
          <w:tcPr>
            <w:tcW w:w="1275" w:type="dxa"/>
            <w:noWrap/>
            <w:hideMark/>
          </w:tcPr>
          <w:p w14:paraId="069C073B" w14:textId="77777777" w:rsidR="00921D9A" w:rsidRPr="008F446E" w:rsidRDefault="00921D9A" w:rsidP="00921D9A">
            <w:pPr>
              <w:rPr>
                <w:rFonts w:ascii="楷体" w:eastAsia="楷体" w:hAnsi="楷体" w:hint="eastAsia"/>
              </w:rPr>
            </w:pPr>
            <w:r w:rsidRPr="008F446E">
              <w:rPr>
                <w:rFonts w:ascii="楷体" w:eastAsia="楷体" w:hAnsi="楷体" w:hint="eastAsia"/>
              </w:rPr>
              <w:t>3.37</w:t>
            </w:r>
          </w:p>
        </w:tc>
        <w:tc>
          <w:tcPr>
            <w:tcW w:w="5387" w:type="dxa"/>
            <w:hideMark/>
          </w:tcPr>
          <w:p w14:paraId="2ACE08A6" w14:textId="77777777" w:rsidR="00921D9A" w:rsidRPr="008F446E" w:rsidRDefault="00921D9A">
            <w:pPr>
              <w:rPr>
                <w:rFonts w:ascii="楷体" w:eastAsia="楷体" w:hAnsi="楷体" w:hint="eastAsia"/>
              </w:rPr>
            </w:pPr>
            <w:r w:rsidRPr="008F446E">
              <w:rPr>
                <w:rFonts w:ascii="楷体" w:eastAsia="楷体" w:hAnsi="楷体" w:hint="eastAsia"/>
              </w:rPr>
              <w:t>全球光纤光缆前三强，业务覆盖光纤预制棒、海缆、光模块及海洋通信工程。在光通信领域具备"棒纤缆"一体化成本优势，海缆业务受益于全球海上风电及跨洋通信建设。随着 AI 算力网络向边缘延伸，光纤基础设施需求刚性，公司作为光通信底座厂商持续受益。</w:t>
            </w:r>
          </w:p>
        </w:tc>
      </w:tr>
    </w:tbl>
    <w:p w14:paraId="384F27FE" w14:textId="5EBD5B1E" w:rsidR="00351AB7" w:rsidRPr="008F446E" w:rsidRDefault="00351AB7" w:rsidP="00CE539B">
      <w:pPr>
        <w:rPr>
          <w:rFonts w:ascii="楷体" w:eastAsia="楷体" w:hAnsi="楷体" w:hint="eastAsia"/>
        </w:rPr>
      </w:pPr>
    </w:p>
    <w:p w14:paraId="78F26F4E" w14:textId="77777777" w:rsidR="00A76E4F" w:rsidRPr="008F446E" w:rsidRDefault="00A76E4F" w:rsidP="00CE539B">
      <w:pPr>
        <w:rPr>
          <w:rFonts w:ascii="楷体" w:eastAsia="楷体" w:hAnsi="楷体" w:hint="eastAsia"/>
        </w:rPr>
      </w:pPr>
    </w:p>
    <w:p w14:paraId="30FCDA4C" w14:textId="67B64404" w:rsidR="00BF0148" w:rsidRPr="008F446E" w:rsidRDefault="00BF0148" w:rsidP="00BF0148">
      <w:pPr>
        <w:pStyle w:val="3"/>
        <w:rPr>
          <w:rFonts w:ascii="楷体" w:eastAsia="楷体" w:hAnsi="楷体" w:hint="eastAsia"/>
        </w:rPr>
      </w:pPr>
      <w:r w:rsidRPr="008F446E">
        <w:rPr>
          <w:rFonts w:ascii="楷体" w:eastAsia="楷体" w:hAnsi="楷体" w:hint="eastAsia"/>
        </w:rPr>
        <w:t>.1.3</w:t>
      </w:r>
      <w:r w:rsidR="00877E67" w:rsidRPr="008F446E">
        <w:rPr>
          <w:rFonts w:ascii="楷体" w:eastAsia="楷体" w:hAnsi="楷体" w:hint="eastAsia"/>
        </w:rPr>
        <w:t xml:space="preserve"> 业绩情况</w:t>
      </w:r>
    </w:p>
    <w:p w14:paraId="2DDCBA8D" w14:textId="1FEB8896" w:rsidR="00877E67" w:rsidRPr="008F446E" w:rsidRDefault="00E43BD8" w:rsidP="00877E67">
      <w:pPr>
        <w:rPr>
          <w:rFonts w:ascii="楷体" w:eastAsia="楷体" w:hAnsi="楷体" w:hint="eastAsia"/>
        </w:rPr>
      </w:pPr>
      <w:r w:rsidRPr="008F446E">
        <w:rPr>
          <w:rFonts w:ascii="楷体" w:eastAsia="楷体" w:hAnsi="楷体"/>
          <w:noProof/>
        </w:rPr>
        <w:drawing>
          <wp:inline distT="0" distB="0" distL="0" distR="0" wp14:anchorId="78C3994C" wp14:editId="52C6A12D">
            <wp:extent cx="5274310" cy="1477010"/>
            <wp:effectExtent l="0" t="0" r="2540" b="8890"/>
            <wp:docPr id="4115516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74310" cy="1477010"/>
                    </a:xfrm>
                    <a:prstGeom prst="rect">
                      <a:avLst/>
                    </a:prstGeom>
                    <a:noFill/>
                    <a:ln>
                      <a:noFill/>
                    </a:ln>
                  </pic:spPr>
                </pic:pic>
              </a:graphicData>
            </a:graphic>
          </wp:inline>
        </w:drawing>
      </w:r>
    </w:p>
    <w:p w14:paraId="54B916EE" w14:textId="77777777" w:rsidR="00C65C43" w:rsidRPr="008F446E" w:rsidRDefault="00C65C43" w:rsidP="00CE539B">
      <w:pPr>
        <w:rPr>
          <w:rFonts w:ascii="楷体" w:eastAsia="楷体" w:hAnsi="楷体" w:hint="eastAsia"/>
        </w:rPr>
      </w:pPr>
    </w:p>
    <w:p w14:paraId="168F375C" w14:textId="405FEADA" w:rsidR="00E43BD8" w:rsidRPr="008F446E" w:rsidRDefault="00E43BD8" w:rsidP="000E7651">
      <w:pPr>
        <w:pStyle w:val="2"/>
        <w:rPr>
          <w:rFonts w:ascii="楷体" w:eastAsia="楷体" w:hAnsi="楷体" w:hint="eastAsia"/>
        </w:rPr>
      </w:pPr>
      <w:r w:rsidRPr="008F446E">
        <w:rPr>
          <w:rFonts w:ascii="楷体" w:eastAsia="楷体" w:hAnsi="楷体" w:hint="eastAsia"/>
        </w:rPr>
        <w:t>.2 通信ETF国泰</w:t>
      </w:r>
    </w:p>
    <w:p w14:paraId="3CA346F6" w14:textId="77B03B78" w:rsidR="000E7651" w:rsidRPr="008F446E" w:rsidRDefault="000E7651" w:rsidP="00111496">
      <w:pPr>
        <w:pStyle w:val="3"/>
        <w:rPr>
          <w:rFonts w:ascii="楷体" w:eastAsia="楷体" w:hAnsi="楷体" w:hint="eastAsia"/>
        </w:rPr>
      </w:pPr>
      <w:r w:rsidRPr="008F446E">
        <w:rPr>
          <w:rFonts w:ascii="楷体" w:eastAsia="楷体" w:hAnsi="楷体" w:hint="eastAsia"/>
        </w:rPr>
        <w:t>.2.1 概况</w:t>
      </w:r>
    </w:p>
    <w:p w14:paraId="2E2BBE23" w14:textId="6FDCD0AD" w:rsidR="00B379FD" w:rsidRPr="008F446E" w:rsidRDefault="00B379FD" w:rsidP="00B379FD">
      <w:pPr>
        <w:pStyle w:val="af3"/>
        <w:rPr>
          <w:rFonts w:ascii="楷体" w:hAnsi="楷体" w:hint="eastAsia"/>
        </w:rPr>
      </w:pPr>
      <w:r w:rsidRPr="008F446E">
        <w:rPr>
          <w:rFonts w:ascii="楷体" w:hAnsi="楷体" w:hint="eastAsia"/>
        </w:rPr>
        <w:t>表：ETF基本信息（202</w:t>
      </w:r>
      <w:r w:rsidR="00537CE6" w:rsidRPr="008F446E">
        <w:rPr>
          <w:rFonts w:ascii="楷体" w:hAnsi="楷体" w:hint="eastAsia"/>
        </w:rPr>
        <w:t>6</w:t>
      </w:r>
      <w:r w:rsidRPr="008F446E">
        <w:rPr>
          <w:rFonts w:ascii="楷体" w:hAnsi="楷体" w:hint="eastAsia"/>
        </w:rPr>
        <w:t>年</w:t>
      </w:r>
      <w:r w:rsidR="00537CE6" w:rsidRPr="008F446E">
        <w:rPr>
          <w:rFonts w:ascii="楷体" w:hAnsi="楷体" w:hint="eastAsia"/>
        </w:rPr>
        <w:t>4</w:t>
      </w:r>
      <w:r w:rsidRPr="008F446E">
        <w:rPr>
          <w:rFonts w:ascii="楷体" w:hAnsi="楷体" w:hint="eastAsia"/>
        </w:rPr>
        <w:t>月2</w:t>
      </w:r>
      <w:r w:rsidR="00537CE6" w:rsidRPr="008F446E">
        <w:rPr>
          <w:rFonts w:ascii="楷体" w:hAnsi="楷体" w:hint="eastAsia"/>
        </w:rPr>
        <w:t>7</w:t>
      </w:r>
      <w:r w:rsidRPr="008F446E">
        <w:rPr>
          <w:rFonts w:ascii="楷体" w:hAnsi="楷体" w:hint="eastAsia"/>
        </w:rPr>
        <w:t>日）</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82"/>
        <w:gridCol w:w="2766"/>
        <w:gridCol w:w="1384"/>
        <w:gridCol w:w="2764"/>
      </w:tblGrid>
      <w:tr w:rsidR="00B379FD" w:rsidRPr="008F446E" w14:paraId="4EA71920" w14:textId="77777777" w:rsidTr="00711D8F">
        <w:tc>
          <w:tcPr>
            <w:tcW w:w="833" w:type="pct"/>
            <w:tcMar>
              <w:top w:w="30" w:type="dxa"/>
              <w:left w:w="75" w:type="dxa"/>
              <w:bottom w:w="30" w:type="dxa"/>
              <w:right w:w="75" w:type="dxa"/>
            </w:tcMar>
            <w:vAlign w:val="center"/>
            <w:hideMark/>
          </w:tcPr>
          <w:p w14:paraId="5F2A1077" w14:textId="77777777" w:rsidR="00B379FD" w:rsidRPr="008F446E" w:rsidRDefault="00B379FD" w:rsidP="00711D8F">
            <w:pPr>
              <w:pStyle w:val="af3"/>
              <w:rPr>
                <w:rFonts w:ascii="楷体" w:hAnsi="楷体" w:hint="eastAsia"/>
              </w:rPr>
            </w:pPr>
            <w:r w:rsidRPr="008F446E">
              <w:rPr>
                <w:rFonts w:ascii="楷体" w:hAnsi="楷体" w:hint="eastAsia"/>
              </w:rPr>
              <w:t>基金全称</w:t>
            </w:r>
          </w:p>
        </w:tc>
        <w:tc>
          <w:tcPr>
            <w:tcW w:w="1667" w:type="pct"/>
            <w:tcMar>
              <w:top w:w="30" w:type="dxa"/>
              <w:left w:w="75" w:type="dxa"/>
              <w:bottom w:w="30" w:type="dxa"/>
              <w:right w:w="75" w:type="dxa"/>
            </w:tcMar>
            <w:vAlign w:val="center"/>
            <w:hideMark/>
          </w:tcPr>
          <w:p w14:paraId="6BC69792" w14:textId="1AA3F849" w:rsidR="00B379FD" w:rsidRPr="008F446E" w:rsidRDefault="004F4E20" w:rsidP="00711D8F">
            <w:pPr>
              <w:pStyle w:val="af3"/>
              <w:rPr>
                <w:rFonts w:ascii="楷体" w:hAnsi="楷体" w:hint="eastAsia"/>
              </w:rPr>
            </w:pPr>
            <w:r w:rsidRPr="008F446E">
              <w:rPr>
                <w:rFonts w:ascii="楷体" w:hAnsi="楷体"/>
              </w:rPr>
              <w:t>国泰中证全指通信设备ETF</w:t>
            </w:r>
          </w:p>
        </w:tc>
        <w:tc>
          <w:tcPr>
            <w:tcW w:w="834" w:type="pct"/>
            <w:tcMar>
              <w:top w:w="30" w:type="dxa"/>
              <w:left w:w="75" w:type="dxa"/>
              <w:bottom w:w="30" w:type="dxa"/>
              <w:right w:w="75" w:type="dxa"/>
            </w:tcMar>
            <w:vAlign w:val="center"/>
            <w:hideMark/>
          </w:tcPr>
          <w:p w14:paraId="3CB19CEC" w14:textId="77777777" w:rsidR="00B379FD" w:rsidRPr="008F446E" w:rsidRDefault="00B379FD" w:rsidP="00711D8F">
            <w:pPr>
              <w:pStyle w:val="af3"/>
              <w:rPr>
                <w:rFonts w:ascii="楷体" w:hAnsi="楷体" w:hint="eastAsia"/>
              </w:rPr>
            </w:pPr>
            <w:r w:rsidRPr="008F446E">
              <w:rPr>
                <w:rFonts w:ascii="楷体" w:hAnsi="楷体" w:hint="eastAsia"/>
              </w:rPr>
              <w:t>基金简称</w:t>
            </w:r>
          </w:p>
        </w:tc>
        <w:tc>
          <w:tcPr>
            <w:tcW w:w="1667" w:type="pct"/>
            <w:tcMar>
              <w:top w:w="30" w:type="dxa"/>
              <w:left w:w="75" w:type="dxa"/>
              <w:bottom w:w="30" w:type="dxa"/>
              <w:right w:w="75" w:type="dxa"/>
            </w:tcMar>
            <w:vAlign w:val="center"/>
            <w:hideMark/>
          </w:tcPr>
          <w:p w14:paraId="04DDDE55" w14:textId="04D8CB77" w:rsidR="00B379FD" w:rsidRPr="008F446E" w:rsidRDefault="003E25EB" w:rsidP="00711D8F">
            <w:pPr>
              <w:pStyle w:val="af3"/>
              <w:rPr>
                <w:rFonts w:ascii="楷体" w:hAnsi="楷体" w:hint="eastAsia"/>
              </w:rPr>
            </w:pPr>
            <w:r w:rsidRPr="008F446E">
              <w:rPr>
                <w:rFonts w:ascii="楷体" w:hAnsi="楷体"/>
              </w:rPr>
              <w:t>通信ETF</w:t>
            </w:r>
          </w:p>
        </w:tc>
      </w:tr>
      <w:tr w:rsidR="00B379FD" w:rsidRPr="008F446E" w14:paraId="02A4FA93" w14:textId="77777777" w:rsidTr="00711D8F">
        <w:tc>
          <w:tcPr>
            <w:tcW w:w="833" w:type="pct"/>
            <w:tcMar>
              <w:top w:w="30" w:type="dxa"/>
              <w:left w:w="75" w:type="dxa"/>
              <w:bottom w:w="30" w:type="dxa"/>
              <w:right w:w="75" w:type="dxa"/>
            </w:tcMar>
            <w:vAlign w:val="center"/>
            <w:hideMark/>
          </w:tcPr>
          <w:p w14:paraId="7B7BCDF1" w14:textId="77777777" w:rsidR="00B379FD" w:rsidRPr="008F446E" w:rsidRDefault="00B379FD" w:rsidP="00711D8F">
            <w:pPr>
              <w:pStyle w:val="af3"/>
              <w:rPr>
                <w:rFonts w:ascii="楷体" w:hAnsi="楷体" w:hint="eastAsia"/>
              </w:rPr>
            </w:pPr>
            <w:r w:rsidRPr="008F446E">
              <w:rPr>
                <w:rFonts w:ascii="楷体" w:hAnsi="楷体" w:hint="eastAsia"/>
              </w:rPr>
              <w:t>基金代码</w:t>
            </w:r>
          </w:p>
        </w:tc>
        <w:tc>
          <w:tcPr>
            <w:tcW w:w="1667" w:type="pct"/>
            <w:tcMar>
              <w:top w:w="30" w:type="dxa"/>
              <w:left w:w="75" w:type="dxa"/>
              <w:bottom w:w="30" w:type="dxa"/>
              <w:right w:w="75" w:type="dxa"/>
            </w:tcMar>
            <w:vAlign w:val="center"/>
            <w:hideMark/>
          </w:tcPr>
          <w:p w14:paraId="57989747" w14:textId="3602EBAD" w:rsidR="00B379FD" w:rsidRPr="008F446E" w:rsidRDefault="003E25EB" w:rsidP="00711D8F">
            <w:pPr>
              <w:pStyle w:val="af3"/>
              <w:rPr>
                <w:rFonts w:ascii="楷体" w:hAnsi="楷体" w:hint="eastAsia"/>
              </w:rPr>
            </w:pPr>
            <w:r w:rsidRPr="008F446E">
              <w:rPr>
                <w:rFonts w:ascii="楷体" w:hAnsi="楷体" w:hint="eastAsia"/>
              </w:rPr>
              <w:t>515880</w:t>
            </w:r>
            <w:r w:rsidR="00B379FD" w:rsidRPr="008F446E">
              <w:rPr>
                <w:rFonts w:ascii="楷体" w:hAnsi="楷体" w:hint="eastAsia"/>
              </w:rPr>
              <w:t>(主代码)</w:t>
            </w:r>
          </w:p>
        </w:tc>
        <w:tc>
          <w:tcPr>
            <w:tcW w:w="834" w:type="pct"/>
            <w:tcMar>
              <w:top w:w="30" w:type="dxa"/>
              <w:left w:w="75" w:type="dxa"/>
              <w:bottom w:w="30" w:type="dxa"/>
              <w:right w:w="75" w:type="dxa"/>
            </w:tcMar>
            <w:vAlign w:val="center"/>
            <w:hideMark/>
          </w:tcPr>
          <w:p w14:paraId="13F05B08" w14:textId="77777777" w:rsidR="00B379FD" w:rsidRPr="008F446E" w:rsidRDefault="00B379FD" w:rsidP="00711D8F">
            <w:pPr>
              <w:pStyle w:val="af3"/>
              <w:rPr>
                <w:rFonts w:ascii="楷体" w:hAnsi="楷体" w:hint="eastAsia"/>
              </w:rPr>
            </w:pPr>
            <w:r w:rsidRPr="008F446E">
              <w:rPr>
                <w:rFonts w:ascii="楷体" w:hAnsi="楷体" w:hint="eastAsia"/>
              </w:rPr>
              <w:t>基金类型</w:t>
            </w:r>
          </w:p>
        </w:tc>
        <w:tc>
          <w:tcPr>
            <w:tcW w:w="1667" w:type="pct"/>
            <w:tcMar>
              <w:top w:w="30" w:type="dxa"/>
              <w:left w:w="75" w:type="dxa"/>
              <w:bottom w:w="30" w:type="dxa"/>
              <w:right w:w="75" w:type="dxa"/>
            </w:tcMar>
            <w:vAlign w:val="center"/>
            <w:hideMark/>
          </w:tcPr>
          <w:p w14:paraId="06E10C64" w14:textId="77777777" w:rsidR="00B379FD" w:rsidRPr="008F446E" w:rsidRDefault="00B379FD" w:rsidP="00711D8F">
            <w:pPr>
              <w:pStyle w:val="af3"/>
              <w:rPr>
                <w:rFonts w:ascii="楷体" w:hAnsi="楷体" w:hint="eastAsia"/>
              </w:rPr>
            </w:pPr>
            <w:r w:rsidRPr="008F446E">
              <w:rPr>
                <w:rFonts w:ascii="楷体" w:hAnsi="楷体" w:hint="eastAsia"/>
              </w:rPr>
              <w:t>被动指数型股票基金</w:t>
            </w:r>
          </w:p>
        </w:tc>
      </w:tr>
      <w:tr w:rsidR="00B379FD" w:rsidRPr="008F446E" w14:paraId="0B680AAC" w14:textId="77777777" w:rsidTr="00711D8F">
        <w:tc>
          <w:tcPr>
            <w:tcW w:w="833" w:type="pct"/>
            <w:tcMar>
              <w:top w:w="30" w:type="dxa"/>
              <w:left w:w="75" w:type="dxa"/>
              <w:bottom w:w="30" w:type="dxa"/>
              <w:right w:w="75" w:type="dxa"/>
            </w:tcMar>
            <w:vAlign w:val="center"/>
            <w:hideMark/>
          </w:tcPr>
          <w:p w14:paraId="0E2D8D42" w14:textId="77777777" w:rsidR="00B379FD" w:rsidRPr="008F446E" w:rsidRDefault="00B379FD" w:rsidP="00711D8F">
            <w:pPr>
              <w:pStyle w:val="af3"/>
              <w:rPr>
                <w:rFonts w:ascii="楷体" w:hAnsi="楷体" w:hint="eastAsia"/>
              </w:rPr>
            </w:pPr>
            <w:r w:rsidRPr="008F446E">
              <w:rPr>
                <w:rFonts w:ascii="楷体" w:hAnsi="楷体" w:hint="eastAsia"/>
              </w:rPr>
              <w:t>发行日期</w:t>
            </w:r>
          </w:p>
        </w:tc>
        <w:tc>
          <w:tcPr>
            <w:tcW w:w="1667" w:type="pct"/>
            <w:tcMar>
              <w:top w:w="30" w:type="dxa"/>
              <w:left w:w="75" w:type="dxa"/>
              <w:bottom w:w="30" w:type="dxa"/>
              <w:right w:w="75" w:type="dxa"/>
            </w:tcMar>
            <w:vAlign w:val="center"/>
            <w:hideMark/>
          </w:tcPr>
          <w:p w14:paraId="0490C4C5" w14:textId="161C062D" w:rsidR="00B379FD" w:rsidRPr="008F446E" w:rsidRDefault="00B379FD" w:rsidP="00711D8F">
            <w:pPr>
              <w:pStyle w:val="af3"/>
              <w:rPr>
                <w:rFonts w:ascii="楷体" w:hAnsi="楷体" w:hint="eastAsia"/>
              </w:rPr>
            </w:pPr>
            <w:r w:rsidRPr="008F446E">
              <w:rPr>
                <w:rFonts w:ascii="楷体" w:hAnsi="楷体" w:hint="eastAsia"/>
              </w:rPr>
              <w:t>2019年</w:t>
            </w:r>
            <w:r w:rsidR="003E25EB" w:rsidRPr="008F446E">
              <w:rPr>
                <w:rFonts w:ascii="楷体" w:hAnsi="楷体" w:hint="eastAsia"/>
              </w:rPr>
              <w:t>9</w:t>
            </w:r>
            <w:r w:rsidRPr="008F446E">
              <w:rPr>
                <w:rFonts w:ascii="楷体" w:hAnsi="楷体" w:hint="eastAsia"/>
              </w:rPr>
              <w:t>月6日</w:t>
            </w:r>
          </w:p>
        </w:tc>
        <w:tc>
          <w:tcPr>
            <w:tcW w:w="834" w:type="pct"/>
            <w:tcMar>
              <w:top w:w="30" w:type="dxa"/>
              <w:left w:w="75" w:type="dxa"/>
              <w:bottom w:w="30" w:type="dxa"/>
              <w:right w:w="75" w:type="dxa"/>
            </w:tcMar>
            <w:vAlign w:val="center"/>
            <w:hideMark/>
          </w:tcPr>
          <w:p w14:paraId="40D96EFE" w14:textId="77777777" w:rsidR="00B379FD" w:rsidRPr="008F446E" w:rsidRDefault="00B379FD" w:rsidP="00711D8F">
            <w:pPr>
              <w:pStyle w:val="af3"/>
              <w:rPr>
                <w:rFonts w:ascii="楷体" w:hAnsi="楷体" w:hint="eastAsia"/>
              </w:rPr>
            </w:pPr>
            <w:r w:rsidRPr="008F446E">
              <w:rPr>
                <w:rFonts w:ascii="楷体" w:hAnsi="楷体" w:hint="eastAsia"/>
              </w:rPr>
              <w:t>成立日期/规模</w:t>
            </w:r>
          </w:p>
        </w:tc>
        <w:tc>
          <w:tcPr>
            <w:tcW w:w="1667" w:type="pct"/>
            <w:tcMar>
              <w:top w:w="30" w:type="dxa"/>
              <w:left w:w="75" w:type="dxa"/>
              <w:bottom w:w="30" w:type="dxa"/>
              <w:right w:w="75" w:type="dxa"/>
            </w:tcMar>
            <w:vAlign w:val="center"/>
            <w:hideMark/>
          </w:tcPr>
          <w:p w14:paraId="7083CD4E" w14:textId="1940E8B2" w:rsidR="00B379FD" w:rsidRPr="008F446E" w:rsidRDefault="00B379FD" w:rsidP="00711D8F">
            <w:pPr>
              <w:pStyle w:val="af3"/>
              <w:rPr>
                <w:rFonts w:ascii="楷体" w:hAnsi="楷体" w:hint="eastAsia"/>
              </w:rPr>
            </w:pPr>
            <w:r w:rsidRPr="008F446E">
              <w:rPr>
                <w:rFonts w:ascii="楷体" w:hAnsi="楷体" w:hint="eastAsia"/>
              </w:rPr>
              <w:t>2019年</w:t>
            </w:r>
            <w:r w:rsidR="003E25EB" w:rsidRPr="008F446E">
              <w:rPr>
                <w:rFonts w:ascii="楷体" w:hAnsi="楷体" w:hint="eastAsia"/>
              </w:rPr>
              <w:t>8</w:t>
            </w:r>
            <w:r w:rsidRPr="008F446E">
              <w:rPr>
                <w:rFonts w:ascii="楷体" w:hAnsi="楷体" w:hint="eastAsia"/>
              </w:rPr>
              <w:t>月1</w:t>
            </w:r>
            <w:r w:rsidR="003E25EB" w:rsidRPr="008F446E">
              <w:rPr>
                <w:rFonts w:ascii="楷体" w:hAnsi="楷体" w:hint="eastAsia"/>
              </w:rPr>
              <w:t>6</w:t>
            </w:r>
            <w:r w:rsidRPr="008F446E">
              <w:rPr>
                <w:rFonts w:ascii="楷体" w:hAnsi="楷体" w:hint="eastAsia"/>
              </w:rPr>
              <w:t>日/</w:t>
            </w:r>
            <w:r w:rsidR="00C90228" w:rsidRPr="008F446E">
              <w:rPr>
                <w:rFonts w:ascii="楷体" w:hAnsi="楷体" w:hint="eastAsia"/>
              </w:rPr>
              <w:t>7.26</w:t>
            </w:r>
            <w:r w:rsidRPr="008F446E">
              <w:rPr>
                <w:rFonts w:ascii="楷体" w:hAnsi="楷体" w:hint="eastAsia"/>
              </w:rPr>
              <w:t>亿份</w:t>
            </w:r>
          </w:p>
        </w:tc>
      </w:tr>
      <w:tr w:rsidR="00B379FD" w:rsidRPr="008F446E" w14:paraId="3324EBAE" w14:textId="77777777" w:rsidTr="00711D8F">
        <w:tc>
          <w:tcPr>
            <w:tcW w:w="833" w:type="pct"/>
            <w:tcMar>
              <w:top w:w="30" w:type="dxa"/>
              <w:left w:w="75" w:type="dxa"/>
              <w:bottom w:w="30" w:type="dxa"/>
              <w:right w:w="75" w:type="dxa"/>
            </w:tcMar>
            <w:vAlign w:val="center"/>
            <w:hideMark/>
          </w:tcPr>
          <w:p w14:paraId="316E1A2A" w14:textId="77777777" w:rsidR="00B379FD" w:rsidRPr="008F446E" w:rsidRDefault="00B379FD" w:rsidP="00711D8F">
            <w:pPr>
              <w:pStyle w:val="af3"/>
              <w:rPr>
                <w:rFonts w:ascii="楷体" w:hAnsi="楷体" w:hint="eastAsia"/>
              </w:rPr>
            </w:pPr>
            <w:r w:rsidRPr="008F446E">
              <w:rPr>
                <w:rFonts w:ascii="楷体" w:hAnsi="楷体" w:hint="eastAsia"/>
              </w:rPr>
              <w:t>资产规模</w:t>
            </w:r>
          </w:p>
        </w:tc>
        <w:tc>
          <w:tcPr>
            <w:tcW w:w="1667" w:type="pct"/>
            <w:tcMar>
              <w:top w:w="30" w:type="dxa"/>
              <w:left w:w="75" w:type="dxa"/>
              <w:bottom w:w="30" w:type="dxa"/>
              <w:right w:w="75" w:type="dxa"/>
            </w:tcMar>
            <w:vAlign w:val="center"/>
            <w:hideMark/>
          </w:tcPr>
          <w:p w14:paraId="67EE8124" w14:textId="205088BE" w:rsidR="00B379FD" w:rsidRPr="008F446E" w:rsidRDefault="00C90228" w:rsidP="00711D8F">
            <w:pPr>
              <w:pStyle w:val="af3"/>
              <w:rPr>
                <w:rFonts w:ascii="楷体" w:hAnsi="楷体" w:hint="eastAsia"/>
              </w:rPr>
            </w:pPr>
            <w:r w:rsidRPr="008F446E">
              <w:rPr>
                <w:rFonts w:ascii="楷体" w:hAnsi="楷体" w:hint="eastAsia"/>
              </w:rPr>
              <w:t>230.44</w:t>
            </w:r>
            <w:r w:rsidR="00B379FD" w:rsidRPr="008F446E">
              <w:rPr>
                <w:rFonts w:ascii="楷体" w:hAnsi="楷体" w:hint="eastAsia"/>
              </w:rPr>
              <w:t>亿元/（截止至：2026年04月2</w:t>
            </w:r>
            <w:r w:rsidRPr="008F446E">
              <w:rPr>
                <w:rFonts w:ascii="楷体" w:hAnsi="楷体" w:hint="eastAsia"/>
              </w:rPr>
              <w:t>7</w:t>
            </w:r>
            <w:r w:rsidR="00B379FD" w:rsidRPr="008F446E">
              <w:rPr>
                <w:rFonts w:ascii="楷体" w:hAnsi="楷体" w:hint="eastAsia"/>
              </w:rPr>
              <w:t>日）</w:t>
            </w:r>
          </w:p>
        </w:tc>
        <w:tc>
          <w:tcPr>
            <w:tcW w:w="834" w:type="pct"/>
            <w:tcMar>
              <w:top w:w="30" w:type="dxa"/>
              <w:left w:w="75" w:type="dxa"/>
              <w:bottom w:w="30" w:type="dxa"/>
              <w:right w:w="75" w:type="dxa"/>
            </w:tcMar>
            <w:vAlign w:val="center"/>
            <w:hideMark/>
          </w:tcPr>
          <w:p w14:paraId="43DD31A5" w14:textId="77777777" w:rsidR="00B379FD" w:rsidRPr="008F446E" w:rsidRDefault="00B379FD" w:rsidP="00711D8F">
            <w:pPr>
              <w:pStyle w:val="af3"/>
              <w:rPr>
                <w:rFonts w:ascii="楷体" w:hAnsi="楷体" w:hint="eastAsia"/>
              </w:rPr>
            </w:pPr>
            <w:r w:rsidRPr="008F446E">
              <w:rPr>
                <w:rFonts w:ascii="楷体" w:hAnsi="楷体" w:hint="eastAsia"/>
              </w:rPr>
              <w:t>份额规模</w:t>
            </w:r>
          </w:p>
        </w:tc>
        <w:tc>
          <w:tcPr>
            <w:tcW w:w="1667" w:type="pct"/>
            <w:tcMar>
              <w:top w:w="30" w:type="dxa"/>
              <w:left w:w="75" w:type="dxa"/>
              <w:bottom w:w="30" w:type="dxa"/>
              <w:right w:w="75" w:type="dxa"/>
            </w:tcMar>
            <w:vAlign w:val="center"/>
            <w:hideMark/>
          </w:tcPr>
          <w:p w14:paraId="17C6728B" w14:textId="629B9486" w:rsidR="00B379FD" w:rsidRPr="008F446E" w:rsidRDefault="00C90228" w:rsidP="00711D8F">
            <w:pPr>
              <w:pStyle w:val="af3"/>
              <w:rPr>
                <w:rFonts w:ascii="楷体" w:hAnsi="楷体" w:hint="eastAsia"/>
              </w:rPr>
            </w:pPr>
            <w:r w:rsidRPr="008F446E">
              <w:rPr>
                <w:rFonts w:ascii="楷体" w:hAnsi="楷体" w:hint="eastAsia"/>
              </w:rPr>
              <w:t>171</w:t>
            </w:r>
            <w:r w:rsidR="00537CE6" w:rsidRPr="008F446E">
              <w:rPr>
                <w:rFonts w:ascii="楷体" w:hAnsi="楷体" w:hint="eastAsia"/>
              </w:rPr>
              <w:t>.</w:t>
            </w:r>
            <w:r w:rsidRPr="008F446E">
              <w:rPr>
                <w:rFonts w:ascii="楷体" w:hAnsi="楷体" w:hint="eastAsia"/>
              </w:rPr>
              <w:t>87</w:t>
            </w:r>
            <w:r w:rsidR="00B379FD" w:rsidRPr="008F446E">
              <w:rPr>
                <w:rFonts w:ascii="楷体" w:hAnsi="楷体" w:hint="eastAsia"/>
              </w:rPr>
              <w:t>亿份/（截止至：2026年04月2</w:t>
            </w:r>
            <w:r w:rsidRPr="008F446E">
              <w:rPr>
                <w:rFonts w:ascii="楷体" w:hAnsi="楷体" w:hint="eastAsia"/>
              </w:rPr>
              <w:t>7</w:t>
            </w:r>
            <w:r w:rsidR="00B379FD" w:rsidRPr="008F446E">
              <w:rPr>
                <w:rFonts w:ascii="楷体" w:hAnsi="楷体" w:hint="eastAsia"/>
              </w:rPr>
              <w:t>日）</w:t>
            </w:r>
          </w:p>
        </w:tc>
      </w:tr>
      <w:tr w:rsidR="00B379FD" w:rsidRPr="008F446E" w14:paraId="46F2E062" w14:textId="77777777" w:rsidTr="00711D8F">
        <w:tc>
          <w:tcPr>
            <w:tcW w:w="833" w:type="pct"/>
            <w:tcMar>
              <w:top w:w="30" w:type="dxa"/>
              <w:left w:w="75" w:type="dxa"/>
              <w:bottom w:w="30" w:type="dxa"/>
              <w:right w:w="75" w:type="dxa"/>
            </w:tcMar>
            <w:vAlign w:val="center"/>
            <w:hideMark/>
          </w:tcPr>
          <w:p w14:paraId="2A7239FE" w14:textId="77777777" w:rsidR="00B379FD" w:rsidRPr="008F446E" w:rsidRDefault="00B379FD" w:rsidP="00711D8F">
            <w:pPr>
              <w:pStyle w:val="af3"/>
              <w:rPr>
                <w:rFonts w:ascii="楷体" w:hAnsi="楷体" w:hint="eastAsia"/>
              </w:rPr>
            </w:pPr>
            <w:r w:rsidRPr="008F446E">
              <w:rPr>
                <w:rFonts w:ascii="楷体" w:hAnsi="楷体" w:hint="eastAsia"/>
              </w:rPr>
              <w:t>基金管理人</w:t>
            </w:r>
          </w:p>
        </w:tc>
        <w:tc>
          <w:tcPr>
            <w:tcW w:w="1667" w:type="pct"/>
            <w:tcMar>
              <w:top w:w="30" w:type="dxa"/>
              <w:left w:w="75" w:type="dxa"/>
              <w:bottom w:w="30" w:type="dxa"/>
              <w:right w:w="75" w:type="dxa"/>
            </w:tcMar>
            <w:vAlign w:val="center"/>
            <w:hideMark/>
          </w:tcPr>
          <w:p w14:paraId="7B279F8F" w14:textId="0E4BC091" w:rsidR="00B379FD" w:rsidRPr="008F446E" w:rsidRDefault="00BD1D9F" w:rsidP="00711D8F">
            <w:pPr>
              <w:pStyle w:val="af3"/>
              <w:rPr>
                <w:rFonts w:ascii="楷体" w:hAnsi="楷体" w:hint="eastAsia"/>
              </w:rPr>
            </w:pPr>
            <w:r w:rsidRPr="008F446E">
              <w:rPr>
                <w:rFonts w:ascii="楷体" w:hAnsi="楷体" w:hint="eastAsia"/>
              </w:rPr>
              <w:t>国泰</w:t>
            </w:r>
            <w:r w:rsidR="00B379FD" w:rsidRPr="008F446E">
              <w:rPr>
                <w:rFonts w:ascii="楷体" w:hAnsi="楷体" w:hint="eastAsia"/>
              </w:rPr>
              <w:t>基金</w:t>
            </w:r>
          </w:p>
        </w:tc>
        <w:tc>
          <w:tcPr>
            <w:tcW w:w="834" w:type="pct"/>
            <w:tcMar>
              <w:top w:w="30" w:type="dxa"/>
              <w:left w:w="75" w:type="dxa"/>
              <w:bottom w:w="30" w:type="dxa"/>
              <w:right w:w="75" w:type="dxa"/>
            </w:tcMar>
            <w:vAlign w:val="center"/>
            <w:hideMark/>
          </w:tcPr>
          <w:p w14:paraId="3A212C6F" w14:textId="77777777" w:rsidR="00B379FD" w:rsidRPr="008F446E" w:rsidRDefault="00B379FD" w:rsidP="00711D8F">
            <w:pPr>
              <w:pStyle w:val="af3"/>
              <w:rPr>
                <w:rFonts w:ascii="楷体" w:hAnsi="楷体" w:hint="eastAsia"/>
              </w:rPr>
            </w:pPr>
            <w:r w:rsidRPr="008F446E">
              <w:rPr>
                <w:rFonts w:ascii="楷体" w:hAnsi="楷体" w:hint="eastAsia"/>
              </w:rPr>
              <w:t>基金托管人</w:t>
            </w:r>
          </w:p>
        </w:tc>
        <w:tc>
          <w:tcPr>
            <w:tcW w:w="1667" w:type="pct"/>
            <w:tcMar>
              <w:top w:w="30" w:type="dxa"/>
              <w:left w:w="75" w:type="dxa"/>
              <w:bottom w:w="30" w:type="dxa"/>
              <w:right w:w="75" w:type="dxa"/>
            </w:tcMar>
            <w:vAlign w:val="center"/>
            <w:hideMark/>
          </w:tcPr>
          <w:p w14:paraId="25B25EFD" w14:textId="184E367A" w:rsidR="00B379FD" w:rsidRPr="008F446E" w:rsidRDefault="00BD1D9F" w:rsidP="00711D8F">
            <w:pPr>
              <w:pStyle w:val="af3"/>
              <w:rPr>
                <w:rFonts w:ascii="楷体" w:hAnsi="楷体" w:hint="eastAsia"/>
              </w:rPr>
            </w:pPr>
            <w:r w:rsidRPr="008F446E">
              <w:rPr>
                <w:rFonts w:ascii="楷体" w:hAnsi="楷体" w:hint="eastAsia"/>
              </w:rPr>
              <w:t>工商</w:t>
            </w:r>
            <w:r w:rsidR="00B379FD" w:rsidRPr="008F446E">
              <w:rPr>
                <w:rFonts w:ascii="楷体" w:hAnsi="楷体" w:hint="eastAsia"/>
              </w:rPr>
              <w:t>银行</w:t>
            </w:r>
          </w:p>
        </w:tc>
      </w:tr>
      <w:tr w:rsidR="00B379FD" w:rsidRPr="008F446E" w14:paraId="3678B073" w14:textId="77777777" w:rsidTr="00711D8F">
        <w:tc>
          <w:tcPr>
            <w:tcW w:w="833" w:type="pct"/>
            <w:tcMar>
              <w:top w:w="30" w:type="dxa"/>
              <w:left w:w="75" w:type="dxa"/>
              <w:bottom w:w="30" w:type="dxa"/>
              <w:right w:w="75" w:type="dxa"/>
            </w:tcMar>
            <w:vAlign w:val="center"/>
            <w:hideMark/>
          </w:tcPr>
          <w:p w14:paraId="6E96EC96" w14:textId="77777777" w:rsidR="00B379FD" w:rsidRPr="008F446E" w:rsidRDefault="00B379FD" w:rsidP="00711D8F">
            <w:pPr>
              <w:pStyle w:val="af3"/>
              <w:rPr>
                <w:rFonts w:ascii="楷体" w:hAnsi="楷体" w:hint="eastAsia"/>
              </w:rPr>
            </w:pPr>
            <w:r w:rsidRPr="008F446E">
              <w:rPr>
                <w:rFonts w:ascii="楷体" w:hAnsi="楷体" w:hint="eastAsia"/>
              </w:rPr>
              <w:t>基金经理人</w:t>
            </w:r>
          </w:p>
        </w:tc>
        <w:tc>
          <w:tcPr>
            <w:tcW w:w="1667" w:type="pct"/>
            <w:tcMar>
              <w:top w:w="30" w:type="dxa"/>
              <w:left w:w="75" w:type="dxa"/>
              <w:bottom w:w="30" w:type="dxa"/>
              <w:right w:w="75" w:type="dxa"/>
            </w:tcMar>
            <w:vAlign w:val="center"/>
            <w:hideMark/>
          </w:tcPr>
          <w:p w14:paraId="2EFF204B" w14:textId="56B0F021" w:rsidR="00B379FD" w:rsidRPr="008F446E" w:rsidRDefault="00BF480B" w:rsidP="00711D8F">
            <w:pPr>
              <w:pStyle w:val="af3"/>
              <w:rPr>
                <w:rFonts w:ascii="楷体" w:hAnsi="楷体" w:hint="eastAsia"/>
              </w:rPr>
            </w:pPr>
            <w:r w:rsidRPr="008F446E">
              <w:rPr>
                <w:rFonts w:ascii="楷体" w:hAnsi="楷体" w:hint="eastAsia"/>
              </w:rPr>
              <w:t>艾小军</w:t>
            </w:r>
          </w:p>
        </w:tc>
        <w:tc>
          <w:tcPr>
            <w:tcW w:w="834" w:type="pct"/>
            <w:tcMar>
              <w:top w:w="30" w:type="dxa"/>
              <w:left w:w="75" w:type="dxa"/>
              <w:bottom w:w="30" w:type="dxa"/>
              <w:right w:w="75" w:type="dxa"/>
            </w:tcMar>
            <w:vAlign w:val="center"/>
            <w:hideMark/>
          </w:tcPr>
          <w:p w14:paraId="0C86A302" w14:textId="77777777" w:rsidR="00B379FD" w:rsidRPr="008F446E" w:rsidRDefault="00B379FD" w:rsidP="00711D8F">
            <w:pPr>
              <w:pStyle w:val="af3"/>
              <w:rPr>
                <w:rFonts w:ascii="楷体" w:hAnsi="楷体" w:hint="eastAsia"/>
              </w:rPr>
            </w:pPr>
            <w:r w:rsidRPr="008F446E">
              <w:rPr>
                <w:rFonts w:ascii="楷体" w:hAnsi="楷体" w:hint="eastAsia"/>
              </w:rPr>
              <w:t>成立来分红</w:t>
            </w:r>
          </w:p>
        </w:tc>
        <w:tc>
          <w:tcPr>
            <w:tcW w:w="1667" w:type="pct"/>
            <w:tcMar>
              <w:top w:w="30" w:type="dxa"/>
              <w:left w:w="75" w:type="dxa"/>
              <w:bottom w:w="30" w:type="dxa"/>
              <w:right w:w="75" w:type="dxa"/>
            </w:tcMar>
            <w:vAlign w:val="center"/>
            <w:hideMark/>
          </w:tcPr>
          <w:p w14:paraId="24283B53" w14:textId="77777777" w:rsidR="00B379FD" w:rsidRPr="008F446E" w:rsidRDefault="00B379FD" w:rsidP="00711D8F">
            <w:pPr>
              <w:pStyle w:val="af3"/>
              <w:rPr>
                <w:rFonts w:ascii="楷体" w:hAnsi="楷体" w:hint="eastAsia"/>
              </w:rPr>
            </w:pPr>
            <w:r w:rsidRPr="008F446E">
              <w:rPr>
                <w:rFonts w:ascii="楷体" w:hAnsi="楷体" w:hint="eastAsia"/>
              </w:rPr>
              <w:t>*</w:t>
            </w:r>
          </w:p>
        </w:tc>
      </w:tr>
      <w:tr w:rsidR="00B379FD" w:rsidRPr="008F446E" w14:paraId="7013F4D1" w14:textId="77777777" w:rsidTr="00711D8F">
        <w:tc>
          <w:tcPr>
            <w:tcW w:w="833" w:type="pct"/>
            <w:tcMar>
              <w:top w:w="30" w:type="dxa"/>
              <w:left w:w="75" w:type="dxa"/>
              <w:bottom w:w="30" w:type="dxa"/>
              <w:right w:w="75" w:type="dxa"/>
            </w:tcMar>
            <w:vAlign w:val="center"/>
            <w:hideMark/>
          </w:tcPr>
          <w:p w14:paraId="4F1608B0" w14:textId="77777777" w:rsidR="00B379FD" w:rsidRPr="008F446E" w:rsidRDefault="00B379FD" w:rsidP="00711D8F">
            <w:pPr>
              <w:pStyle w:val="af3"/>
              <w:rPr>
                <w:rFonts w:ascii="楷体" w:hAnsi="楷体" w:hint="eastAsia"/>
              </w:rPr>
            </w:pPr>
            <w:r w:rsidRPr="008F446E">
              <w:rPr>
                <w:rFonts w:ascii="楷体" w:hAnsi="楷体" w:hint="eastAsia"/>
              </w:rPr>
              <w:t>管理费率</w:t>
            </w:r>
          </w:p>
        </w:tc>
        <w:tc>
          <w:tcPr>
            <w:tcW w:w="1667" w:type="pct"/>
            <w:tcMar>
              <w:top w:w="30" w:type="dxa"/>
              <w:left w:w="75" w:type="dxa"/>
              <w:bottom w:w="30" w:type="dxa"/>
              <w:right w:w="75" w:type="dxa"/>
            </w:tcMar>
            <w:vAlign w:val="center"/>
            <w:hideMark/>
          </w:tcPr>
          <w:p w14:paraId="1B582AC5" w14:textId="77777777" w:rsidR="00B379FD" w:rsidRPr="008F446E" w:rsidRDefault="00B379FD" w:rsidP="00711D8F">
            <w:pPr>
              <w:pStyle w:val="af3"/>
              <w:rPr>
                <w:rFonts w:ascii="楷体" w:hAnsi="楷体" w:hint="eastAsia"/>
              </w:rPr>
            </w:pPr>
            <w:r w:rsidRPr="008F446E">
              <w:rPr>
                <w:rFonts w:ascii="楷体" w:hAnsi="楷体" w:hint="eastAsia"/>
              </w:rPr>
              <w:t>0.50%（每年）</w:t>
            </w:r>
          </w:p>
        </w:tc>
        <w:tc>
          <w:tcPr>
            <w:tcW w:w="834" w:type="pct"/>
            <w:tcMar>
              <w:top w:w="30" w:type="dxa"/>
              <w:left w:w="75" w:type="dxa"/>
              <w:bottom w:w="30" w:type="dxa"/>
              <w:right w:w="75" w:type="dxa"/>
            </w:tcMar>
            <w:vAlign w:val="center"/>
            <w:hideMark/>
          </w:tcPr>
          <w:p w14:paraId="206D9173" w14:textId="77777777" w:rsidR="00B379FD" w:rsidRPr="008F446E" w:rsidRDefault="00B379FD" w:rsidP="00711D8F">
            <w:pPr>
              <w:pStyle w:val="af3"/>
              <w:rPr>
                <w:rFonts w:ascii="楷体" w:hAnsi="楷体" w:hint="eastAsia"/>
              </w:rPr>
            </w:pPr>
            <w:r w:rsidRPr="008F446E">
              <w:rPr>
                <w:rFonts w:ascii="楷体" w:hAnsi="楷体" w:hint="eastAsia"/>
              </w:rPr>
              <w:t>托管费率</w:t>
            </w:r>
          </w:p>
        </w:tc>
        <w:tc>
          <w:tcPr>
            <w:tcW w:w="1667" w:type="pct"/>
            <w:tcMar>
              <w:top w:w="30" w:type="dxa"/>
              <w:left w:w="75" w:type="dxa"/>
              <w:bottom w:w="30" w:type="dxa"/>
              <w:right w:w="75" w:type="dxa"/>
            </w:tcMar>
            <w:vAlign w:val="center"/>
            <w:hideMark/>
          </w:tcPr>
          <w:p w14:paraId="2671A000" w14:textId="77777777" w:rsidR="00B379FD" w:rsidRPr="008F446E" w:rsidRDefault="00B379FD" w:rsidP="00711D8F">
            <w:pPr>
              <w:pStyle w:val="af3"/>
              <w:rPr>
                <w:rFonts w:ascii="楷体" w:hAnsi="楷体" w:hint="eastAsia"/>
              </w:rPr>
            </w:pPr>
            <w:r w:rsidRPr="008F446E">
              <w:rPr>
                <w:rFonts w:ascii="楷体" w:hAnsi="楷体" w:hint="eastAsia"/>
              </w:rPr>
              <w:t>0.10%（每年）</w:t>
            </w:r>
          </w:p>
        </w:tc>
      </w:tr>
      <w:tr w:rsidR="00B379FD" w:rsidRPr="008F446E" w14:paraId="42FEF285" w14:textId="77777777" w:rsidTr="00711D8F">
        <w:tc>
          <w:tcPr>
            <w:tcW w:w="833" w:type="pct"/>
            <w:tcMar>
              <w:top w:w="30" w:type="dxa"/>
              <w:left w:w="75" w:type="dxa"/>
              <w:bottom w:w="30" w:type="dxa"/>
              <w:right w:w="75" w:type="dxa"/>
            </w:tcMar>
            <w:vAlign w:val="center"/>
            <w:hideMark/>
          </w:tcPr>
          <w:p w14:paraId="48A3E771" w14:textId="77777777" w:rsidR="00B379FD" w:rsidRPr="008F446E" w:rsidRDefault="00B379FD" w:rsidP="00711D8F">
            <w:pPr>
              <w:pStyle w:val="af3"/>
              <w:rPr>
                <w:rFonts w:ascii="楷体" w:hAnsi="楷体" w:hint="eastAsia"/>
              </w:rPr>
            </w:pPr>
            <w:r w:rsidRPr="008F446E">
              <w:rPr>
                <w:rFonts w:ascii="楷体" w:hAnsi="楷体" w:hint="eastAsia"/>
              </w:rPr>
              <w:lastRenderedPageBreak/>
              <w:t>销售服务费率</w:t>
            </w:r>
          </w:p>
        </w:tc>
        <w:tc>
          <w:tcPr>
            <w:tcW w:w="1667" w:type="pct"/>
            <w:tcMar>
              <w:top w:w="30" w:type="dxa"/>
              <w:left w:w="75" w:type="dxa"/>
              <w:bottom w:w="30" w:type="dxa"/>
              <w:right w:w="75" w:type="dxa"/>
            </w:tcMar>
            <w:vAlign w:val="center"/>
            <w:hideMark/>
          </w:tcPr>
          <w:p w14:paraId="52F2BB15" w14:textId="77777777" w:rsidR="00B379FD" w:rsidRPr="008F446E" w:rsidRDefault="00B379FD" w:rsidP="00711D8F">
            <w:pPr>
              <w:pStyle w:val="af3"/>
              <w:rPr>
                <w:rFonts w:ascii="楷体" w:hAnsi="楷体" w:hint="eastAsia"/>
              </w:rPr>
            </w:pPr>
            <w:r w:rsidRPr="008F446E">
              <w:rPr>
                <w:rFonts w:ascii="楷体" w:hAnsi="楷体" w:hint="eastAsia"/>
              </w:rPr>
              <w:t>--（每年）</w:t>
            </w:r>
          </w:p>
        </w:tc>
        <w:tc>
          <w:tcPr>
            <w:tcW w:w="834" w:type="pct"/>
            <w:tcMar>
              <w:top w:w="30" w:type="dxa"/>
              <w:left w:w="75" w:type="dxa"/>
              <w:bottom w:w="30" w:type="dxa"/>
              <w:right w:w="75" w:type="dxa"/>
            </w:tcMar>
            <w:vAlign w:val="center"/>
            <w:hideMark/>
          </w:tcPr>
          <w:p w14:paraId="44FFF716" w14:textId="77777777" w:rsidR="00B379FD" w:rsidRPr="008F446E" w:rsidRDefault="00B379FD" w:rsidP="00711D8F">
            <w:pPr>
              <w:pStyle w:val="af3"/>
              <w:rPr>
                <w:rFonts w:ascii="楷体" w:hAnsi="楷体" w:hint="eastAsia"/>
              </w:rPr>
            </w:pPr>
            <w:r w:rsidRPr="008F446E">
              <w:rPr>
                <w:rFonts w:ascii="楷体" w:hAnsi="楷体" w:hint="eastAsia"/>
              </w:rPr>
              <w:t>跟踪标的</w:t>
            </w:r>
          </w:p>
        </w:tc>
        <w:tc>
          <w:tcPr>
            <w:tcW w:w="1667" w:type="pct"/>
            <w:tcMar>
              <w:top w:w="30" w:type="dxa"/>
              <w:left w:w="75" w:type="dxa"/>
              <w:bottom w:w="30" w:type="dxa"/>
              <w:right w:w="75" w:type="dxa"/>
            </w:tcMar>
            <w:vAlign w:val="center"/>
            <w:hideMark/>
          </w:tcPr>
          <w:p w14:paraId="2AB6D465" w14:textId="77777777" w:rsidR="00B379FD" w:rsidRPr="008F446E" w:rsidRDefault="00B379FD" w:rsidP="00711D8F">
            <w:pPr>
              <w:pStyle w:val="af3"/>
              <w:rPr>
                <w:rFonts w:ascii="楷体" w:hAnsi="楷体" w:hint="eastAsia"/>
              </w:rPr>
            </w:pPr>
            <w:r w:rsidRPr="008F446E">
              <w:rPr>
                <w:rFonts w:ascii="楷体" w:hAnsi="楷体" w:hint="eastAsia"/>
              </w:rPr>
              <w:t>新能电池</w:t>
            </w:r>
          </w:p>
        </w:tc>
      </w:tr>
      <w:tr w:rsidR="00B379FD" w:rsidRPr="008F446E" w14:paraId="44EBE857" w14:textId="77777777" w:rsidTr="00711D8F">
        <w:tc>
          <w:tcPr>
            <w:tcW w:w="833" w:type="pct"/>
            <w:tcMar>
              <w:top w:w="30" w:type="dxa"/>
              <w:left w:w="75" w:type="dxa"/>
              <w:bottom w:w="30" w:type="dxa"/>
              <w:right w:w="75" w:type="dxa"/>
            </w:tcMar>
            <w:vAlign w:val="center"/>
            <w:hideMark/>
          </w:tcPr>
          <w:p w14:paraId="49AAAB43" w14:textId="77777777" w:rsidR="00B379FD" w:rsidRPr="008F446E" w:rsidRDefault="00B379FD" w:rsidP="00711D8F">
            <w:pPr>
              <w:pStyle w:val="af3"/>
              <w:rPr>
                <w:rFonts w:ascii="楷体" w:hAnsi="楷体" w:hint="eastAsia"/>
              </w:rPr>
            </w:pPr>
            <w:r w:rsidRPr="008F446E">
              <w:rPr>
                <w:rFonts w:ascii="楷体" w:hAnsi="楷体" w:hint="eastAsia"/>
              </w:rPr>
              <w:t>业绩比较基准</w:t>
            </w:r>
          </w:p>
        </w:tc>
        <w:tc>
          <w:tcPr>
            <w:tcW w:w="4167" w:type="pct"/>
            <w:gridSpan w:val="3"/>
            <w:tcMar>
              <w:top w:w="30" w:type="dxa"/>
              <w:left w:w="75" w:type="dxa"/>
              <w:bottom w:w="30" w:type="dxa"/>
              <w:right w:w="75" w:type="dxa"/>
            </w:tcMar>
            <w:vAlign w:val="center"/>
            <w:hideMark/>
          </w:tcPr>
          <w:p w14:paraId="3379061A" w14:textId="3575F27A" w:rsidR="00B379FD" w:rsidRPr="008F446E" w:rsidRDefault="008B58C2" w:rsidP="00711D8F">
            <w:pPr>
              <w:pStyle w:val="af3"/>
              <w:rPr>
                <w:rFonts w:ascii="楷体" w:hAnsi="楷体" w:hint="eastAsia"/>
              </w:rPr>
            </w:pPr>
            <w:r w:rsidRPr="008F446E">
              <w:rPr>
                <w:rFonts w:ascii="楷体" w:hAnsi="楷体"/>
              </w:rPr>
              <w:t>中证全指通信设备指数收益率</w:t>
            </w:r>
          </w:p>
        </w:tc>
      </w:tr>
    </w:tbl>
    <w:p w14:paraId="3E781883" w14:textId="77777777" w:rsidR="000E7651" w:rsidRPr="008F446E" w:rsidRDefault="000E7651" w:rsidP="000E7651">
      <w:pPr>
        <w:rPr>
          <w:rFonts w:ascii="楷体" w:eastAsia="楷体" w:hAnsi="楷体" w:hint="eastAsia"/>
        </w:rPr>
      </w:pPr>
    </w:p>
    <w:p w14:paraId="25714A54" w14:textId="60A18BAA" w:rsidR="000E7651" w:rsidRPr="008F446E" w:rsidRDefault="000E7651" w:rsidP="00111496">
      <w:pPr>
        <w:pStyle w:val="3"/>
        <w:rPr>
          <w:rFonts w:ascii="楷体" w:eastAsia="楷体" w:hAnsi="楷体" w:hint="eastAsia"/>
        </w:rPr>
      </w:pPr>
      <w:r w:rsidRPr="008F446E">
        <w:rPr>
          <w:rFonts w:ascii="楷体" w:eastAsia="楷体" w:hAnsi="楷体" w:hint="eastAsia"/>
        </w:rPr>
        <w:t>.2.2 投资范围及策略</w:t>
      </w:r>
    </w:p>
    <w:p w14:paraId="0A5E42CF" w14:textId="77777777" w:rsidR="006505F2" w:rsidRPr="008F446E" w:rsidRDefault="006505F2" w:rsidP="000E7651">
      <w:pPr>
        <w:rPr>
          <w:rFonts w:ascii="楷体" w:eastAsia="楷体" w:hAnsi="楷体" w:hint="eastAsia"/>
        </w:rPr>
      </w:pPr>
      <w:r w:rsidRPr="008F446E">
        <w:rPr>
          <w:rFonts w:ascii="楷体" w:eastAsia="楷体" w:hAnsi="楷体"/>
        </w:rPr>
        <w:t xml:space="preserve">本基金为目标ETF的联接基金，以目标ETF作为其主要投资标的，方便投资人通过本基金投资目标ETF。本基金并不参与目标ETF的管理。本基金主要投资于目标ETF、标的指数成份股、备选成份股，其中，投资于目标ETF的比例不低于基金资产净值的90%。为更好地实现投资目标，本基金可少量投资于非标的指数成份股（包括中小板、创业板及其他经中国证监会核准上市的股票）、债券、债券回购、资产支持证券、银行存款、同业存单、货币市场工具、股指期货以及法律法规或中国证监会允许基金投资的其他金融工具。 </w:t>
      </w:r>
    </w:p>
    <w:p w14:paraId="496870A0" w14:textId="77777777" w:rsidR="00111496" w:rsidRPr="008F446E" w:rsidRDefault="006505F2" w:rsidP="000E7651">
      <w:pPr>
        <w:rPr>
          <w:rFonts w:ascii="楷体" w:eastAsia="楷体" w:hAnsi="楷体" w:hint="eastAsia"/>
        </w:rPr>
      </w:pPr>
      <w:r w:rsidRPr="008F446E">
        <w:rPr>
          <w:rFonts w:ascii="楷体" w:eastAsia="楷体" w:hAnsi="楷体"/>
        </w:rPr>
        <w:t xml:space="preserve">　</w:t>
      </w:r>
    </w:p>
    <w:tbl>
      <w:tblPr>
        <w:tblStyle w:val="af2"/>
        <w:tblW w:w="9215" w:type="dxa"/>
        <w:tblInd w:w="-431" w:type="dxa"/>
        <w:tblLook w:val="04A0" w:firstRow="1" w:lastRow="0" w:firstColumn="1" w:lastColumn="0" w:noHBand="0" w:noVBand="1"/>
      </w:tblPr>
      <w:tblGrid>
        <w:gridCol w:w="1226"/>
        <w:gridCol w:w="1185"/>
        <w:gridCol w:w="992"/>
        <w:gridCol w:w="5812"/>
      </w:tblGrid>
      <w:tr w:rsidR="00111496" w:rsidRPr="008F446E" w14:paraId="1740B9DF" w14:textId="77777777" w:rsidTr="00111496">
        <w:trPr>
          <w:trHeight w:val="402"/>
        </w:trPr>
        <w:tc>
          <w:tcPr>
            <w:tcW w:w="1226" w:type="dxa"/>
            <w:noWrap/>
            <w:hideMark/>
          </w:tcPr>
          <w:p w14:paraId="46B589F5" w14:textId="77777777" w:rsidR="00111496" w:rsidRPr="008F446E" w:rsidRDefault="00111496" w:rsidP="00111496">
            <w:pPr>
              <w:rPr>
                <w:rFonts w:ascii="楷体" w:eastAsia="楷体" w:hAnsi="楷体" w:hint="eastAsia"/>
                <w:b/>
                <w:bCs/>
              </w:rPr>
            </w:pPr>
            <w:r w:rsidRPr="008F446E">
              <w:rPr>
                <w:rFonts w:ascii="楷体" w:eastAsia="楷体" w:hAnsi="楷体"/>
                <w:b/>
                <w:bCs/>
              </w:rPr>
              <w:t>证券代码</w:t>
            </w:r>
          </w:p>
        </w:tc>
        <w:tc>
          <w:tcPr>
            <w:tcW w:w="1185" w:type="dxa"/>
            <w:noWrap/>
            <w:hideMark/>
          </w:tcPr>
          <w:p w14:paraId="3D7A620F" w14:textId="77777777" w:rsidR="00111496" w:rsidRPr="008F446E" w:rsidRDefault="00111496">
            <w:pPr>
              <w:rPr>
                <w:rFonts w:ascii="楷体" w:eastAsia="楷体" w:hAnsi="楷体" w:hint="eastAsia"/>
                <w:b/>
                <w:bCs/>
              </w:rPr>
            </w:pPr>
            <w:r w:rsidRPr="008F446E">
              <w:rPr>
                <w:rFonts w:ascii="楷体" w:eastAsia="楷体" w:hAnsi="楷体"/>
                <w:b/>
                <w:bCs/>
              </w:rPr>
              <w:t>证券简称</w:t>
            </w:r>
          </w:p>
        </w:tc>
        <w:tc>
          <w:tcPr>
            <w:tcW w:w="992" w:type="dxa"/>
            <w:noWrap/>
            <w:hideMark/>
          </w:tcPr>
          <w:p w14:paraId="1B109C10" w14:textId="77777777" w:rsidR="00111496" w:rsidRPr="008F446E" w:rsidRDefault="00111496">
            <w:pPr>
              <w:rPr>
                <w:rFonts w:ascii="楷体" w:eastAsia="楷体" w:hAnsi="楷体" w:hint="eastAsia"/>
                <w:b/>
                <w:bCs/>
              </w:rPr>
            </w:pPr>
            <w:r w:rsidRPr="008F446E">
              <w:rPr>
                <w:rFonts w:ascii="楷体" w:eastAsia="楷体" w:hAnsi="楷体"/>
                <w:b/>
                <w:bCs/>
              </w:rPr>
              <w:t>占基金净值比(%)</w:t>
            </w:r>
          </w:p>
        </w:tc>
        <w:tc>
          <w:tcPr>
            <w:tcW w:w="5812" w:type="dxa"/>
            <w:hideMark/>
          </w:tcPr>
          <w:p w14:paraId="673FD7A5" w14:textId="77777777" w:rsidR="00111496" w:rsidRPr="008F446E" w:rsidRDefault="00111496">
            <w:pPr>
              <w:rPr>
                <w:rFonts w:ascii="楷体" w:eastAsia="楷体" w:hAnsi="楷体" w:hint="eastAsia"/>
                <w:b/>
                <w:bCs/>
              </w:rPr>
            </w:pPr>
            <w:r w:rsidRPr="008F446E">
              <w:rPr>
                <w:rFonts w:ascii="楷体" w:eastAsia="楷体" w:hAnsi="楷体"/>
                <w:b/>
                <w:bCs/>
              </w:rPr>
              <w:t>简介</w:t>
            </w:r>
          </w:p>
        </w:tc>
      </w:tr>
      <w:tr w:rsidR="00111496" w:rsidRPr="008F446E" w14:paraId="53A75250" w14:textId="77777777" w:rsidTr="00111496">
        <w:trPr>
          <w:trHeight w:val="855"/>
        </w:trPr>
        <w:tc>
          <w:tcPr>
            <w:tcW w:w="1226" w:type="dxa"/>
            <w:noWrap/>
            <w:hideMark/>
          </w:tcPr>
          <w:p w14:paraId="29276D31" w14:textId="77777777" w:rsidR="00111496" w:rsidRPr="008F446E" w:rsidRDefault="00111496">
            <w:pPr>
              <w:rPr>
                <w:rFonts w:ascii="楷体" w:eastAsia="楷体" w:hAnsi="楷体" w:hint="eastAsia"/>
              </w:rPr>
            </w:pPr>
            <w:r w:rsidRPr="008F446E">
              <w:rPr>
                <w:rFonts w:ascii="楷体" w:eastAsia="楷体" w:hAnsi="楷体"/>
              </w:rPr>
              <w:t>300502.SZ</w:t>
            </w:r>
          </w:p>
        </w:tc>
        <w:tc>
          <w:tcPr>
            <w:tcW w:w="1185" w:type="dxa"/>
            <w:noWrap/>
            <w:hideMark/>
          </w:tcPr>
          <w:p w14:paraId="6894A7B9" w14:textId="77777777" w:rsidR="00111496" w:rsidRPr="008F446E" w:rsidRDefault="00111496">
            <w:pPr>
              <w:rPr>
                <w:rFonts w:ascii="楷体" w:eastAsia="楷体" w:hAnsi="楷体" w:hint="eastAsia"/>
              </w:rPr>
            </w:pPr>
            <w:r w:rsidRPr="008F446E">
              <w:rPr>
                <w:rFonts w:ascii="楷体" w:eastAsia="楷体" w:hAnsi="楷体"/>
              </w:rPr>
              <w:t>新易盛</w:t>
            </w:r>
          </w:p>
        </w:tc>
        <w:tc>
          <w:tcPr>
            <w:tcW w:w="992" w:type="dxa"/>
            <w:noWrap/>
            <w:hideMark/>
          </w:tcPr>
          <w:p w14:paraId="29F34384" w14:textId="77777777" w:rsidR="00111496" w:rsidRPr="008F446E" w:rsidRDefault="00111496">
            <w:pPr>
              <w:rPr>
                <w:rFonts w:ascii="楷体" w:eastAsia="楷体" w:hAnsi="楷体" w:hint="eastAsia"/>
              </w:rPr>
            </w:pPr>
            <w:r w:rsidRPr="008F446E">
              <w:rPr>
                <w:rFonts w:ascii="楷体" w:eastAsia="楷体" w:hAnsi="楷体"/>
              </w:rPr>
              <w:t>15.00</w:t>
            </w:r>
          </w:p>
        </w:tc>
        <w:tc>
          <w:tcPr>
            <w:tcW w:w="5812" w:type="dxa"/>
            <w:hideMark/>
          </w:tcPr>
          <w:p w14:paraId="7471FA96" w14:textId="77777777" w:rsidR="00111496" w:rsidRPr="008F446E" w:rsidRDefault="00111496">
            <w:pPr>
              <w:rPr>
                <w:rFonts w:ascii="楷体" w:eastAsia="楷体" w:hAnsi="楷体" w:hint="eastAsia"/>
              </w:rPr>
            </w:pPr>
            <w:r w:rsidRPr="008F446E">
              <w:rPr>
                <w:rFonts w:ascii="楷体" w:eastAsia="楷体" w:hAnsi="楷体"/>
              </w:rPr>
              <w:t>国内光模块核心供应商之一，深度布局 800G/1.6T 高速光模块，在硅光及 LPO（线性驱动可插拔光学）技术路线具备先发优势。客户覆盖北美云厂商及国内互联网巨头，受益于 AI 算力基础设施扩容，高速产品占比持续提升，盈利能力行业领先。</w:t>
            </w:r>
          </w:p>
        </w:tc>
      </w:tr>
      <w:tr w:rsidR="00111496" w:rsidRPr="008F446E" w14:paraId="41C3F684" w14:textId="77777777" w:rsidTr="00111496">
        <w:trPr>
          <w:trHeight w:val="855"/>
        </w:trPr>
        <w:tc>
          <w:tcPr>
            <w:tcW w:w="1226" w:type="dxa"/>
            <w:noWrap/>
            <w:hideMark/>
          </w:tcPr>
          <w:p w14:paraId="550DB0C9" w14:textId="77777777" w:rsidR="00111496" w:rsidRPr="008F446E" w:rsidRDefault="00111496">
            <w:pPr>
              <w:rPr>
                <w:rFonts w:ascii="楷体" w:eastAsia="楷体" w:hAnsi="楷体" w:hint="eastAsia"/>
              </w:rPr>
            </w:pPr>
            <w:r w:rsidRPr="008F446E">
              <w:rPr>
                <w:rFonts w:ascii="楷体" w:eastAsia="楷体" w:hAnsi="楷体"/>
              </w:rPr>
              <w:t>300308.SZ</w:t>
            </w:r>
          </w:p>
        </w:tc>
        <w:tc>
          <w:tcPr>
            <w:tcW w:w="1185" w:type="dxa"/>
            <w:noWrap/>
            <w:hideMark/>
          </w:tcPr>
          <w:p w14:paraId="0943F42D" w14:textId="77777777" w:rsidR="00111496" w:rsidRPr="008F446E" w:rsidRDefault="00111496">
            <w:pPr>
              <w:rPr>
                <w:rFonts w:ascii="楷体" w:eastAsia="楷体" w:hAnsi="楷体" w:hint="eastAsia"/>
              </w:rPr>
            </w:pPr>
            <w:r w:rsidRPr="008F446E">
              <w:rPr>
                <w:rFonts w:ascii="楷体" w:eastAsia="楷体" w:hAnsi="楷体"/>
              </w:rPr>
              <w:t>中际旭创</w:t>
            </w:r>
          </w:p>
        </w:tc>
        <w:tc>
          <w:tcPr>
            <w:tcW w:w="992" w:type="dxa"/>
            <w:noWrap/>
            <w:hideMark/>
          </w:tcPr>
          <w:p w14:paraId="0EFB1E12" w14:textId="77777777" w:rsidR="00111496" w:rsidRPr="008F446E" w:rsidRDefault="00111496">
            <w:pPr>
              <w:rPr>
                <w:rFonts w:ascii="楷体" w:eastAsia="楷体" w:hAnsi="楷体" w:hint="eastAsia"/>
              </w:rPr>
            </w:pPr>
            <w:r w:rsidRPr="008F446E">
              <w:rPr>
                <w:rFonts w:ascii="楷体" w:eastAsia="楷体" w:hAnsi="楷体"/>
              </w:rPr>
              <w:t>13.66</w:t>
            </w:r>
          </w:p>
        </w:tc>
        <w:tc>
          <w:tcPr>
            <w:tcW w:w="5812" w:type="dxa"/>
            <w:hideMark/>
          </w:tcPr>
          <w:p w14:paraId="52BD4319" w14:textId="77777777" w:rsidR="00111496" w:rsidRPr="008F446E" w:rsidRDefault="00111496">
            <w:pPr>
              <w:rPr>
                <w:rFonts w:ascii="楷体" w:eastAsia="楷体" w:hAnsi="楷体" w:hint="eastAsia"/>
              </w:rPr>
            </w:pPr>
            <w:r w:rsidRPr="008F446E">
              <w:rPr>
                <w:rFonts w:ascii="楷体" w:eastAsia="楷体" w:hAnsi="楷体"/>
              </w:rPr>
              <w:t>全球光模块龙头，800G 出货量市占率第一，1.6T 硅光模块已进入英伟达、谷歌等核心客户供应链。通过收购储翰科技完善硅光芯片自主能力，深度绑定台积电 CMOS 代工资源。AI 驱动下，公司技术迭代与客户卡位优势显著，是 1.6T 时代最确定的受益标的之一。</w:t>
            </w:r>
          </w:p>
        </w:tc>
      </w:tr>
      <w:tr w:rsidR="00111496" w:rsidRPr="008F446E" w14:paraId="05816242" w14:textId="77777777" w:rsidTr="00111496">
        <w:trPr>
          <w:trHeight w:val="855"/>
        </w:trPr>
        <w:tc>
          <w:tcPr>
            <w:tcW w:w="1226" w:type="dxa"/>
            <w:noWrap/>
            <w:hideMark/>
          </w:tcPr>
          <w:p w14:paraId="15D4F707" w14:textId="77777777" w:rsidR="00111496" w:rsidRPr="008F446E" w:rsidRDefault="00111496">
            <w:pPr>
              <w:rPr>
                <w:rFonts w:ascii="楷体" w:eastAsia="楷体" w:hAnsi="楷体" w:hint="eastAsia"/>
              </w:rPr>
            </w:pPr>
            <w:r w:rsidRPr="008F446E">
              <w:rPr>
                <w:rFonts w:ascii="楷体" w:eastAsia="楷体" w:hAnsi="楷体"/>
              </w:rPr>
              <w:t>601138.SH</w:t>
            </w:r>
          </w:p>
        </w:tc>
        <w:tc>
          <w:tcPr>
            <w:tcW w:w="1185" w:type="dxa"/>
            <w:noWrap/>
            <w:hideMark/>
          </w:tcPr>
          <w:p w14:paraId="26158F8D" w14:textId="77777777" w:rsidR="00111496" w:rsidRPr="008F446E" w:rsidRDefault="00111496">
            <w:pPr>
              <w:rPr>
                <w:rFonts w:ascii="楷体" w:eastAsia="楷体" w:hAnsi="楷体" w:hint="eastAsia"/>
              </w:rPr>
            </w:pPr>
            <w:r w:rsidRPr="008F446E">
              <w:rPr>
                <w:rFonts w:ascii="楷体" w:eastAsia="楷体" w:hAnsi="楷体"/>
              </w:rPr>
              <w:t>工业富联</w:t>
            </w:r>
          </w:p>
        </w:tc>
        <w:tc>
          <w:tcPr>
            <w:tcW w:w="992" w:type="dxa"/>
            <w:noWrap/>
            <w:hideMark/>
          </w:tcPr>
          <w:p w14:paraId="2430DD0E" w14:textId="77777777" w:rsidR="00111496" w:rsidRPr="008F446E" w:rsidRDefault="00111496">
            <w:pPr>
              <w:rPr>
                <w:rFonts w:ascii="楷体" w:eastAsia="楷体" w:hAnsi="楷体" w:hint="eastAsia"/>
              </w:rPr>
            </w:pPr>
            <w:r w:rsidRPr="008F446E">
              <w:rPr>
                <w:rFonts w:ascii="楷体" w:eastAsia="楷体" w:hAnsi="楷体"/>
              </w:rPr>
              <w:t>10.42</w:t>
            </w:r>
          </w:p>
        </w:tc>
        <w:tc>
          <w:tcPr>
            <w:tcW w:w="5812" w:type="dxa"/>
            <w:hideMark/>
          </w:tcPr>
          <w:p w14:paraId="019D2AD8" w14:textId="77777777" w:rsidR="00111496" w:rsidRPr="008F446E" w:rsidRDefault="00111496">
            <w:pPr>
              <w:rPr>
                <w:rFonts w:ascii="楷体" w:eastAsia="楷体" w:hAnsi="楷体" w:hint="eastAsia"/>
              </w:rPr>
            </w:pPr>
            <w:r w:rsidRPr="008F446E">
              <w:rPr>
                <w:rFonts w:ascii="楷体" w:eastAsia="楷体" w:hAnsi="楷体"/>
              </w:rPr>
              <w:t>全球电子制造服务（EMS）巨头，深度绑定英伟达 AI 服务器代工业务，覆盖 GPU 模组、HGX 基板及整机组装。随着英伟达 Blackwell/Rubin 平台放量，公司作为核心代工厂直接受益于 AI 服务器出货量激增，同时向上游光互联、液冷等环节延伸布局。</w:t>
            </w:r>
          </w:p>
        </w:tc>
      </w:tr>
      <w:tr w:rsidR="00111496" w:rsidRPr="008F446E" w14:paraId="6907A260" w14:textId="77777777" w:rsidTr="00111496">
        <w:trPr>
          <w:trHeight w:val="855"/>
        </w:trPr>
        <w:tc>
          <w:tcPr>
            <w:tcW w:w="1226" w:type="dxa"/>
            <w:noWrap/>
            <w:hideMark/>
          </w:tcPr>
          <w:p w14:paraId="4FA343E3" w14:textId="77777777" w:rsidR="00111496" w:rsidRPr="008F446E" w:rsidRDefault="00111496">
            <w:pPr>
              <w:rPr>
                <w:rFonts w:ascii="楷体" w:eastAsia="楷体" w:hAnsi="楷体" w:hint="eastAsia"/>
              </w:rPr>
            </w:pPr>
            <w:r w:rsidRPr="008F446E">
              <w:rPr>
                <w:rFonts w:ascii="楷体" w:eastAsia="楷体" w:hAnsi="楷体"/>
              </w:rPr>
              <w:t>300394.SZ</w:t>
            </w:r>
          </w:p>
        </w:tc>
        <w:tc>
          <w:tcPr>
            <w:tcW w:w="1185" w:type="dxa"/>
            <w:noWrap/>
            <w:hideMark/>
          </w:tcPr>
          <w:p w14:paraId="45702C7F" w14:textId="77777777" w:rsidR="00111496" w:rsidRPr="008F446E" w:rsidRDefault="00111496">
            <w:pPr>
              <w:rPr>
                <w:rFonts w:ascii="楷体" w:eastAsia="楷体" w:hAnsi="楷体" w:hint="eastAsia"/>
              </w:rPr>
            </w:pPr>
            <w:r w:rsidRPr="008F446E">
              <w:rPr>
                <w:rFonts w:ascii="楷体" w:eastAsia="楷体" w:hAnsi="楷体"/>
              </w:rPr>
              <w:t>天孚通信</w:t>
            </w:r>
          </w:p>
        </w:tc>
        <w:tc>
          <w:tcPr>
            <w:tcW w:w="992" w:type="dxa"/>
            <w:noWrap/>
            <w:hideMark/>
          </w:tcPr>
          <w:p w14:paraId="7B67D43B" w14:textId="77777777" w:rsidR="00111496" w:rsidRPr="008F446E" w:rsidRDefault="00111496">
            <w:pPr>
              <w:rPr>
                <w:rFonts w:ascii="楷体" w:eastAsia="楷体" w:hAnsi="楷体" w:hint="eastAsia"/>
              </w:rPr>
            </w:pPr>
            <w:r w:rsidRPr="008F446E">
              <w:rPr>
                <w:rFonts w:ascii="楷体" w:eastAsia="楷体" w:hAnsi="楷体"/>
              </w:rPr>
              <w:t>7.14</w:t>
            </w:r>
          </w:p>
        </w:tc>
        <w:tc>
          <w:tcPr>
            <w:tcW w:w="5812" w:type="dxa"/>
            <w:hideMark/>
          </w:tcPr>
          <w:p w14:paraId="5945E24E" w14:textId="77777777" w:rsidR="00111496" w:rsidRPr="008F446E" w:rsidRDefault="00111496">
            <w:pPr>
              <w:rPr>
                <w:rFonts w:ascii="楷体" w:eastAsia="楷体" w:hAnsi="楷体" w:hint="eastAsia"/>
              </w:rPr>
            </w:pPr>
            <w:r w:rsidRPr="008F446E">
              <w:rPr>
                <w:rFonts w:ascii="楷体" w:eastAsia="楷体" w:hAnsi="楷体"/>
              </w:rPr>
              <w:t>光器件细分领域隐形冠军，主营光引擎、光隔离器、Mux/Demux 等无源/有源器件。为 800G/1.6T 光模块提供核心光学组件，深度配套中际旭创、新易盛等模块厂商。随着高速模块集成度提升，公司光引擎业务向更高价值量升级，是光模块产业链上游的关键卡位者。</w:t>
            </w:r>
          </w:p>
        </w:tc>
      </w:tr>
      <w:tr w:rsidR="00111496" w:rsidRPr="008F446E" w14:paraId="6FFFB8FC" w14:textId="77777777" w:rsidTr="00111496">
        <w:trPr>
          <w:trHeight w:val="855"/>
        </w:trPr>
        <w:tc>
          <w:tcPr>
            <w:tcW w:w="1226" w:type="dxa"/>
            <w:noWrap/>
            <w:hideMark/>
          </w:tcPr>
          <w:p w14:paraId="64ED271F" w14:textId="77777777" w:rsidR="00111496" w:rsidRPr="008F446E" w:rsidRDefault="00111496">
            <w:pPr>
              <w:rPr>
                <w:rFonts w:ascii="楷体" w:eastAsia="楷体" w:hAnsi="楷体" w:hint="eastAsia"/>
              </w:rPr>
            </w:pPr>
            <w:r w:rsidRPr="008F446E">
              <w:rPr>
                <w:rFonts w:ascii="楷体" w:eastAsia="楷体" w:hAnsi="楷体"/>
              </w:rPr>
              <w:t>000063.SZ</w:t>
            </w:r>
          </w:p>
        </w:tc>
        <w:tc>
          <w:tcPr>
            <w:tcW w:w="1185" w:type="dxa"/>
            <w:noWrap/>
            <w:hideMark/>
          </w:tcPr>
          <w:p w14:paraId="7902BFD4" w14:textId="77777777" w:rsidR="00111496" w:rsidRPr="008F446E" w:rsidRDefault="00111496">
            <w:pPr>
              <w:rPr>
                <w:rFonts w:ascii="楷体" w:eastAsia="楷体" w:hAnsi="楷体" w:hint="eastAsia"/>
              </w:rPr>
            </w:pPr>
            <w:r w:rsidRPr="008F446E">
              <w:rPr>
                <w:rFonts w:ascii="楷体" w:eastAsia="楷体" w:hAnsi="楷体"/>
              </w:rPr>
              <w:t>中兴通讯</w:t>
            </w:r>
          </w:p>
        </w:tc>
        <w:tc>
          <w:tcPr>
            <w:tcW w:w="992" w:type="dxa"/>
            <w:noWrap/>
            <w:hideMark/>
          </w:tcPr>
          <w:p w14:paraId="7986139C" w14:textId="77777777" w:rsidR="00111496" w:rsidRPr="008F446E" w:rsidRDefault="00111496">
            <w:pPr>
              <w:rPr>
                <w:rFonts w:ascii="楷体" w:eastAsia="楷体" w:hAnsi="楷体" w:hint="eastAsia"/>
              </w:rPr>
            </w:pPr>
            <w:r w:rsidRPr="008F446E">
              <w:rPr>
                <w:rFonts w:ascii="楷体" w:eastAsia="楷体" w:hAnsi="楷体"/>
              </w:rPr>
              <w:t>5.35</w:t>
            </w:r>
          </w:p>
        </w:tc>
        <w:tc>
          <w:tcPr>
            <w:tcW w:w="5812" w:type="dxa"/>
            <w:hideMark/>
          </w:tcPr>
          <w:p w14:paraId="27AB4195" w14:textId="77777777" w:rsidR="00111496" w:rsidRPr="008F446E" w:rsidRDefault="00111496">
            <w:pPr>
              <w:rPr>
                <w:rFonts w:ascii="楷体" w:eastAsia="楷体" w:hAnsi="楷体" w:hint="eastAsia"/>
              </w:rPr>
            </w:pPr>
            <w:r w:rsidRPr="008F446E">
              <w:rPr>
                <w:rFonts w:ascii="楷体" w:eastAsia="楷体" w:hAnsi="楷体"/>
              </w:rPr>
              <w:t>全球通信设备四强之一，覆盖无线基站、光传输、核心网及算力基础设施。在光通信领域具备从芯片到系统的垂直</w:t>
            </w:r>
            <w:r w:rsidRPr="008F446E">
              <w:rPr>
                <w:rFonts w:ascii="楷体" w:eastAsia="楷体" w:hAnsi="楷体"/>
              </w:rPr>
              <w:lastRenderedPageBreak/>
              <w:t>能力，自研 400G/800G 光模块及 OTN 设备。受益于国内算力网络建设及海外 5G-A/FTTR 升级，是电信级光通信市场的核心参与者。</w:t>
            </w:r>
          </w:p>
        </w:tc>
      </w:tr>
      <w:tr w:rsidR="00111496" w:rsidRPr="008F446E" w14:paraId="7982E374" w14:textId="77777777" w:rsidTr="00111496">
        <w:trPr>
          <w:trHeight w:val="855"/>
        </w:trPr>
        <w:tc>
          <w:tcPr>
            <w:tcW w:w="1226" w:type="dxa"/>
            <w:noWrap/>
            <w:hideMark/>
          </w:tcPr>
          <w:p w14:paraId="40687CCE" w14:textId="77777777" w:rsidR="00111496" w:rsidRPr="008F446E" w:rsidRDefault="00111496">
            <w:pPr>
              <w:rPr>
                <w:rFonts w:ascii="楷体" w:eastAsia="楷体" w:hAnsi="楷体" w:hint="eastAsia"/>
              </w:rPr>
            </w:pPr>
            <w:r w:rsidRPr="008F446E">
              <w:rPr>
                <w:rFonts w:ascii="楷体" w:eastAsia="楷体" w:hAnsi="楷体"/>
              </w:rPr>
              <w:lastRenderedPageBreak/>
              <w:t>600487.SH</w:t>
            </w:r>
          </w:p>
        </w:tc>
        <w:tc>
          <w:tcPr>
            <w:tcW w:w="1185" w:type="dxa"/>
            <w:noWrap/>
            <w:hideMark/>
          </w:tcPr>
          <w:p w14:paraId="0388BBFD" w14:textId="77777777" w:rsidR="00111496" w:rsidRPr="008F446E" w:rsidRDefault="00111496">
            <w:pPr>
              <w:rPr>
                <w:rFonts w:ascii="楷体" w:eastAsia="楷体" w:hAnsi="楷体" w:hint="eastAsia"/>
              </w:rPr>
            </w:pPr>
            <w:r w:rsidRPr="008F446E">
              <w:rPr>
                <w:rFonts w:ascii="楷体" w:eastAsia="楷体" w:hAnsi="楷体"/>
              </w:rPr>
              <w:t>亨通光电</w:t>
            </w:r>
          </w:p>
        </w:tc>
        <w:tc>
          <w:tcPr>
            <w:tcW w:w="992" w:type="dxa"/>
            <w:noWrap/>
            <w:hideMark/>
          </w:tcPr>
          <w:p w14:paraId="2FA08186" w14:textId="77777777" w:rsidR="00111496" w:rsidRPr="008F446E" w:rsidRDefault="00111496">
            <w:pPr>
              <w:rPr>
                <w:rFonts w:ascii="楷体" w:eastAsia="楷体" w:hAnsi="楷体" w:hint="eastAsia"/>
              </w:rPr>
            </w:pPr>
            <w:r w:rsidRPr="008F446E">
              <w:rPr>
                <w:rFonts w:ascii="楷体" w:eastAsia="楷体" w:hAnsi="楷体"/>
              </w:rPr>
              <w:t>5.30</w:t>
            </w:r>
          </w:p>
        </w:tc>
        <w:tc>
          <w:tcPr>
            <w:tcW w:w="5812" w:type="dxa"/>
            <w:hideMark/>
          </w:tcPr>
          <w:p w14:paraId="3B95B664" w14:textId="77777777" w:rsidR="00111496" w:rsidRPr="008F446E" w:rsidRDefault="00111496">
            <w:pPr>
              <w:rPr>
                <w:rFonts w:ascii="楷体" w:eastAsia="楷体" w:hAnsi="楷体" w:hint="eastAsia"/>
              </w:rPr>
            </w:pPr>
            <w:r w:rsidRPr="008F446E">
              <w:rPr>
                <w:rFonts w:ascii="楷体" w:eastAsia="楷体" w:hAnsi="楷体"/>
              </w:rPr>
              <w:t>全球光纤光缆前三强，业务覆盖光纤预制棒、海缆、光模块及海洋通信工程。在光通信领域具备"棒纤缆"一体化成本优势，海缆业务受益于全球海上风电及跨洋通信建设。随着 AI 算力网络向边缘延伸，光纤基础设施需求刚性，公司作为光通信底座厂商持续受益。</w:t>
            </w:r>
          </w:p>
        </w:tc>
      </w:tr>
      <w:tr w:rsidR="00111496" w:rsidRPr="008F446E" w14:paraId="59599CE1" w14:textId="77777777" w:rsidTr="00111496">
        <w:trPr>
          <w:trHeight w:val="855"/>
        </w:trPr>
        <w:tc>
          <w:tcPr>
            <w:tcW w:w="1226" w:type="dxa"/>
            <w:noWrap/>
            <w:hideMark/>
          </w:tcPr>
          <w:p w14:paraId="2D5CE422" w14:textId="77777777" w:rsidR="00111496" w:rsidRPr="008F446E" w:rsidRDefault="00111496">
            <w:pPr>
              <w:rPr>
                <w:rFonts w:ascii="楷体" w:eastAsia="楷体" w:hAnsi="楷体" w:hint="eastAsia"/>
              </w:rPr>
            </w:pPr>
            <w:r w:rsidRPr="008F446E">
              <w:rPr>
                <w:rFonts w:ascii="楷体" w:eastAsia="楷体" w:hAnsi="楷体"/>
              </w:rPr>
              <w:t>600522.SH</w:t>
            </w:r>
          </w:p>
        </w:tc>
        <w:tc>
          <w:tcPr>
            <w:tcW w:w="1185" w:type="dxa"/>
            <w:noWrap/>
            <w:hideMark/>
          </w:tcPr>
          <w:p w14:paraId="5FA8C417" w14:textId="77777777" w:rsidR="00111496" w:rsidRPr="008F446E" w:rsidRDefault="00111496">
            <w:pPr>
              <w:rPr>
                <w:rFonts w:ascii="楷体" w:eastAsia="楷体" w:hAnsi="楷体" w:hint="eastAsia"/>
              </w:rPr>
            </w:pPr>
            <w:r w:rsidRPr="008F446E">
              <w:rPr>
                <w:rFonts w:ascii="楷体" w:eastAsia="楷体" w:hAnsi="楷体"/>
              </w:rPr>
              <w:t>中天科技</w:t>
            </w:r>
          </w:p>
        </w:tc>
        <w:tc>
          <w:tcPr>
            <w:tcW w:w="992" w:type="dxa"/>
            <w:noWrap/>
            <w:hideMark/>
          </w:tcPr>
          <w:p w14:paraId="68779B17" w14:textId="77777777" w:rsidR="00111496" w:rsidRPr="008F446E" w:rsidRDefault="00111496">
            <w:pPr>
              <w:rPr>
                <w:rFonts w:ascii="楷体" w:eastAsia="楷体" w:hAnsi="楷体" w:hint="eastAsia"/>
              </w:rPr>
            </w:pPr>
            <w:r w:rsidRPr="008F446E">
              <w:rPr>
                <w:rFonts w:ascii="楷体" w:eastAsia="楷体" w:hAnsi="楷体"/>
              </w:rPr>
              <w:t>4.20</w:t>
            </w:r>
          </w:p>
        </w:tc>
        <w:tc>
          <w:tcPr>
            <w:tcW w:w="5812" w:type="dxa"/>
            <w:hideMark/>
          </w:tcPr>
          <w:p w14:paraId="4F85C168" w14:textId="77777777" w:rsidR="00111496" w:rsidRPr="008F446E" w:rsidRDefault="00111496">
            <w:pPr>
              <w:rPr>
                <w:rFonts w:ascii="楷体" w:eastAsia="楷体" w:hAnsi="楷体" w:hint="eastAsia"/>
              </w:rPr>
            </w:pPr>
            <w:r w:rsidRPr="008F446E">
              <w:rPr>
                <w:rFonts w:ascii="楷体" w:eastAsia="楷体" w:hAnsi="楷体"/>
              </w:rPr>
              <w:t>光电缆综合龙头，业务覆盖光纤光缆、电力传输及海洋能源三大板块。核心看点在于海洋业务高壁垒订单充裕，500kV柔直海缆等高端产品持续交付；光纤光缆受益AI算力基建，价格趋势上行。空芯光纤等前沿技术已商用，"光-电-算"一体化能力持续强化。</w:t>
            </w:r>
          </w:p>
        </w:tc>
      </w:tr>
      <w:tr w:rsidR="00111496" w:rsidRPr="008F446E" w14:paraId="2A489EE7" w14:textId="77777777" w:rsidTr="00111496">
        <w:trPr>
          <w:trHeight w:val="855"/>
        </w:trPr>
        <w:tc>
          <w:tcPr>
            <w:tcW w:w="1226" w:type="dxa"/>
            <w:noWrap/>
            <w:hideMark/>
          </w:tcPr>
          <w:p w14:paraId="5DE4455E" w14:textId="77777777" w:rsidR="00111496" w:rsidRPr="008F446E" w:rsidRDefault="00111496">
            <w:pPr>
              <w:rPr>
                <w:rFonts w:ascii="楷体" w:eastAsia="楷体" w:hAnsi="楷体" w:hint="eastAsia"/>
              </w:rPr>
            </w:pPr>
            <w:r w:rsidRPr="008F446E">
              <w:rPr>
                <w:rFonts w:ascii="楷体" w:eastAsia="楷体" w:hAnsi="楷体"/>
              </w:rPr>
              <w:t>300136.SZ</w:t>
            </w:r>
          </w:p>
        </w:tc>
        <w:tc>
          <w:tcPr>
            <w:tcW w:w="1185" w:type="dxa"/>
            <w:noWrap/>
            <w:hideMark/>
          </w:tcPr>
          <w:p w14:paraId="19461AFE" w14:textId="77777777" w:rsidR="00111496" w:rsidRPr="008F446E" w:rsidRDefault="00111496">
            <w:pPr>
              <w:rPr>
                <w:rFonts w:ascii="楷体" w:eastAsia="楷体" w:hAnsi="楷体" w:hint="eastAsia"/>
              </w:rPr>
            </w:pPr>
            <w:r w:rsidRPr="008F446E">
              <w:rPr>
                <w:rFonts w:ascii="楷体" w:eastAsia="楷体" w:hAnsi="楷体"/>
              </w:rPr>
              <w:t>信维通信</w:t>
            </w:r>
          </w:p>
        </w:tc>
        <w:tc>
          <w:tcPr>
            <w:tcW w:w="992" w:type="dxa"/>
            <w:noWrap/>
            <w:hideMark/>
          </w:tcPr>
          <w:p w14:paraId="31862EB5" w14:textId="77777777" w:rsidR="00111496" w:rsidRPr="008F446E" w:rsidRDefault="00111496">
            <w:pPr>
              <w:rPr>
                <w:rFonts w:ascii="楷体" w:eastAsia="楷体" w:hAnsi="楷体" w:hint="eastAsia"/>
              </w:rPr>
            </w:pPr>
            <w:r w:rsidRPr="008F446E">
              <w:rPr>
                <w:rFonts w:ascii="楷体" w:eastAsia="楷体" w:hAnsi="楷体"/>
              </w:rPr>
              <w:t>3.22</w:t>
            </w:r>
          </w:p>
        </w:tc>
        <w:tc>
          <w:tcPr>
            <w:tcW w:w="5812" w:type="dxa"/>
            <w:hideMark/>
          </w:tcPr>
          <w:p w14:paraId="03BAA495" w14:textId="77777777" w:rsidR="00111496" w:rsidRPr="008F446E" w:rsidRDefault="00111496">
            <w:pPr>
              <w:rPr>
                <w:rFonts w:ascii="楷体" w:eastAsia="楷体" w:hAnsi="楷体" w:hint="eastAsia"/>
              </w:rPr>
            </w:pPr>
            <w:r w:rsidRPr="008F446E">
              <w:rPr>
                <w:rFonts w:ascii="楷体" w:eastAsia="楷体" w:hAnsi="楷体"/>
              </w:rPr>
              <w:t>泛射频龙头，正从消费电子天线向商业卫星通信、智能汽车及AI硬件延伸第二曲线。卫星相控阵天线模组已批量出货，汽车电子进入头部车企供应链。定增加码商业卫星通信器件，国产替代与全球化并行。</w:t>
            </w:r>
          </w:p>
        </w:tc>
      </w:tr>
      <w:tr w:rsidR="00111496" w:rsidRPr="008F446E" w14:paraId="64C75775" w14:textId="77777777" w:rsidTr="00111496">
        <w:trPr>
          <w:trHeight w:val="855"/>
        </w:trPr>
        <w:tc>
          <w:tcPr>
            <w:tcW w:w="1226" w:type="dxa"/>
            <w:noWrap/>
            <w:hideMark/>
          </w:tcPr>
          <w:p w14:paraId="3F04D54A" w14:textId="77777777" w:rsidR="00111496" w:rsidRPr="008F446E" w:rsidRDefault="00111496">
            <w:pPr>
              <w:rPr>
                <w:rFonts w:ascii="楷体" w:eastAsia="楷体" w:hAnsi="楷体" w:hint="eastAsia"/>
              </w:rPr>
            </w:pPr>
            <w:r w:rsidRPr="008F446E">
              <w:rPr>
                <w:rFonts w:ascii="楷体" w:eastAsia="楷体" w:hAnsi="楷体"/>
              </w:rPr>
              <w:t>600498.SH</w:t>
            </w:r>
          </w:p>
        </w:tc>
        <w:tc>
          <w:tcPr>
            <w:tcW w:w="1185" w:type="dxa"/>
            <w:noWrap/>
            <w:hideMark/>
          </w:tcPr>
          <w:p w14:paraId="37775BC3" w14:textId="77777777" w:rsidR="00111496" w:rsidRPr="008F446E" w:rsidRDefault="00111496">
            <w:pPr>
              <w:rPr>
                <w:rFonts w:ascii="楷体" w:eastAsia="楷体" w:hAnsi="楷体" w:hint="eastAsia"/>
              </w:rPr>
            </w:pPr>
            <w:r w:rsidRPr="008F446E">
              <w:rPr>
                <w:rFonts w:ascii="楷体" w:eastAsia="楷体" w:hAnsi="楷体"/>
              </w:rPr>
              <w:t>烽火通信</w:t>
            </w:r>
          </w:p>
        </w:tc>
        <w:tc>
          <w:tcPr>
            <w:tcW w:w="992" w:type="dxa"/>
            <w:noWrap/>
            <w:hideMark/>
          </w:tcPr>
          <w:p w14:paraId="7908268C" w14:textId="77777777" w:rsidR="00111496" w:rsidRPr="008F446E" w:rsidRDefault="00111496">
            <w:pPr>
              <w:rPr>
                <w:rFonts w:ascii="楷体" w:eastAsia="楷体" w:hAnsi="楷体" w:hint="eastAsia"/>
              </w:rPr>
            </w:pPr>
            <w:r w:rsidRPr="008F446E">
              <w:rPr>
                <w:rFonts w:ascii="楷体" w:eastAsia="楷体" w:hAnsi="楷体"/>
              </w:rPr>
              <w:t>2.11</w:t>
            </w:r>
          </w:p>
        </w:tc>
        <w:tc>
          <w:tcPr>
            <w:tcW w:w="5812" w:type="dxa"/>
            <w:hideMark/>
          </w:tcPr>
          <w:p w14:paraId="48BBB97A" w14:textId="77777777" w:rsidR="00111496" w:rsidRPr="008F446E" w:rsidRDefault="00111496">
            <w:pPr>
              <w:rPr>
                <w:rFonts w:ascii="楷体" w:eastAsia="楷体" w:hAnsi="楷体" w:hint="eastAsia"/>
              </w:rPr>
            </w:pPr>
            <w:r w:rsidRPr="008F446E">
              <w:rPr>
                <w:rFonts w:ascii="楷体" w:eastAsia="楷体" w:hAnsi="楷体"/>
              </w:rPr>
              <w:t>中国信科集团旗下光通信设备央企，覆盖光传输、光接入及算力信息化。传统运营商业务承压，但算力业务推出DeepSeek一体机全栈方案实现突破；战略上向卫星光通信（星间激光通信在轨组网）和车载光通信延伸，打开非运营商增量空间。</w:t>
            </w:r>
          </w:p>
        </w:tc>
      </w:tr>
      <w:tr w:rsidR="00111496" w:rsidRPr="008F446E" w14:paraId="5660CD96" w14:textId="77777777" w:rsidTr="00111496">
        <w:trPr>
          <w:trHeight w:val="855"/>
        </w:trPr>
        <w:tc>
          <w:tcPr>
            <w:tcW w:w="1226" w:type="dxa"/>
            <w:noWrap/>
            <w:hideMark/>
          </w:tcPr>
          <w:p w14:paraId="4E73110C" w14:textId="77777777" w:rsidR="00111496" w:rsidRPr="008F446E" w:rsidRDefault="00111496">
            <w:pPr>
              <w:rPr>
                <w:rFonts w:ascii="楷体" w:eastAsia="楷体" w:hAnsi="楷体" w:hint="eastAsia"/>
              </w:rPr>
            </w:pPr>
            <w:r w:rsidRPr="008F446E">
              <w:rPr>
                <w:rFonts w:ascii="楷体" w:eastAsia="楷体" w:hAnsi="楷体"/>
              </w:rPr>
              <w:t>002281.SZ</w:t>
            </w:r>
          </w:p>
        </w:tc>
        <w:tc>
          <w:tcPr>
            <w:tcW w:w="1185" w:type="dxa"/>
            <w:noWrap/>
            <w:hideMark/>
          </w:tcPr>
          <w:p w14:paraId="2F61E8A1" w14:textId="77777777" w:rsidR="00111496" w:rsidRPr="008F446E" w:rsidRDefault="00111496">
            <w:pPr>
              <w:rPr>
                <w:rFonts w:ascii="楷体" w:eastAsia="楷体" w:hAnsi="楷体" w:hint="eastAsia"/>
              </w:rPr>
            </w:pPr>
            <w:r w:rsidRPr="008F446E">
              <w:rPr>
                <w:rFonts w:ascii="楷体" w:eastAsia="楷体" w:hAnsi="楷体"/>
              </w:rPr>
              <w:t>光迅科技</w:t>
            </w:r>
          </w:p>
        </w:tc>
        <w:tc>
          <w:tcPr>
            <w:tcW w:w="992" w:type="dxa"/>
            <w:noWrap/>
            <w:hideMark/>
          </w:tcPr>
          <w:p w14:paraId="5A263836" w14:textId="77777777" w:rsidR="00111496" w:rsidRPr="008F446E" w:rsidRDefault="00111496">
            <w:pPr>
              <w:rPr>
                <w:rFonts w:ascii="楷体" w:eastAsia="楷体" w:hAnsi="楷体" w:hint="eastAsia"/>
              </w:rPr>
            </w:pPr>
            <w:r w:rsidRPr="008F446E">
              <w:rPr>
                <w:rFonts w:ascii="楷体" w:eastAsia="楷体" w:hAnsi="楷体"/>
              </w:rPr>
              <w:t>2.09</w:t>
            </w:r>
          </w:p>
        </w:tc>
        <w:tc>
          <w:tcPr>
            <w:tcW w:w="5812" w:type="dxa"/>
            <w:hideMark/>
          </w:tcPr>
          <w:p w14:paraId="074753A6" w14:textId="77777777" w:rsidR="00111496" w:rsidRPr="008F446E" w:rsidRDefault="00111496">
            <w:pPr>
              <w:rPr>
                <w:rFonts w:ascii="楷体" w:eastAsia="楷体" w:hAnsi="楷体" w:hint="eastAsia"/>
              </w:rPr>
            </w:pPr>
            <w:r w:rsidRPr="008F446E">
              <w:rPr>
                <w:rFonts w:ascii="楷体" w:eastAsia="楷体" w:hAnsi="楷体"/>
              </w:rPr>
              <w:t>国内稀缺的"光芯片+光器件+光模块"垂直一体化龙头。AI算力驱动800G/1.6T高速光模块放量，CPO光芯片自给率超70%。独家卡位100Gbps星间激光通信模块，在手订单饱满。3.2T等前沿技术持续验证，高端化与自主可控双轮驱动。</w:t>
            </w:r>
          </w:p>
        </w:tc>
      </w:tr>
    </w:tbl>
    <w:p w14:paraId="4B78AB55" w14:textId="1672B3CD" w:rsidR="008B58C2" w:rsidRPr="008F446E" w:rsidRDefault="008B58C2" w:rsidP="000E7651">
      <w:pPr>
        <w:rPr>
          <w:rFonts w:ascii="楷体" w:eastAsia="楷体" w:hAnsi="楷体" w:hint="eastAsia"/>
        </w:rPr>
      </w:pPr>
    </w:p>
    <w:p w14:paraId="02C82760" w14:textId="38D73E15" w:rsidR="000E7651" w:rsidRPr="008F446E" w:rsidRDefault="000E7651" w:rsidP="00111496">
      <w:pPr>
        <w:pStyle w:val="3"/>
        <w:rPr>
          <w:rFonts w:ascii="楷体" w:eastAsia="楷体" w:hAnsi="楷体" w:hint="eastAsia"/>
        </w:rPr>
      </w:pPr>
      <w:r w:rsidRPr="008F446E">
        <w:rPr>
          <w:rFonts w:ascii="楷体" w:eastAsia="楷体" w:hAnsi="楷体" w:hint="eastAsia"/>
        </w:rPr>
        <w:t>.2.3 业绩情况</w:t>
      </w:r>
    </w:p>
    <w:p w14:paraId="17B1C5EF" w14:textId="64BC1F28" w:rsidR="000D53E8" w:rsidRPr="008F446E" w:rsidRDefault="000D53E8" w:rsidP="000D53E8">
      <w:pPr>
        <w:rPr>
          <w:rFonts w:ascii="楷体" w:eastAsia="楷体" w:hAnsi="楷体" w:hint="eastAsia"/>
        </w:rPr>
      </w:pPr>
      <w:r w:rsidRPr="008F446E">
        <w:rPr>
          <w:rFonts w:ascii="楷体" w:eastAsia="楷体" w:hAnsi="楷体"/>
          <w:noProof/>
        </w:rPr>
        <w:drawing>
          <wp:inline distT="0" distB="0" distL="0" distR="0" wp14:anchorId="4CC1BA12" wp14:editId="4B8BF1C3">
            <wp:extent cx="5274310" cy="1477010"/>
            <wp:effectExtent l="0" t="0" r="2540" b="8890"/>
            <wp:docPr id="140854283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4310" cy="1477010"/>
                    </a:xfrm>
                    <a:prstGeom prst="rect">
                      <a:avLst/>
                    </a:prstGeom>
                    <a:noFill/>
                    <a:ln>
                      <a:noFill/>
                    </a:ln>
                  </pic:spPr>
                </pic:pic>
              </a:graphicData>
            </a:graphic>
          </wp:inline>
        </w:drawing>
      </w:r>
    </w:p>
    <w:sectPr w:rsidR="000D53E8" w:rsidRPr="008F446E">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Zijun Zhou" w:date="2026-05-04T12:35:00Z" w:initials="ZZ">
    <w:p w14:paraId="4E4968E6" w14:textId="6E5EFB79" w:rsidR="00B7721B" w:rsidRDefault="00B7721B">
      <w:pPr>
        <w:pStyle w:val="af6"/>
        <w:rPr>
          <w:rFonts w:hint="eastAsia"/>
        </w:rPr>
      </w:pPr>
      <w:r>
        <w:rPr>
          <w:rStyle w:val="af5"/>
          <w:rFonts w:hint="eastAsia"/>
        </w:rPr>
        <w:annotationRef/>
      </w:r>
      <w:r>
        <w:rPr>
          <w:rFonts w:hint="eastAsia"/>
        </w:rPr>
        <w:t>电话的领域基本满了，网络的领域还在扩展，整体比较好</w:t>
      </w:r>
    </w:p>
  </w:comment>
  <w:comment w:id="1" w:author="Zijun Zhou" w:date="2026-05-04T12:36:00Z" w:initials="ZZ">
    <w:p w14:paraId="4B8A997F" w14:textId="1F2F7721" w:rsidR="00B7721B" w:rsidRDefault="00B7721B">
      <w:pPr>
        <w:pStyle w:val="af6"/>
        <w:rPr>
          <w:rFonts w:hint="eastAsia"/>
        </w:rPr>
      </w:pPr>
      <w:r>
        <w:rPr>
          <w:rStyle w:val="af5"/>
          <w:rFonts w:hint="eastAsia"/>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4968E6" w15:done="0"/>
  <w15:commentEx w15:paraId="4B8A997F" w15:paraIdParent="4E4968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BAA21FA" w16cex:dateUtc="2026-05-04T04:35:00Z"/>
  <w16cex:commentExtensible w16cex:durableId="4CB76830" w16cex:dateUtc="2026-05-04T04: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4968E6" w16cid:durableId="0BAA21FA"/>
  <w16cid:commentId w16cid:paraId="4B8A997F" w16cid:durableId="4CB7683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D85FA9" w14:textId="77777777" w:rsidR="00C46BC8" w:rsidRDefault="00C46BC8" w:rsidP="00CF2996">
      <w:pPr>
        <w:spacing w:after="0" w:line="240" w:lineRule="auto"/>
        <w:rPr>
          <w:rFonts w:hint="eastAsia"/>
        </w:rPr>
      </w:pPr>
      <w:r>
        <w:separator/>
      </w:r>
    </w:p>
  </w:endnote>
  <w:endnote w:type="continuationSeparator" w:id="0">
    <w:p w14:paraId="73F53077" w14:textId="77777777" w:rsidR="00C46BC8" w:rsidRDefault="00C46BC8" w:rsidP="00CF2996">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Yu Mincho">
    <w:altName w:val="游明朝"/>
    <w:panose1 w:val="02020400000000000000"/>
    <w:charset w:val="80"/>
    <w:family w:val="roman"/>
    <w:pitch w:val="variable"/>
    <w:sig w:usb0="800002E7" w:usb1="2AC7FCFF" w:usb2="00000012" w:usb3="00000000" w:csb0="0002009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9F8852" w14:textId="77777777" w:rsidR="00C46BC8" w:rsidRDefault="00C46BC8" w:rsidP="00CF2996">
      <w:pPr>
        <w:spacing w:after="0" w:line="240" w:lineRule="auto"/>
        <w:rPr>
          <w:rFonts w:hint="eastAsia"/>
        </w:rPr>
      </w:pPr>
      <w:r>
        <w:separator/>
      </w:r>
    </w:p>
  </w:footnote>
  <w:footnote w:type="continuationSeparator" w:id="0">
    <w:p w14:paraId="2AECAD2B" w14:textId="77777777" w:rsidR="00C46BC8" w:rsidRDefault="00C46BC8" w:rsidP="00CF2996">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7F675F"/>
    <w:multiLevelType w:val="hybridMultilevel"/>
    <w:tmpl w:val="F7D2F23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380262F1"/>
    <w:multiLevelType w:val="hybridMultilevel"/>
    <w:tmpl w:val="01C0966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51207D98"/>
    <w:multiLevelType w:val="hybridMultilevel"/>
    <w:tmpl w:val="198ECCF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168179297">
    <w:abstractNumId w:val="1"/>
  </w:num>
  <w:num w:numId="2" w16cid:durableId="243805799">
    <w:abstractNumId w:val="2"/>
  </w:num>
  <w:num w:numId="3" w16cid:durableId="69418897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Zijun Zhou">
    <w15:presenceInfo w15:providerId="Windows Live" w15:userId="f34a30730b722e1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5F7C"/>
    <w:rsid w:val="00010FFB"/>
    <w:rsid w:val="000114B0"/>
    <w:rsid w:val="00014D4A"/>
    <w:rsid w:val="00015F58"/>
    <w:rsid w:val="000563E9"/>
    <w:rsid w:val="00073D19"/>
    <w:rsid w:val="00076D3A"/>
    <w:rsid w:val="00086B3C"/>
    <w:rsid w:val="000B60AF"/>
    <w:rsid w:val="000D20B2"/>
    <w:rsid w:val="000D53E8"/>
    <w:rsid w:val="000E7651"/>
    <w:rsid w:val="00111496"/>
    <w:rsid w:val="0015546B"/>
    <w:rsid w:val="001666C9"/>
    <w:rsid w:val="00187884"/>
    <w:rsid w:val="001A4DFB"/>
    <w:rsid w:val="001D687A"/>
    <w:rsid w:val="001D7FE4"/>
    <w:rsid w:val="00222C55"/>
    <w:rsid w:val="0027330C"/>
    <w:rsid w:val="00275FE3"/>
    <w:rsid w:val="00280BC8"/>
    <w:rsid w:val="002D0CD8"/>
    <w:rsid w:val="002D186A"/>
    <w:rsid w:val="00302733"/>
    <w:rsid w:val="00314A0D"/>
    <w:rsid w:val="003170DF"/>
    <w:rsid w:val="00324209"/>
    <w:rsid w:val="00351AB7"/>
    <w:rsid w:val="00362B17"/>
    <w:rsid w:val="00385EC0"/>
    <w:rsid w:val="003E25EB"/>
    <w:rsid w:val="004642B3"/>
    <w:rsid w:val="00465C8F"/>
    <w:rsid w:val="00475FD4"/>
    <w:rsid w:val="004A519B"/>
    <w:rsid w:val="004C353B"/>
    <w:rsid w:val="004E287C"/>
    <w:rsid w:val="004F4E20"/>
    <w:rsid w:val="00502E3E"/>
    <w:rsid w:val="005305F7"/>
    <w:rsid w:val="00530BF1"/>
    <w:rsid w:val="00537CE6"/>
    <w:rsid w:val="00547DC5"/>
    <w:rsid w:val="00556825"/>
    <w:rsid w:val="005E7712"/>
    <w:rsid w:val="005E78AD"/>
    <w:rsid w:val="005E7E4C"/>
    <w:rsid w:val="005F05E6"/>
    <w:rsid w:val="006505F2"/>
    <w:rsid w:val="00656FC7"/>
    <w:rsid w:val="00675F7C"/>
    <w:rsid w:val="006777B0"/>
    <w:rsid w:val="006909EF"/>
    <w:rsid w:val="006E036B"/>
    <w:rsid w:val="006E0F5B"/>
    <w:rsid w:val="007101C5"/>
    <w:rsid w:val="0074168A"/>
    <w:rsid w:val="00765AB8"/>
    <w:rsid w:val="00773F51"/>
    <w:rsid w:val="007874A2"/>
    <w:rsid w:val="00796206"/>
    <w:rsid w:val="00796FCC"/>
    <w:rsid w:val="007B74FC"/>
    <w:rsid w:val="007C01B5"/>
    <w:rsid w:val="007E3DD3"/>
    <w:rsid w:val="007E5300"/>
    <w:rsid w:val="007F388E"/>
    <w:rsid w:val="008537AA"/>
    <w:rsid w:val="00877E67"/>
    <w:rsid w:val="00881CFD"/>
    <w:rsid w:val="00887218"/>
    <w:rsid w:val="008B58C2"/>
    <w:rsid w:val="008D3FA1"/>
    <w:rsid w:val="008E4987"/>
    <w:rsid w:val="008F446E"/>
    <w:rsid w:val="00921D9A"/>
    <w:rsid w:val="00943A27"/>
    <w:rsid w:val="00962CB4"/>
    <w:rsid w:val="00976034"/>
    <w:rsid w:val="009A5C53"/>
    <w:rsid w:val="009B32BD"/>
    <w:rsid w:val="009B5B0D"/>
    <w:rsid w:val="00A0695D"/>
    <w:rsid w:val="00A53496"/>
    <w:rsid w:val="00A76E4F"/>
    <w:rsid w:val="00AA18E6"/>
    <w:rsid w:val="00AA4572"/>
    <w:rsid w:val="00AC574C"/>
    <w:rsid w:val="00AF15A2"/>
    <w:rsid w:val="00B035D7"/>
    <w:rsid w:val="00B24E22"/>
    <w:rsid w:val="00B3342E"/>
    <w:rsid w:val="00B379FD"/>
    <w:rsid w:val="00B44AA2"/>
    <w:rsid w:val="00B7721B"/>
    <w:rsid w:val="00B95DC1"/>
    <w:rsid w:val="00BC389D"/>
    <w:rsid w:val="00BD18C2"/>
    <w:rsid w:val="00BD1D9F"/>
    <w:rsid w:val="00BD6D45"/>
    <w:rsid w:val="00BF0148"/>
    <w:rsid w:val="00BF2197"/>
    <w:rsid w:val="00BF480B"/>
    <w:rsid w:val="00C33770"/>
    <w:rsid w:val="00C46BC8"/>
    <w:rsid w:val="00C553BE"/>
    <w:rsid w:val="00C65C43"/>
    <w:rsid w:val="00C90228"/>
    <w:rsid w:val="00C9712A"/>
    <w:rsid w:val="00CB507A"/>
    <w:rsid w:val="00CC6107"/>
    <w:rsid w:val="00CD02C5"/>
    <w:rsid w:val="00CD3178"/>
    <w:rsid w:val="00CD336A"/>
    <w:rsid w:val="00CD5871"/>
    <w:rsid w:val="00CE1B9C"/>
    <w:rsid w:val="00CE30B9"/>
    <w:rsid w:val="00CE36DC"/>
    <w:rsid w:val="00CE539B"/>
    <w:rsid w:val="00CF2996"/>
    <w:rsid w:val="00D05FAD"/>
    <w:rsid w:val="00D21183"/>
    <w:rsid w:val="00D95B3B"/>
    <w:rsid w:val="00DA7E66"/>
    <w:rsid w:val="00DB01BD"/>
    <w:rsid w:val="00DB7759"/>
    <w:rsid w:val="00DC5792"/>
    <w:rsid w:val="00DD5685"/>
    <w:rsid w:val="00DD76AE"/>
    <w:rsid w:val="00E2648C"/>
    <w:rsid w:val="00E37D4F"/>
    <w:rsid w:val="00E43BD8"/>
    <w:rsid w:val="00E741FC"/>
    <w:rsid w:val="00E931B9"/>
    <w:rsid w:val="00E97534"/>
    <w:rsid w:val="00EA44A5"/>
    <w:rsid w:val="00EE50EA"/>
    <w:rsid w:val="00EE55C3"/>
    <w:rsid w:val="00F04455"/>
    <w:rsid w:val="00F12C1B"/>
    <w:rsid w:val="00F14630"/>
    <w:rsid w:val="00F14AFB"/>
    <w:rsid w:val="00F306CF"/>
    <w:rsid w:val="00F52CBB"/>
    <w:rsid w:val="00F5329C"/>
    <w:rsid w:val="00F6071C"/>
    <w:rsid w:val="00F66A9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5342983"/>
  <w15:chartTrackingRefBased/>
  <w15:docId w15:val="{C21C4A60-7A31-4209-8140-2CB6E73A1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675F7C"/>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675F7C"/>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675F7C"/>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unhideWhenUsed/>
    <w:qFormat/>
    <w:rsid w:val="00675F7C"/>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unhideWhenUsed/>
    <w:qFormat/>
    <w:rsid w:val="00675F7C"/>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unhideWhenUsed/>
    <w:qFormat/>
    <w:rsid w:val="00675F7C"/>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675F7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75F7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675F7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75F7C"/>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675F7C"/>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sid w:val="00675F7C"/>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rsid w:val="00675F7C"/>
    <w:rPr>
      <w:rFonts w:cstheme="majorBidi"/>
      <w:color w:val="2F5496" w:themeColor="accent1" w:themeShade="BF"/>
      <w:sz w:val="28"/>
      <w:szCs w:val="28"/>
    </w:rPr>
  </w:style>
  <w:style w:type="character" w:customStyle="1" w:styleId="50">
    <w:name w:val="标题 5 字符"/>
    <w:basedOn w:val="a0"/>
    <w:link w:val="5"/>
    <w:uiPriority w:val="9"/>
    <w:rsid w:val="00675F7C"/>
    <w:rPr>
      <w:rFonts w:cstheme="majorBidi"/>
      <w:color w:val="2F5496" w:themeColor="accent1" w:themeShade="BF"/>
      <w:sz w:val="24"/>
    </w:rPr>
  </w:style>
  <w:style w:type="character" w:customStyle="1" w:styleId="60">
    <w:name w:val="标题 6 字符"/>
    <w:basedOn w:val="a0"/>
    <w:link w:val="6"/>
    <w:uiPriority w:val="9"/>
    <w:rsid w:val="00675F7C"/>
    <w:rPr>
      <w:rFonts w:cstheme="majorBidi"/>
      <w:b/>
      <w:bCs/>
      <w:color w:val="2F5496" w:themeColor="accent1" w:themeShade="BF"/>
    </w:rPr>
  </w:style>
  <w:style w:type="character" w:customStyle="1" w:styleId="70">
    <w:name w:val="标题 7 字符"/>
    <w:basedOn w:val="a0"/>
    <w:link w:val="7"/>
    <w:uiPriority w:val="9"/>
    <w:semiHidden/>
    <w:rsid w:val="00675F7C"/>
    <w:rPr>
      <w:rFonts w:cstheme="majorBidi"/>
      <w:b/>
      <w:bCs/>
      <w:color w:val="595959" w:themeColor="text1" w:themeTint="A6"/>
    </w:rPr>
  </w:style>
  <w:style w:type="character" w:customStyle="1" w:styleId="80">
    <w:name w:val="标题 8 字符"/>
    <w:basedOn w:val="a0"/>
    <w:link w:val="8"/>
    <w:uiPriority w:val="9"/>
    <w:semiHidden/>
    <w:rsid w:val="00675F7C"/>
    <w:rPr>
      <w:rFonts w:cstheme="majorBidi"/>
      <w:color w:val="595959" w:themeColor="text1" w:themeTint="A6"/>
    </w:rPr>
  </w:style>
  <w:style w:type="character" w:customStyle="1" w:styleId="90">
    <w:name w:val="标题 9 字符"/>
    <w:basedOn w:val="a0"/>
    <w:link w:val="9"/>
    <w:uiPriority w:val="9"/>
    <w:semiHidden/>
    <w:rsid w:val="00675F7C"/>
    <w:rPr>
      <w:rFonts w:eastAsiaTheme="majorEastAsia" w:cstheme="majorBidi"/>
      <w:color w:val="595959" w:themeColor="text1" w:themeTint="A6"/>
    </w:rPr>
  </w:style>
  <w:style w:type="paragraph" w:styleId="a3">
    <w:name w:val="Title"/>
    <w:basedOn w:val="a"/>
    <w:next w:val="a"/>
    <w:link w:val="a4"/>
    <w:uiPriority w:val="10"/>
    <w:qFormat/>
    <w:rsid w:val="00675F7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75F7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75F7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75F7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75F7C"/>
    <w:pPr>
      <w:spacing w:before="160"/>
      <w:jc w:val="center"/>
    </w:pPr>
    <w:rPr>
      <w:i/>
      <w:iCs/>
      <w:color w:val="404040" w:themeColor="text1" w:themeTint="BF"/>
    </w:rPr>
  </w:style>
  <w:style w:type="character" w:customStyle="1" w:styleId="a8">
    <w:name w:val="引用 字符"/>
    <w:basedOn w:val="a0"/>
    <w:link w:val="a7"/>
    <w:uiPriority w:val="29"/>
    <w:rsid w:val="00675F7C"/>
    <w:rPr>
      <w:i/>
      <w:iCs/>
      <w:color w:val="404040" w:themeColor="text1" w:themeTint="BF"/>
    </w:rPr>
  </w:style>
  <w:style w:type="paragraph" w:styleId="a9">
    <w:name w:val="List Paragraph"/>
    <w:basedOn w:val="a"/>
    <w:uiPriority w:val="34"/>
    <w:qFormat/>
    <w:rsid w:val="00675F7C"/>
    <w:pPr>
      <w:ind w:left="720"/>
      <w:contextualSpacing/>
    </w:pPr>
  </w:style>
  <w:style w:type="character" w:styleId="aa">
    <w:name w:val="Intense Emphasis"/>
    <w:basedOn w:val="a0"/>
    <w:uiPriority w:val="21"/>
    <w:qFormat/>
    <w:rsid w:val="00675F7C"/>
    <w:rPr>
      <w:i/>
      <w:iCs/>
      <w:color w:val="2F5496" w:themeColor="accent1" w:themeShade="BF"/>
    </w:rPr>
  </w:style>
  <w:style w:type="paragraph" w:styleId="ab">
    <w:name w:val="Intense Quote"/>
    <w:basedOn w:val="a"/>
    <w:next w:val="a"/>
    <w:link w:val="ac"/>
    <w:uiPriority w:val="30"/>
    <w:qFormat/>
    <w:rsid w:val="00675F7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675F7C"/>
    <w:rPr>
      <w:i/>
      <w:iCs/>
      <w:color w:val="2F5496" w:themeColor="accent1" w:themeShade="BF"/>
    </w:rPr>
  </w:style>
  <w:style w:type="character" w:styleId="ad">
    <w:name w:val="Intense Reference"/>
    <w:basedOn w:val="a0"/>
    <w:uiPriority w:val="32"/>
    <w:qFormat/>
    <w:rsid w:val="00675F7C"/>
    <w:rPr>
      <w:b/>
      <w:bCs/>
      <w:smallCaps/>
      <w:color w:val="2F5496" w:themeColor="accent1" w:themeShade="BF"/>
      <w:spacing w:val="5"/>
    </w:rPr>
  </w:style>
  <w:style w:type="paragraph" w:styleId="ae">
    <w:name w:val="header"/>
    <w:basedOn w:val="a"/>
    <w:link w:val="af"/>
    <w:uiPriority w:val="99"/>
    <w:unhideWhenUsed/>
    <w:rsid w:val="00CF2996"/>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CF2996"/>
    <w:rPr>
      <w:sz w:val="18"/>
      <w:szCs w:val="18"/>
    </w:rPr>
  </w:style>
  <w:style w:type="paragraph" w:styleId="af0">
    <w:name w:val="footer"/>
    <w:basedOn w:val="a"/>
    <w:link w:val="af1"/>
    <w:uiPriority w:val="99"/>
    <w:unhideWhenUsed/>
    <w:rsid w:val="00CF2996"/>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CF2996"/>
    <w:rPr>
      <w:sz w:val="18"/>
      <w:szCs w:val="18"/>
    </w:rPr>
  </w:style>
  <w:style w:type="table" w:styleId="af2">
    <w:name w:val="Table Grid"/>
    <w:basedOn w:val="a1"/>
    <w:uiPriority w:val="39"/>
    <w:rsid w:val="004A51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3">
    <w:name w:val="表"/>
    <w:basedOn w:val="a"/>
    <w:link w:val="af4"/>
    <w:qFormat/>
    <w:rsid w:val="00EA44A5"/>
    <w:pPr>
      <w:spacing w:after="0" w:line="240" w:lineRule="auto"/>
      <w:jc w:val="center"/>
    </w:pPr>
    <w:rPr>
      <w:rFonts w:ascii="Times New Roman" w:eastAsia="楷体" w:hAnsi="Times New Roman" w:cs="Times New Roman"/>
      <w:sz w:val="21"/>
      <w:szCs w:val="18"/>
      <w:shd w:val="clear" w:color="auto" w:fill="FFFFFF"/>
    </w:rPr>
  </w:style>
  <w:style w:type="character" w:customStyle="1" w:styleId="af4">
    <w:name w:val="表 字符"/>
    <w:basedOn w:val="a0"/>
    <w:link w:val="af3"/>
    <w:qFormat/>
    <w:rsid w:val="00EA44A5"/>
    <w:rPr>
      <w:rFonts w:ascii="Times New Roman" w:eastAsia="楷体" w:hAnsi="Times New Roman" w:cs="Times New Roman"/>
      <w:sz w:val="21"/>
      <w:szCs w:val="18"/>
    </w:rPr>
  </w:style>
  <w:style w:type="character" w:styleId="af5">
    <w:name w:val="annotation reference"/>
    <w:basedOn w:val="a0"/>
    <w:uiPriority w:val="99"/>
    <w:semiHidden/>
    <w:unhideWhenUsed/>
    <w:rsid w:val="00B7721B"/>
    <w:rPr>
      <w:sz w:val="21"/>
      <w:szCs w:val="21"/>
    </w:rPr>
  </w:style>
  <w:style w:type="paragraph" w:styleId="af6">
    <w:name w:val="annotation text"/>
    <w:basedOn w:val="a"/>
    <w:link w:val="af7"/>
    <w:uiPriority w:val="99"/>
    <w:semiHidden/>
    <w:unhideWhenUsed/>
    <w:rsid w:val="00B7721B"/>
  </w:style>
  <w:style w:type="character" w:customStyle="1" w:styleId="af7">
    <w:name w:val="批注文字 字符"/>
    <w:basedOn w:val="a0"/>
    <w:link w:val="af6"/>
    <w:uiPriority w:val="99"/>
    <w:semiHidden/>
    <w:rsid w:val="00B7721B"/>
  </w:style>
  <w:style w:type="paragraph" w:styleId="af8">
    <w:name w:val="annotation subject"/>
    <w:basedOn w:val="af6"/>
    <w:next w:val="af6"/>
    <w:link w:val="af9"/>
    <w:uiPriority w:val="99"/>
    <w:semiHidden/>
    <w:unhideWhenUsed/>
    <w:rsid w:val="00B7721B"/>
    <w:rPr>
      <w:b/>
      <w:bCs/>
    </w:rPr>
  </w:style>
  <w:style w:type="character" w:customStyle="1" w:styleId="af9">
    <w:name w:val="批注主题 字符"/>
    <w:basedOn w:val="af7"/>
    <w:link w:val="af8"/>
    <w:uiPriority w:val="99"/>
    <w:semiHidden/>
    <w:rsid w:val="00B7721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7493887">
      <w:bodyDiv w:val="1"/>
      <w:marLeft w:val="0"/>
      <w:marRight w:val="0"/>
      <w:marTop w:val="0"/>
      <w:marBottom w:val="0"/>
      <w:divBdr>
        <w:top w:val="none" w:sz="0" w:space="0" w:color="auto"/>
        <w:left w:val="none" w:sz="0" w:space="0" w:color="auto"/>
        <w:bottom w:val="none" w:sz="0" w:space="0" w:color="auto"/>
        <w:right w:val="none" w:sz="0" w:space="0" w:color="auto"/>
      </w:divBdr>
    </w:div>
    <w:div w:id="17678492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24" Type="http://schemas.openxmlformats.org/officeDocument/2006/relationships/image" Target="media/image14.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9.png"/><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image" Target="media/image12.png"/><Relationship Id="rId27" Type="http://schemas.microsoft.com/office/2011/relationships/people" Target="peop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1649</TotalTime>
  <Pages>23</Pages>
  <Words>7719</Words>
  <Characters>8955</Characters>
  <Application>Microsoft Office Word</Application>
  <DocSecurity>0</DocSecurity>
  <Lines>559</Lines>
  <Paragraphs>505</Paragraphs>
  <ScaleCrop>false</ScaleCrop>
  <Company/>
  <LinksUpToDate>false</LinksUpToDate>
  <CharactersWithSpaces>16169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张曦瑾</dc:creator>
  <cp:keywords/>
  <dc:description/>
  <cp:lastModifiedBy>Zijun Zhou</cp:lastModifiedBy>
  <cp:revision>16</cp:revision>
  <dcterms:created xsi:type="dcterms:W3CDTF">2026-04-21T09:01:00Z</dcterms:created>
  <dcterms:modified xsi:type="dcterms:W3CDTF">2026-05-05T16:19:00Z</dcterms:modified>
</cp:coreProperties>
</file>