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FEFFD" w14:textId="441E66C0" w:rsidR="00472F09" w:rsidRPr="00826331" w:rsidRDefault="00826331" w:rsidP="00472F09">
      <w:pPr>
        <w:pStyle w:val="1"/>
        <w:rPr>
          <w:rFonts w:ascii="楷体" w:eastAsia="楷体" w:hAnsi="楷体" w:hint="eastAsia"/>
          <w:color w:val="auto"/>
        </w:rPr>
      </w:pPr>
      <w:r>
        <w:rPr>
          <w:rFonts w:ascii="楷体" w:eastAsia="楷体" w:hAnsi="楷体" w:hint="eastAsia"/>
          <w:color w:val="auto"/>
        </w:rPr>
        <w:t>1.</w:t>
      </w:r>
      <w:r w:rsidR="00472F09" w:rsidRPr="00826331">
        <w:rPr>
          <w:rFonts w:ascii="楷体" w:eastAsia="楷体" w:hAnsi="楷体" w:hint="eastAsia"/>
          <w:color w:val="auto"/>
        </w:rPr>
        <w:t>基本情况</w:t>
      </w:r>
    </w:p>
    <w:p w14:paraId="40066CB7" w14:textId="77777777" w:rsidR="00472F09" w:rsidRPr="00826331" w:rsidRDefault="00472F09" w:rsidP="00472F09">
      <w:pPr>
        <w:pStyle w:val="2"/>
        <w:rPr>
          <w:rFonts w:ascii="楷体" w:eastAsia="楷体" w:hAnsi="楷体" w:hint="eastAsia"/>
          <w:color w:val="auto"/>
        </w:rPr>
      </w:pPr>
      <w:r w:rsidRPr="00826331">
        <w:rPr>
          <w:rFonts w:ascii="楷体" w:eastAsia="楷体" w:hAnsi="楷体" w:hint="eastAsia"/>
          <w:color w:val="auto"/>
        </w:rPr>
        <w:t>写完再总结</w:t>
      </w:r>
    </w:p>
    <w:p w14:paraId="51857DF9" w14:textId="05BA0DB3" w:rsidR="00472F09" w:rsidRPr="00826331" w:rsidRDefault="00826331" w:rsidP="00472F09">
      <w:pPr>
        <w:pStyle w:val="1"/>
        <w:rPr>
          <w:rFonts w:ascii="楷体" w:eastAsia="楷体" w:hAnsi="楷体" w:hint="eastAsia"/>
          <w:color w:val="auto"/>
        </w:rPr>
      </w:pPr>
      <w:r>
        <w:rPr>
          <w:rFonts w:ascii="楷体" w:eastAsia="楷体" w:hAnsi="楷体" w:hint="eastAsia"/>
          <w:color w:val="auto"/>
        </w:rPr>
        <w:t>2.</w:t>
      </w:r>
      <w:r w:rsidR="00472F09" w:rsidRPr="00826331">
        <w:rPr>
          <w:rFonts w:ascii="楷体" w:eastAsia="楷体" w:hAnsi="楷体" w:hint="eastAsia"/>
          <w:color w:val="auto"/>
        </w:rPr>
        <w:t>投资逻辑</w:t>
      </w:r>
      <w:r w:rsidR="00BD2663">
        <w:rPr>
          <w:rFonts w:ascii="楷体" w:eastAsia="楷体" w:hAnsi="楷体" w:hint="eastAsia"/>
          <w:color w:val="auto"/>
        </w:rPr>
        <w:t>（感觉得先写后面，再回过头来写整个）</w:t>
      </w:r>
    </w:p>
    <w:p w14:paraId="42186B99" w14:textId="46B00849" w:rsidR="00472F09" w:rsidRDefault="00826331" w:rsidP="00472F09">
      <w:pPr>
        <w:pStyle w:val="2"/>
        <w:rPr>
          <w:rFonts w:ascii="楷体" w:eastAsia="楷体" w:hAnsi="楷体" w:hint="eastAsia"/>
          <w:color w:val="auto"/>
        </w:rPr>
      </w:pPr>
      <w:r>
        <w:rPr>
          <w:rFonts w:ascii="楷体" w:eastAsia="楷体" w:hAnsi="楷体" w:hint="eastAsia"/>
          <w:color w:val="auto"/>
        </w:rPr>
        <w:t>2.1</w:t>
      </w:r>
      <w:r w:rsidR="001B5F26">
        <w:rPr>
          <w:rFonts w:ascii="楷体" w:eastAsia="楷体" w:hAnsi="楷体" w:hint="eastAsia"/>
          <w:color w:val="auto"/>
        </w:rPr>
        <w:t xml:space="preserve"> 格局</w:t>
      </w:r>
      <w:r w:rsidR="00EF20E3">
        <w:rPr>
          <w:rFonts w:ascii="楷体" w:eastAsia="楷体" w:hAnsi="楷体" w:hint="eastAsia"/>
          <w:color w:val="auto"/>
        </w:rPr>
        <w:t>更新</w:t>
      </w:r>
      <w:r w:rsidR="001B5F26">
        <w:rPr>
          <w:rFonts w:ascii="楷体" w:eastAsia="楷体" w:hAnsi="楷体" w:hint="eastAsia"/>
          <w:color w:val="auto"/>
        </w:rPr>
        <w:t>造成产业性质</w:t>
      </w:r>
      <w:r w:rsidR="00EF20E3">
        <w:rPr>
          <w:rFonts w:ascii="楷体" w:eastAsia="楷体" w:hAnsi="楷体" w:hint="eastAsia"/>
          <w:color w:val="auto"/>
        </w:rPr>
        <w:t>转换</w:t>
      </w:r>
    </w:p>
    <w:p w14:paraId="00337A42" w14:textId="00559BAB" w:rsidR="00E11271" w:rsidRDefault="00E11271" w:rsidP="00E11271">
      <w:pPr>
        <w:ind w:firstLineChars="200" w:firstLine="480"/>
        <w:rPr>
          <w:rFonts w:ascii="楷体" w:eastAsia="楷体" w:hAnsi="楷体" w:hint="eastAsia"/>
          <w:sz w:val="24"/>
        </w:rPr>
      </w:pPr>
      <w:r>
        <w:rPr>
          <w:rFonts w:ascii="楷体" w:eastAsia="楷体" w:hAnsi="楷体" w:hint="eastAsia"/>
          <w:sz w:val="24"/>
        </w:rPr>
        <w:t>传统通信业</w:t>
      </w:r>
      <w:r w:rsidR="003F642F">
        <w:rPr>
          <w:rFonts w:ascii="楷体" w:eastAsia="楷体" w:hAnsi="楷体" w:hint="eastAsia"/>
          <w:sz w:val="24"/>
        </w:rPr>
        <w:t>主要呈现出周期型特征</w:t>
      </w:r>
      <w:r w:rsidR="00F215BD">
        <w:rPr>
          <w:rFonts w:ascii="楷体" w:eastAsia="楷体" w:hAnsi="楷体" w:hint="eastAsia"/>
          <w:sz w:val="24"/>
        </w:rPr>
        <w:t>，在每轮周期末尾ARPU持续下降造成行业萎靡</w:t>
      </w:r>
      <w:r w:rsidR="00B06109" w:rsidRPr="00B06109">
        <w:rPr>
          <w:rFonts w:ascii="楷体" w:eastAsia="楷体" w:hAnsi="楷体" w:hint="eastAsia"/>
          <w:sz w:val="24"/>
        </w:rPr>
        <w:t>，产业矛盾的管道化，无法捕获数据价值</w:t>
      </w:r>
      <w:r w:rsidR="00F215BD">
        <w:rPr>
          <w:rFonts w:ascii="楷体" w:eastAsia="楷体" w:hAnsi="楷体" w:hint="eastAsia"/>
          <w:sz w:val="24"/>
        </w:rPr>
        <w:t>，</w:t>
      </w:r>
      <w:r w:rsidR="000E4FFC">
        <w:rPr>
          <w:rFonts w:ascii="楷体" w:eastAsia="楷体" w:hAnsi="楷体" w:hint="eastAsia"/>
          <w:sz w:val="24"/>
        </w:rPr>
        <w:t>也无法提供可观盈利</w:t>
      </w:r>
    </w:p>
    <w:p w14:paraId="5856D8D4" w14:textId="16AD3906" w:rsidR="008F0E2F" w:rsidRDefault="00147452" w:rsidP="00147452">
      <w:pPr>
        <w:rPr>
          <w:rFonts w:ascii="楷体" w:eastAsia="楷体" w:hAnsi="楷体" w:hint="eastAsia"/>
          <w:sz w:val="24"/>
        </w:rPr>
      </w:pPr>
      <w:r>
        <w:rPr>
          <w:noProof/>
        </w:rPr>
        <w:drawing>
          <wp:inline distT="0" distB="0" distL="0" distR="0" wp14:anchorId="0E714F55" wp14:editId="7717EE6A">
            <wp:extent cx="5274310" cy="1957070"/>
            <wp:effectExtent l="0" t="0" r="2540" b="5080"/>
            <wp:docPr id="83804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4240" name=""/>
                    <pic:cNvPicPr/>
                  </pic:nvPicPr>
                  <pic:blipFill>
                    <a:blip r:embed="rId7"/>
                    <a:stretch>
                      <a:fillRect/>
                    </a:stretch>
                  </pic:blipFill>
                  <pic:spPr>
                    <a:xfrm>
                      <a:off x="0" y="0"/>
                      <a:ext cx="5274310" cy="1957070"/>
                    </a:xfrm>
                    <a:prstGeom prst="rect">
                      <a:avLst/>
                    </a:prstGeom>
                  </pic:spPr>
                </pic:pic>
              </a:graphicData>
            </a:graphic>
          </wp:inline>
        </w:drawing>
      </w:r>
    </w:p>
    <w:p w14:paraId="3BC7B566" w14:textId="608F4A56" w:rsidR="00F803F3" w:rsidRDefault="00F803F3" w:rsidP="00147452">
      <w:pPr>
        <w:rPr>
          <w:rFonts w:ascii="楷体" w:eastAsia="楷体" w:hAnsi="楷体" w:hint="eastAsia"/>
          <w:sz w:val="24"/>
        </w:rPr>
      </w:pPr>
      <w:r>
        <w:rPr>
          <w:rFonts w:ascii="楷体" w:eastAsia="楷体" w:hAnsi="楷体" w:hint="eastAsia"/>
          <w:sz w:val="24"/>
        </w:rPr>
        <w:t>AI时代改变了传统通信格局</w:t>
      </w:r>
      <w:r w:rsidR="00A1702A">
        <w:rPr>
          <w:rFonts w:ascii="楷体" w:eastAsia="楷体" w:hAnsi="楷体" w:hint="eastAsia"/>
          <w:sz w:val="24"/>
        </w:rPr>
        <w:t>，行业重点实现了从</w:t>
      </w:r>
      <w:r w:rsidR="001A6C9B">
        <w:rPr>
          <w:rFonts w:ascii="楷体" w:eastAsia="楷体" w:hAnsi="楷体" w:hint="eastAsia"/>
          <w:sz w:val="24"/>
        </w:rPr>
        <w:t>telecom到datacom的转变。AI</w:t>
      </w:r>
      <w:r>
        <w:rPr>
          <w:rFonts w:ascii="楷体" w:eastAsia="楷体" w:hAnsi="楷体" w:hint="eastAsia"/>
          <w:sz w:val="24"/>
        </w:rPr>
        <w:t>以更快的发展速度，技术渗透速度和更大，更持续的资本开支更改了整个行业的底层逻辑和</w:t>
      </w:r>
      <w:r w:rsidR="00A1702A">
        <w:rPr>
          <w:rFonts w:ascii="楷体" w:eastAsia="楷体" w:hAnsi="楷体" w:hint="eastAsia"/>
          <w:sz w:val="24"/>
        </w:rPr>
        <w:t>产业性质。使</w:t>
      </w:r>
      <w:r w:rsidR="001A6C9B">
        <w:rPr>
          <w:rFonts w:ascii="楷体" w:eastAsia="楷体" w:hAnsi="楷体" w:hint="eastAsia"/>
          <w:sz w:val="24"/>
        </w:rPr>
        <w:t>通信产业</w:t>
      </w:r>
      <w:r w:rsidR="00A1702A">
        <w:rPr>
          <w:rFonts w:ascii="楷体" w:eastAsia="楷体" w:hAnsi="楷体" w:hint="eastAsia"/>
          <w:sz w:val="24"/>
        </w:rPr>
        <w:t>具备了</w:t>
      </w:r>
      <w:r w:rsidR="001A6C9B">
        <w:rPr>
          <w:rFonts w:ascii="楷体" w:eastAsia="楷体" w:hAnsi="楷体" w:hint="eastAsia"/>
          <w:sz w:val="24"/>
        </w:rPr>
        <w:t>极高的</w:t>
      </w:r>
      <w:r w:rsidR="00A1702A">
        <w:rPr>
          <w:rFonts w:ascii="楷体" w:eastAsia="楷体" w:hAnsi="楷体" w:hint="eastAsia"/>
          <w:sz w:val="24"/>
        </w:rPr>
        <w:t>可投资性</w:t>
      </w:r>
    </w:p>
    <w:p w14:paraId="3DE4AB71" w14:textId="27391EFA" w:rsidR="00472F09" w:rsidRDefault="00826331" w:rsidP="00472F09">
      <w:pPr>
        <w:pStyle w:val="2"/>
        <w:rPr>
          <w:rFonts w:ascii="楷体" w:eastAsia="楷体" w:hAnsi="楷体" w:hint="eastAsia"/>
          <w:color w:val="auto"/>
        </w:rPr>
      </w:pPr>
      <w:r>
        <w:rPr>
          <w:rFonts w:ascii="楷体" w:eastAsia="楷体" w:hAnsi="楷体" w:hint="eastAsia"/>
          <w:color w:val="auto"/>
        </w:rPr>
        <w:lastRenderedPageBreak/>
        <w:t>2.2</w:t>
      </w:r>
      <w:r w:rsidR="005173CE">
        <w:rPr>
          <w:rFonts w:ascii="楷体" w:eastAsia="楷体" w:hAnsi="楷体" w:hint="eastAsia"/>
          <w:color w:val="auto"/>
        </w:rPr>
        <w:t xml:space="preserve"> </w:t>
      </w:r>
      <w:r w:rsidR="00EF20E3">
        <w:rPr>
          <w:rFonts w:ascii="楷体" w:eastAsia="楷体" w:hAnsi="楷体" w:hint="eastAsia"/>
          <w:color w:val="auto"/>
        </w:rPr>
        <w:t>供需同时爆发</w:t>
      </w:r>
      <w:r w:rsidR="000B52A9">
        <w:rPr>
          <w:rFonts w:ascii="楷体" w:eastAsia="楷体" w:hAnsi="楷体" w:hint="eastAsia"/>
          <w:color w:val="auto"/>
        </w:rPr>
        <w:t>，</w:t>
      </w:r>
      <w:r w:rsidR="001D375D">
        <w:rPr>
          <w:rFonts w:ascii="楷体" w:eastAsia="楷体" w:hAnsi="楷体" w:hint="eastAsia"/>
          <w:color w:val="auto"/>
        </w:rPr>
        <w:t>中期上具有确定性。</w:t>
      </w:r>
    </w:p>
    <w:p w14:paraId="6815CDE3" w14:textId="3F6E6725" w:rsidR="00EF20E3" w:rsidRDefault="00EF20E3" w:rsidP="00EF20E3">
      <w:pPr>
        <w:pStyle w:val="2"/>
        <w:rPr>
          <w:rFonts w:hint="eastAsia"/>
        </w:rPr>
      </w:pPr>
      <w:r>
        <w:rPr>
          <w:rFonts w:hint="eastAsia"/>
        </w:rPr>
        <w:t>2.3</w:t>
      </w:r>
      <w:r w:rsidR="001D375D">
        <w:rPr>
          <w:rFonts w:hint="eastAsia"/>
        </w:rPr>
        <w:t xml:space="preserve"> 技术迭代</w:t>
      </w:r>
      <w:r w:rsidR="0062479A">
        <w:rPr>
          <w:rFonts w:hint="eastAsia"/>
        </w:rPr>
        <w:t>，市场渗透双重加速</w:t>
      </w:r>
    </w:p>
    <w:p w14:paraId="51C68B20" w14:textId="7E46918F" w:rsidR="0062479A" w:rsidRDefault="0062479A" w:rsidP="00CB02E5">
      <w:pPr>
        <w:pStyle w:val="2"/>
        <w:rPr>
          <w:rFonts w:hint="eastAsia"/>
        </w:rPr>
      </w:pPr>
      <w:r>
        <w:rPr>
          <w:rFonts w:hint="eastAsia"/>
        </w:rPr>
        <w:t xml:space="preserve">2.4 </w:t>
      </w:r>
      <w:r w:rsidR="00CB02E5">
        <w:rPr>
          <w:rFonts w:hint="eastAsia"/>
        </w:rPr>
        <w:t>龙头效应</w:t>
      </w:r>
    </w:p>
    <w:p w14:paraId="7F2FA691" w14:textId="7FE60FC3" w:rsidR="00CB02E5" w:rsidRPr="00CB02E5" w:rsidRDefault="00CB02E5" w:rsidP="00CB02E5">
      <w:pPr>
        <w:pStyle w:val="2"/>
        <w:rPr>
          <w:rFonts w:hint="eastAsia"/>
        </w:rPr>
      </w:pPr>
      <w:r>
        <w:rPr>
          <w:rFonts w:hint="eastAsia"/>
        </w:rPr>
        <w:t>2.5 新时代的大基建，算电一体的全国格局</w:t>
      </w:r>
    </w:p>
    <w:p w14:paraId="0891E63F" w14:textId="6E4FDA9A" w:rsidR="00472F09" w:rsidRDefault="00826331" w:rsidP="00472F09">
      <w:pPr>
        <w:pStyle w:val="3"/>
        <w:rPr>
          <w:rFonts w:ascii="楷体" w:eastAsia="楷体" w:hAnsi="楷体" w:hint="eastAsia"/>
          <w:color w:val="auto"/>
        </w:rPr>
      </w:pPr>
      <w:r>
        <w:rPr>
          <w:rFonts w:ascii="楷体" w:eastAsia="楷体" w:hAnsi="楷体" w:hint="eastAsia"/>
          <w:color w:val="auto"/>
        </w:rPr>
        <w:t xml:space="preserve">2.2.1 </w:t>
      </w:r>
      <w:r w:rsidR="00F13561">
        <w:rPr>
          <w:rFonts w:ascii="楷体" w:eastAsia="楷体" w:hAnsi="楷体" w:hint="eastAsia"/>
          <w:color w:val="auto"/>
        </w:rPr>
        <w:t>AI改变了市场供需格局</w:t>
      </w:r>
    </w:p>
    <w:p w14:paraId="603AAA58" w14:textId="7BA5528C" w:rsidR="00472F09" w:rsidRDefault="00826331" w:rsidP="00472F09">
      <w:pPr>
        <w:pStyle w:val="3"/>
        <w:rPr>
          <w:rFonts w:ascii="楷体" w:eastAsia="楷体" w:hAnsi="楷体" w:hint="eastAsia"/>
          <w:color w:val="auto"/>
        </w:rPr>
      </w:pPr>
      <w:r>
        <w:rPr>
          <w:rFonts w:ascii="楷体" w:eastAsia="楷体" w:hAnsi="楷体" w:hint="eastAsia"/>
          <w:color w:val="auto"/>
        </w:rPr>
        <w:t xml:space="preserve">2.2.2 </w:t>
      </w:r>
      <w:r w:rsidR="00472F09" w:rsidRPr="00826331">
        <w:rPr>
          <w:rFonts w:ascii="楷体" w:eastAsia="楷体" w:hAnsi="楷体" w:hint="eastAsia"/>
          <w:color w:val="auto"/>
        </w:rPr>
        <w:t>国家政策的支持（可以直接用模块的部分）</w:t>
      </w:r>
    </w:p>
    <w:p w14:paraId="116EE5B7" w14:textId="5D44090A" w:rsidR="00611A5D" w:rsidRPr="00AD039D" w:rsidRDefault="00611A5D" w:rsidP="00611A5D">
      <w:pPr>
        <w:jc w:val="center"/>
        <w:rPr>
          <w:rFonts w:ascii="楷体" w:eastAsia="楷体" w:hAnsi="楷体" w:hint="eastAsia"/>
          <w:sz w:val="24"/>
          <w:szCs w:val="28"/>
        </w:rPr>
      </w:pPr>
      <w:r w:rsidRPr="00AD039D">
        <w:rPr>
          <w:rFonts w:ascii="楷体" w:eastAsia="楷体" w:hAnsi="楷体" w:hint="eastAsia"/>
          <w:sz w:val="24"/>
          <w:szCs w:val="28"/>
        </w:rPr>
        <w:t>表：国家级算力政策</w:t>
      </w:r>
    </w:p>
    <w:p w14:paraId="3D52F634" w14:textId="16D91E33" w:rsidR="005066EE" w:rsidRPr="00AD039D" w:rsidRDefault="002B7E11" w:rsidP="005066EE">
      <w:pPr>
        <w:rPr>
          <w:rFonts w:ascii="楷体" w:eastAsia="楷体" w:hAnsi="楷体" w:hint="eastAsia"/>
          <w:sz w:val="24"/>
          <w:szCs w:val="28"/>
        </w:rPr>
      </w:pPr>
      <w:r w:rsidRPr="00AD039D">
        <w:rPr>
          <w:rFonts w:ascii="楷体" w:eastAsia="楷体" w:hAnsi="楷体"/>
          <w:noProof/>
          <w:sz w:val="24"/>
          <w:szCs w:val="28"/>
        </w:rPr>
        <w:drawing>
          <wp:inline distT="0" distB="0" distL="0" distR="0" wp14:anchorId="22684DE4" wp14:editId="24254749">
            <wp:extent cx="5274310" cy="2637155"/>
            <wp:effectExtent l="0" t="0" r="2540" b="0"/>
            <wp:docPr id="1706931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31766" name=""/>
                    <pic:cNvPicPr/>
                  </pic:nvPicPr>
                  <pic:blipFill>
                    <a:blip r:embed="rId8"/>
                    <a:stretch>
                      <a:fillRect/>
                    </a:stretch>
                  </pic:blipFill>
                  <pic:spPr>
                    <a:xfrm>
                      <a:off x="0" y="0"/>
                      <a:ext cx="5274310" cy="2637155"/>
                    </a:xfrm>
                    <a:prstGeom prst="rect">
                      <a:avLst/>
                    </a:prstGeom>
                  </pic:spPr>
                </pic:pic>
              </a:graphicData>
            </a:graphic>
          </wp:inline>
        </w:drawing>
      </w:r>
    </w:p>
    <w:p w14:paraId="3E9542DE" w14:textId="6BDDD76A" w:rsidR="00611A5D" w:rsidRPr="00AD039D" w:rsidRDefault="00611A5D" w:rsidP="00611A5D">
      <w:pPr>
        <w:jc w:val="center"/>
        <w:rPr>
          <w:rFonts w:ascii="楷体" w:eastAsia="楷体" w:hAnsi="楷体" w:hint="eastAsia"/>
          <w:sz w:val="24"/>
          <w:szCs w:val="28"/>
        </w:rPr>
      </w:pPr>
      <w:r w:rsidRPr="00AD039D">
        <w:rPr>
          <w:rFonts w:ascii="楷体" w:eastAsia="楷体" w:hAnsi="楷体" w:hint="eastAsia"/>
          <w:sz w:val="24"/>
          <w:szCs w:val="28"/>
        </w:rPr>
        <w:t>表：地方级算力政策</w:t>
      </w:r>
    </w:p>
    <w:p w14:paraId="5A483DA5" w14:textId="29EAB5A6" w:rsidR="002B7E11" w:rsidRDefault="002B7E11" w:rsidP="005066EE">
      <w:pPr>
        <w:rPr>
          <w:rFonts w:hint="eastAsia"/>
        </w:rPr>
      </w:pPr>
      <w:r>
        <w:rPr>
          <w:noProof/>
        </w:rPr>
        <w:lastRenderedPageBreak/>
        <w:drawing>
          <wp:inline distT="0" distB="0" distL="0" distR="0" wp14:anchorId="2C476D95" wp14:editId="52253BAA">
            <wp:extent cx="5274310" cy="4135755"/>
            <wp:effectExtent l="0" t="0" r="2540" b="0"/>
            <wp:docPr id="222816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16130" name=""/>
                    <pic:cNvPicPr/>
                  </pic:nvPicPr>
                  <pic:blipFill>
                    <a:blip r:embed="rId9"/>
                    <a:stretch>
                      <a:fillRect/>
                    </a:stretch>
                  </pic:blipFill>
                  <pic:spPr>
                    <a:xfrm>
                      <a:off x="0" y="0"/>
                      <a:ext cx="5274310" cy="4135755"/>
                    </a:xfrm>
                    <a:prstGeom prst="rect">
                      <a:avLst/>
                    </a:prstGeom>
                  </pic:spPr>
                </pic:pic>
              </a:graphicData>
            </a:graphic>
          </wp:inline>
        </w:drawing>
      </w:r>
    </w:p>
    <w:p w14:paraId="117AD4F0" w14:textId="719DA239" w:rsidR="002B7E11" w:rsidRPr="00776B4D" w:rsidRDefault="002B7E11" w:rsidP="002B7E11">
      <w:pPr>
        <w:ind w:firstLineChars="200" w:firstLine="320"/>
        <w:rPr>
          <w:rFonts w:ascii="楷体" w:eastAsia="楷体" w:hAnsi="楷体" w:hint="eastAsia"/>
          <w:sz w:val="16"/>
          <w:szCs w:val="16"/>
        </w:rPr>
      </w:pPr>
      <w:r w:rsidRPr="00776B4D">
        <w:rPr>
          <w:rFonts w:ascii="楷体" w:eastAsia="楷体" w:hAnsi="楷体" w:hint="eastAsia"/>
          <w:sz w:val="16"/>
          <w:szCs w:val="16"/>
        </w:rPr>
        <w:t>数据来源：</w:t>
      </w:r>
      <w:r>
        <w:rPr>
          <w:rFonts w:ascii="楷体" w:eastAsia="楷体" w:hAnsi="楷体" w:hint="eastAsia"/>
          <w:sz w:val="16"/>
          <w:szCs w:val="16"/>
        </w:rPr>
        <w:t>银河证券</w:t>
      </w:r>
      <w:r w:rsidRPr="00776B4D">
        <w:rPr>
          <w:rFonts w:ascii="楷体" w:eastAsia="楷体" w:hAnsi="楷体"/>
          <w:sz w:val="16"/>
          <w:szCs w:val="16"/>
        </w:rPr>
        <w:t xml:space="preserve"> </w:t>
      </w:r>
    </w:p>
    <w:p w14:paraId="3D7CB83A" w14:textId="51C06FE7" w:rsidR="005234B2" w:rsidRPr="005234B2" w:rsidRDefault="005234B2" w:rsidP="005234B2">
      <w:pPr>
        <w:rPr>
          <w:rFonts w:ascii="楷体" w:eastAsia="楷体" w:hAnsi="楷体" w:hint="eastAsia"/>
          <w:sz w:val="24"/>
        </w:rPr>
      </w:pPr>
      <w:r w:rsidRPr="005234B2">
        <w:rPr>
          <w:rFonts w:ascii="楷体" w:eastAsia="楷体" w:hAnsi="楷体" w:hint="eastAsia"/>
          <w:sz w:val="24"/>
        </w:rPr>
        <w:t>AI基础设施已被提升到国家战略层面。华西证券年度策略指出，国务院2025年7-8月连续发布AI相关文件，从顶层设计到产业落地的政策框架已基本成型（华西证券-2026年通信策略）。</w:t>
      </w:r>
    </w:p>
    <w:p w14:paraId="44FBD092" w14:textId="707480DC" w:rsidR="005234B2" w:rsidRPr="005234B2" w:rsidRDefault="005234B2" w:rsidP="005234B2">
      <w:pPr>
        <w:rPr>
          <w:rFonts w:ascii="楷体" w:eastAsia="楷体" w:hAnsi="楷体" w:hint="eastAsia"/>
          <w:sz w:val="24"/>
        </w:rPr>
      </w:pPr>
      <w:r w:rsidRPr="005234B2">
        <w:rPr>
          <w:rFonts w:ascii="楷体" w:eastAsia="楷体" w:hAnsi="楷体" w:hint="eastAsia"/>
          <w:sz w:val="24"/>
        </w:rPr>
        <w:t>政策层面的核心逻辑是：算力基础设施类似于高铁、电网，是数字经济时代的新型"基建"。中国正在通过"东数西算"工程和算力枢纽节点建设，系统性地布局智算中心网络。</w:t>
      </w:r>
    </w:p>
    <w:p w14:paraId="515BFFD0" w14:textId="16E9C8D8" w:rsidR="00FA0F5D" w:rsidRPr="005234B2" w:rsidRDefault="005234B2" w:rsidP="005234B2">
      <w:pPr>
        <w:rPr>
          <w:rFonts w:ascii="楷体" w:eastAsia="楷体" w:hAnsi="楷体" w:hint="eastAsia"/>
          <w:sz w:val="24"/>
        </w:rPr>
      </w:pPr>
      <w:r w:rsidRPr="005234B2">
        <w:rPr>
          <w:rFonts w:ascii="楷体" w:eastAsia="楷体" w:hAnsi="楷体" w:hint="eastAsia"/>
          <w:sz w:val="24"/>
        </w:rPr>
        <w:t>这带来的直接利好是：政策驱动的算力建设需求独立于市场化Capex周期，提供了一个额外的需求安全垫。即使海外云商Capex短期波动，国内政策驱动的算力建设仍在持续推进</w:t>
      </w:r>
      <w:r>
        <w:rPr>
          <w:rFonts w:ascii="楷体" w:eastAsia="楷体" w:hAnsi="楷体" w:hint="eastAsia"/>
          <w:sz w:val="24"/>
        </w:rPr>
        <w:t>，从而形成从产业界到国家基建层面的双轮驱动</w:t>
      </w:r>
      <w:r w:rsidRPr="005234B2">
        <w:rPr>
          <w:rFonts w:ascii="楷体" w:eastAsia="楷体" w:hAnsi="楷体" w:hint="eastAsia"/>
          <w:sz w:val="24"/>
        </w:rPr>
        <w:t>。</w:t>
      </w:r>
    </w:p>
    <w:p w14:paraId="45A5D94B" w14:textId="183E4CF5" w:rsidR="00472F09" w:rsidRPr="00826331" w:rsidRDefault="00826331" w:rsidP="00472F09">
      <w:pPr>
        <w:pStyle w:val="3"/>
        <w:rPr>
          <w:rFonts w:ascii="楷体" w:eastAsia="楷体" w:hAnsi="楷体" w:hint="eastAsia"/>
          <w:color w:val="auto"/>
        </w:rPr>
      </w:pPr>
      <w:r>
        <w:rPr>
          <w:rFonts w:ascii="楷体" w:eastAsia="楷体" w:hAnsi="楷体" w:hint="eastAsia"/>
          <w:color w:val="auto"/>
        </w:rPr>
        <w:lastRenderedPageBreak/>
        <w:t xml:space="preserve">2.2.3 </w:t>
      </w:r>
      <w:r w:rsidR="00472F09" w:rsidRPr="00826331">
        <w:rPr>
          <w:rFonts w:ascii="楷体" w:eastAsia="楷体" w:hAnsi="楷体" w:hint="eastAsia"/>
          <w:color w:val="auto"/>
        </w:rPr>
        <w:t>Token的消耗量级巨大（这里暂时不做测算</w:t>
      </w:r>
      <w:r w:rsidR="00FC3E5C">
        <w:rPr>
          <w:rFonts w:ascii="楷体" w:eastAsia="楷体" w:hAnsi="楷体" w:hint="eastAsia"/>
          <w:color w:val="auto"/>
        </w:rPr>
        <w:t>，只说token的事儿</w:t>
      </w:r>
    </w:p>
    <w:p w14:paraId="068DFE99" w14:textId="69B421F6" w:rsidR="00472F09" w:rsidRPr="00826331" w:rsidRDefault="00826331" w:rsidP="00472F09">
      <w:pPr>
        <w:pStyle w:val="3"/>
        <w:rPr>
          <w:rFonts w:ascii="楷体" w:eastAsia="楷体" w:hAnsi="楷体" w:hint="eastAsia"/>
          <w:color w:val="auto"/>
        </w:rPr>
      </w:pPr>
      <w:r>
        <w:rPr>
          <w:rFonts w:ascii="楷体" w:eastAsia="楷体" w:hAnsi="楷体" w:hint="eastAsia"/>
          <w:color w:val="auto"/>
        </w:rPr>
        <w:t xml:space="preserve">2.2.4 </w:t>
      </w:r>
      <w:r w:rsidR="00472F09" w:rsidRPr="00826331">
        <w:rPr>
          <w:rFonts w:ascii="楷体" w:eastAsia="楷体" w:hAnsi="楷体" w:hint="eastAsia"/>
          <w:color w:val="auto"/>
        </w:rPr>
        <w:t>光模块角色的转变（从telecom 到 datacom</w:t>
      </w:r>
    </w:p>
    <w:p w14:paraId="106CD9B9" w14:textId="39CF887E" w:rsidR="00472F09" w:rsidRPr="00826331" w:rsidRDefault="00826331" w:rsidP="00472F09">
      <w:pPr>
        <w:pStyle w:val="3"/>
        <w:rPr>
          <w:rFonts w:ascii="楷体" w:eastAsia="楷体" w:hAnsi="楷体" w:hint="eastAsia"/>
          <w:color w:val="auto"/>
        </w:rPr>
      </w:pPr>
      <w:r>
        <w:rPr>
          <w:rFonts w:ascii="楷体" w:eastAsia="楷体" w:hAnsi="楷体" w:hint="eastAsia"/>
          <w:color w:val="auto"/>
        </w:rPr>
        <w:t xml:space="preserve">2.2.5 </w:t>
      </w:r>
      <w:r w:rsidR="00472F09" w:rsidRPr="00826331">
        <w:rPr>
          <w:rFonts w:ascii="楷体" w:eastAsia="楷体" w:hAnsi="楷体" w:hint="eastAsia"/>
          <w:color w:val="auto"/>
        </w:rPr>
        <w:t>AI热潮的持续（短期内不会结束</w:t>
      </w:r>
    </w:p>
    <w:p w14:paraId="3AE95324" w14:textId="23745062" w:rsidR="00472F09" w:rsidRPr="00826331" w:rsidRDefault="00826331" w:rsidP="00472F09">
      <w:pPr>
        <w:pStyle w:val="2"/>
        <w:rPr>
          <w:rFonts w:ascii="楷体" w:eastAsia="楷体" w:hAnsi="楷体" w:hint="eastAsia"/>
          <w:color w:val="auto"/>
        </w:rPr>
      </w:pPr>
      <w:r>
        <w:rPr>
          <w:rFonts w:ascii="楷体" w:eastAsia="楷体" w:hAnsi="楷体" w:hint="eastAsia"/>
          <w:color w:val="auto"/>
        </w:rPr>
        <w:t xml:space="preserve">2.3 </w:t>
      </w:r>
      <w:r w:rsidR="00472F09" w:rsidRPr="00826331">
        <w:rPr>
          <w:rFonts w:ascii="楷体" w:eastAsia="楷体" w:hAnsi="楷体" w:hint="eastAsia"/>
          <w:color w:val="auto"/>
        </w:rPr>
        <w:t>传统通信产业的稳态和嬗变</w:t>
      </w:r>
    </w:p>
    <w:p w14:paraId="24276A1D" w14:textId="35152E9D" w:rsidR="00472F09" w:rsidRPr="00826331" w:rsidRDefault="00826331" w:rsidP="00472F09">
      <w:pPr>
        <w:pStyle w:val="3"/>
        <w:rPr>
          <w:rFonts w:ascii="楷体" w:eastAsia="楷体" w:hAnsi="楷体" w:hint="eastAsia"/>
          <w:color w:val="auto"/>
        </w:rPr>
      </w:pPr>
      <w:r>
        <w:rPr>
          <w:rFonts w:ascii="楷体" w:eastAsia="楷体" w:hAnsi="楷体" w:hint="eastAsia"/>
          <w:color w:val="auto"/>
        </w:rPr>
        <w:t xml:space="preserve">2.3.1 </w:t>
      </w:r>
      <w:r w:rsidR="00472F09" w:rsidRPr="00826331">
        <w:rPr>
          <w:rFonts w:ascii="楷体" w:eastAsia="楷体" w:hAnsi="楷体" w:hint="eastAsia"/>
          <w:color w:val="auto"/>
        </w:rPr>
        <w:t>运营商的角色转变</w:t>
      </w:r>
    </w:p>
    <w:p w14:paraId="171EB2CE" w14:textId="1F81CB17" w:rsidR="00472F09" w:rsidRPr="00826331" w:rsidRDefault="00826331" w:rsidP="00472F09">
      <w:pPr>
        <w:pStyle w:val="3"/>
        <w:rPr>
          <w:rFonts w:ascii="楷体" w:eastAsia="楷体" w:hAnsi="楷体" w:hint="eastAsia"/>
          <w:color w:val="auto"/>
        </w:rPr>
      </w:pPr>
      <w:r>
        <w:rPr>
          <w:rFonts w:ascii="楷体" w:eastAsia="楷体" w:hAnsi="楷体" w:hint="eastAsia"/>
          <w:color w:val="auto"/>
        </w:rPr>
        <w:t xml:space="preserve">2.3.2 </w:t>
      </w:r>
      <w:r w:rsidR="00472F09" w:rsidRPr="00826331">
        <w:rPr>
          <w:rFonts w:ascii="楷体" w:eastAsia="楷体" w:hAnsi="楷体" w:hint="eastAsia"/>
          <w:color w:val="auto"/>
        </w:rPr>
        <w:t>服务器，光纤等的服务对象转变</w:t>
      </w:r>
    </w:p>
    <w:p w14:paraId="0FBE3B44" w14:textId="74930376" w:rsidR="00472F09" w:rsidRPr="00826331" w:rsidRDefault="00826331" w:rsidP="00472F09">
      <w:pPr>
        <w:pStyle w:val="2"/>
        <w:rPr>
          <w:rFonts w:ascii="楷体" w:eastAsia="楷体" w:hAnsi="楷体" w:hint="eastAsia"/>
          <w:color w:val="auto"/>
        </w:rPr>
      </w:pPr>
      <w:r>
        <w:rPr>
          <w:rFonts w:ascii="楷体" w:eastAsia="楷体" w:hAnsi="楷体" w:hint="eastAsia"/>
          <w:color w:val="auto"/>
        </w:rPr>
        <w:t xml:space="preserve">2.4 </w:t>
      </w:r>
      <w:r w:rsidR="00472F09" w:rsidRPr="00826331">
        <w:rPr>
          <w:rFonts w:ascii="楷体" w:eastAsia="楷体" w:hAnsi="楷体" w:hint="eastAsia"/>
          <w:color w:val="auto"/>
        </w:rPr>
        <w:t>主题期权：5G-A/6G+星间通信（占投资逻辑部分10%-20%） 下一代通信的孕育</w:t>
      </w:r>
    </w:p>
    <w:p w14:paraId="0FF45C8C" w14:textId="77777777" w:rsidR="00472F09" w:rsidRPr="00826331" w:rsidRDefault="00472F09" w:rsidP="00472F09">
      <w:pPr>
        <w:rPr>
          <w:rFonts w:ascii="楷体" w:eastAsia="楷体" w:hAnsi="楷体" w:hint="eastAsia"/>
        </w:rPr>
      </w:pPr>
    </w:p>
    <w:p w14:paraId="2C8F2D38" w14:textId="6DCBE852" w:rsidR="00472F09" w:rsidRDefault="004E6458" w:rsidP="00472F09">
      <w:pPr>
        <w:pStyle w:val="1"/>
        <w:rPr>
          <w:rFonts w:ascii="楷体" w:eastAsia="楷体" w:hAnsi="楷体" w:hint="eastAsia"/>
          <w:color w:val="auto"/>
        </w:rPr>
      </w:pPr>
      <w:r>
        <w:rPr>
          <w:rFonts w:ascii="楷体" w:eastAsia="楷体" w:hAnsi="楷体" w:hint="eastAsia"/>
          <w:color w:val="auto"/>
        </w:rPr>
        <w:t xml:space="preserve">3. </w:t>
      </w:r>
      <w:r w:rsidR="00CC7144">
        <w:rPr>
          <w:rFonts w:ascii="楷体" w:eastAsia="楷体" w:hAnsi="楷体" w:hint="eastAsia"/>
          <w:color w:val="auto"/>
        </w:rPr>
        <w:t>产业趋势</w:t>
      </w:r>
    </w:p>
    <w:p w14:paraId="5C02A193" w14:textId="5F155DA0" w:rsidR="00CC7144" w:rsidRDefault="00BD7180" w:rsidP="00E46BE0">
      <w:pPr>
        <w:pStyle w:val="2"/>
        <w:rPr>
          <w:rFonts w:ascii="楷体" w:eastAsia="楷体" w:hAnsi="楷体" w:hint="eastAsia"/>
          <w:color w:val="auto"/>
        </w:rPr>
      </w:pPr>
      <w:r w:rsidRPr="00071C8F">
        <w:rPr>
          <w:rFonts w:ascii="楷体" w:eastAsia="楷体" w:hAnsi="楷体" w:hint="eastAsia"/>
          <w:color w:val="auto"/>
        </w:rPr>
        <w:t>3.</w:t>
      </w:r>
      <w:r w:rsidR="00E52BFD" w:rsidRPr="00071C8F">
        <w:rPr>
          <w:rFonts w:ascii="楷体" w:eastAsia="楷体" w:hAnsi="楷体" w:hint="eastAsia"/>
          <w:color w:val="auto"/>
        </w:rPr>
        <w:t>1.</w:t>
      </w:r>
      <w:r w:rsidR="00071C8F" w:rsidRPr="00071C8F">
        <w:rPr>
          <w:rFonts w:ascii="楷体" w:eastAsia="楷体" w:hAnsi="楷体" w:hint="eastAsia"/>
          <w:color w:val="auto"/>
        </w:rPr>
        <w:t>鸟瞰：</w:t>
      </w:r>
      <w:r w:rsidR="00071C8F">
        <w:rPr>
          <w:rFonts w:ascii="楷体" w:eastAsia="楷体" w:hAnsi="楷体" w:hint="eastAsia"/>
          <w:color w:val="auto"/>
        </w:rPr>
        <w:t>范式变化</w:t>
      </w:r>
    </w:p>
    <w:p w14:paraId="4002D984" w14:textId="5BA8FCA1" w:rsidR="00071C8F" w:rsidRDefault="00071C8F" w:rsidP="00071C8F">
      <w:pPr>
        <w:pStyle w:val="3"/>
        <w:rPr>
          <w:rFonts w:ascii="楷体" w:eastAsia="楷体" w:hAnsi="楷体" w:hint="eastAsia"/>
        </w:rPr>
      </w:pPr>
      <w:r w:rsidRPr="00071C8F">
        <w:rPr>
          <w:rFonts w:ascii="楷体" w:eastAsia="楷体" w:hAnsi="楷体" w:hint="eastAsia"/>
        </w:rPr>
        <w:t>3.1.1 传统通信：周期形态</w:t>
      </w:r>
    </w:p>
    <w:p w14:paraId="5252F958" w14:textId="77777777" w:rsidR="00097AB4" w:rsidRDefault="00097AB4" w:rsidP="00097AB4">
      <w:pPr>
        <w:rPr>
          <w:rFonts w:ascii="楷体" w:eastAsia="楷体" w:hAnsi="楷体" w:hint="eastAsia"/>
          <w:sz w:val="24"/>
          <w:szCs w:val="28"/>
        </w:rPr>
      </w:pPr>
      <w:r w:rsidRPr="00BD7437">
        <w:rPr>
          <w:rFonts w:ascii="楷体" w:eastAsia="楷体" w:hAnsi="楷体" w:hint="eastAsia"/>
          <w:sz w:val="24"/>
          <w:szCs w:val="28"/>
        </w:rPr>
        <w:t>通信产业按照信息互联的对象可以分为两种，与人互联（telecom）与数据通信互联（Datacom）两种。前者包含无线/射频/星间/固网，可以称之为传统通信产业。后者在当前主要以光通信为主，可以称之为新型通信产业。</w:t>
      </w:r>
    </w:p>
    <w:p w14:paraId="5434834D" w14:textId="77777777" w:rsidR="00097AB4" w:rsidRDefault="00097AB4" w:rsidP="00097AB4">
      <w:pPr>
        <w:ind w:firstLineChars="200" w:firstLine="480"/>
        <w:rPr>
          <w:rFonts w:ascii="楷体" w:eastAsia="楷体" w:hAnsi="楷体" w:hint="eastAsia"/>
          <w:sz w:val="24"/>
        </w:rPr>
      </w:pPr>
      <w:r>
        <w:rPr>
          <w:rFonts w:ascii="楷体" w:eastAsia="楷体" w:hAnsi="楷体" w:hint="eastAsia"/>
          <w:sz w:val="24"/>
        </w:rPr>
        <w:t>传统通信业的主要矛盾是“网络建设投入”与“投资回报快速递减”的矛盾。</w:t>
      </w:r>
      <w:r w:rsidRPr="008F0E2F">
        <w:rPr>
          <w:rFonts w:ascii="楷体" w:eastAsia="楷体" w:hAnsi="楷体" w:hint="eastAsia"/>
          <w:sz w:val="24"/>
        </w:rPr>
        <w:t>这个矛盾贯穿了3G</w:t>
      </w:r>
      <w:r>
        <w:rPr>
          <w:rFonts w:ascii="楷体" w:eastAsia="楷体" w:hAnsi="楷体" w:hint="eastAsia"/>
          <w:sz w:val="24"/>
        </w:rPr>
        <w:t>到</w:t>
      </w:r>
      <w:r w:rsidRPr="008F0E2F">
        <w:rPr>
          <w:rFonts w:ascii="楷体" w:eastAsia="楷体" w:hAnsi="楷体" w:hint="eastAsia"/>
          <w:sz w:val="24"/>
        </w:rPr>
        <w:t>5G三个周期。每一代移动通信技术的建设高峰期，运营商大规模</w:t>
      </w:r>
      <w:r>
        <w:rPr>
          <w:rFonts w:ascii="楷体" w:eastAsia="楷体" w:hAnsi="楷体" w:hint="eastAsia"/>
          <w:sz w:val="24"/>
        </w:rPr>
        <w:t>资本开支</w:t>
      </w:r>
      <w:r w:rsidRPr="008F0E2F">
        <w:rPr>
          <w:rFonts w:ascii="楷体" w:eastAsia="楷体" w:hAnsi="楷体" w:hint="eastAsia"/>
          <w:sz w:val="24"/>
        </w:rPr>
        <w:t>，带动设备业绩增长。但高峰过后，需求增长放缓，ARPU持续承压，运营商被迫削减开支，产业链进入低谷</w:t>
      </w:r>
      <w:r>
        <w:rPr>
          <w:rFonts w:ascii="楷体" w:eastAsia="楷体" w:hAnsi="楷体" w:hint="eastAsia"/>
          <w:sz w:val="24"/>
        </w:rPr>
        <w:t>，</w:t>
      </w:r>
      <w:r w:rsidRPr="008F0E2F">
        <w:rPr>
          <w:rFonts w:ascii="楷体" w:eastAsia="楷体" w:hAnsi="楷体" w:hint="eastAsia"/>
          <w:sz w:val="24"/>
        </w:rPr>
        <w:t>然后再等待下一</w:t>
      </w:r>
      <w:r>
        <w:rPr>
          <w:rFonts w:ascii="楷体" w:eastAsia="楷体" w:hAnsi="楷体" w:hint="eastAsia"/>
          <w:sz w:val="24"/>
        </w:rPr>
        <w:t>轮</w:t>
      </w:r>
      <w:r w:rsidRPr="008F0E2F">
        <w:rPr>
          <w:rFonts w:ascii="楷体" w:eastAsia="楷体" w:hAnsi="楷体" w:hint="eastAsia"/>
          <w:sz w:val="24"/>
        </w:rPr>
        <w:t>周期。</w:t>
      </w:r>
    </w:p>
    <w:p w14:paraId="7D9E151C" w14:textId="77777777" w:rsidR="00097AB4" w:rsidRDefault="00097AB4" w:rsidP="00097AB4">
      <w:pPr>
        <w:ind w:firstLineChars="200" w:firstLine="480"/>
        <w:rPr>
          <w:rFonts w:ascii="楷体" w:eastAsia="楷体" w:hAnsi="楷体" w:hint="eastAsia"/>
          <w:sz w:val="24"/>
        </w:rPr>
      </w:pPr>
      <w:r w:rsidRPr="00B06109">
        <w:rPr>
          <w:rFonts w:ascii="楷体" w:eastAsia="楷体" w:hAnsi="楷体" w:hint="eastAsia"/>
          <w:sz w:val="24"/>
        </w:rPr>
        <w:t>在传统通信的框架下，产业矛盾的本质是"管道化"——通信网络</w:t>
      </w:r>
      <w:r>
        <w:rPr>
          <w:rFonts w:ascii="楷体" w:eastAsia="楷体" w:hAnsi="楷体" w:hint="eastAsia"/>
          <w:sz w:val="24"/>
        </w:rPr>
        <w:t>的定位接近基础生产资料</w:t>
      </w:r>
      <w:r w:rsidRPr="00B06109">
        <w:rPr>
          <w:rFonts w:ascii="楷体" w:eastAsia="楷体" w:hAnsi="楷体" w:hint="eastAsia"/>
          <w:sz w:val="24"/>
        </w:rPr>
        <w:t>，提供</w:t>
      </w:r>
      <w:r>
        <w:rPr>
          <w:rFonts w:ascii="楷体" w:eastAsia="楷体" w:hAnsi="楷体" w:hint="eastAsia"/>
          <w:sz w:val="24"/>
        </w:rPr>
        <w:t>必要</w:t>
      </w:r>
      <w:r w:rsidRPr="00B06109">
        <w:rPr>
          <w:rFonts w:ascii="楷体" w:eastAsia="楷体" w:hAnsi="楷体" w:hint="eastAsia"/>
          <w:sz w:val="24"/>
        </w:rPr>
        <w:t>连接服务，但无法捕获数据价值。</w:t>
      </w:r>
      <w:r>
        <w:rPr>
          <w:rFonts w:ascii="楷体" w:eastAsia="楷体" w:hAnsi="楷体" w:hint="eastAsia"/>
          <w:sz w:val="24"/>
        </w:rPr>
        <w:t>也无法提供可观</w:t>
      </w:r>
      <w:r>
        <w:rPr>
          <w:rFonts w:ascii="楷体" w:eastAsia="楷体" w:hAnsi="楷体" w:hint="eastAsia"/>
          <w:sz w:val="24"/>
        </w:rPr>
        <w:lastRenderedPageBreak/>
        <w:t>盈利</w:t>
      </w:r>
    </w:p>
    <w:p w14:paraId="5529C7D2" w14:textId="18F42226" w:rsidR="00071C8F" w:rsidRPr="00097AB4" w:rsidRDefault="00097AB4" w:rsidP="00071C8F">
      <w:pPr>
        <w:rPr>
          <w:rFonts w:ascii="楷体" w:eastAsia="楷体" w:hAnsi="楷体" w:hint="eastAsia"/>
          <w:sz w:val="24"/>
          <w:szCs w:val="28"/>
        </w:rPr>
      </w:pPr>
      <w:r>
        <w:rPr>
          <w:noProof/>
        </w:rPr>
        <w:drawing>
          <wp:inline distT="0" distB="0" distL="0" distR="0" wp14:anchorId="7CC539E1" wp14:editId="354A78B5">
            <wp:extent cx="5274310" cy="1957070"/>
            <wp:effectExtent l="0" t="0" r="2540" b="5080"/>
            <wp:docPr id="11157355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4240" name=""/>
                    <pic:cNvPicPr/>
                  </pic:nvPicPr>
                  <pic:blipFill>
                    <a:blip r:embed="rId7"/>
                    <a:stretch>
                      <a:fillRect/>
                    </a:stretch>
                  </pic:blipFill>
                  <pic:spPr>
                    <a:xfrm>
                      <a:off x="0" y="0"/>
                      <a:ext cx="5274310" cy="1957070"/>
                    </a:xfrm>
                    <a:prstGeom prst="rect">
                      <a:avLst/>
                    </a:prstGeom>
                  </pic:spPr>
                </pic:pic>
              </a:graphicData>
            </a:graphic>
          </wp:inline>
        </w:drawing>
      </w:r>
    </w:p>
    <w:p w14:paraId="3DAFF3EE" w14:textId="5AAC0400" w:rsidR="00097AB4" w:rsidRPr="00097AB4" w:rsidRDefault="00097AB4" w:rsidP="00097AB4">
      <w:pPr>
        <w:pStyle w:val="3"/>
        <w:rPr>
          <w:rFonts w:hint="eastAsia"/>
        </w:rPr>
      </w:pPr>
      <w:r w:rsidRPr="00097AB4">
        <w:rPr>
          <w:rFonts w:hint="eastAsia"/>
        </w:rPr>
        <w:t>3.1.2 AI时代：成长为主</w:t>
      </w:r>
    </w:p>
    <w:p w14:paraId="2951EF40" w14:textId="77777777" w:rsidR="00097AB4" w:rsidRDefault="00097AB4" w:rsidP="00097AB4">
      <w:pPr>
        <w:ind w:firstLineChars="200" w:firstLine="480"/>
        <w:rPr>
          <w:rFonts w:ascii="楷体" w:eastAsia="楷体" w:hAnsi="楷体" w:hint="eastAsia"/>
          <w:sz w:val="24"/>
        </w:rPr>
      </w:pPr>
      <w:r>
        <w:rPr>
          <w:rFonts w:ascii="楷体" w:eastAsia="楷体" w:hAnsi="楷体" w:hint="eastAsia"/>
          <w:sz w:val="24"/>
        </w:rPr>
        <w:t>但是AI的发展和繁荣极大地改变了这一格局，使得通信行业的底层驱动力从人的连接需求（tele-Communications）转向机器的连接需求（Data-Communications）。这一转变带来了一系列反应。</w:t>
      </w:r>
    </w:p>
    <w:p w14:paraId="2728DD8E" w14:textId="44451560" w:rsidR="00097AB4" w:rsidRPr="00097AB4" w:rsidRDefault="00097AB4" w:rsidP="00097AB4">
      <w:pPr>
        <w:ind w:firstLineChars="200" w:firstLine="480"/>
        <w:rPr>
          <w:rFonts w:ascii="楷体" w:eastAsia="楷体" w:hAnsi="楷体" w:hint="eastAsia"/>
          <w:sz w:val="24"/>
        </w:rPr>
      </w:pPr>
      <w:r>
        <w:rPr>
          <w:rFonts w:ascii="楷体" w:eastAsia="楷体" w:hAnsi="楷体" w:hint="eastAsia"/>
          <w:sz w:val="24"/>
        </w:rPr>
        <w:t>需求引擎上，向以国内外云厂，互联网巨头和AI基建企业Capex为主要增长引擎切换。</w:t>
      </w:r>
    </w:p>
    <w:p w14:paraId="65C865B4" w14:textId="77777777" w:rsidR="00097AB4" w:rsidRDefault="00097AB4" w:rsidP="00097AB4">
      <w:pPr>
        <w:ind w:firstLineChars="200" w:firstLine="480"/>
        <w:rPr>
          <w:rFonts w:ascii="楷体" w:eastAsia="楷体" w:hAnsi="楷体" w:hint="eastAsia"/>
          <w:sz w:val="24"/>
        </w:rPr>
      </w:pPr>
      <w:r>
        <w:rPr>
          <w:rFonts w:ascii="楷体" w:eastAsia="楷体" w:hAnsi="楷体" w:hint="eastAsia"/>
          <w:sz w:val="24"/>
        </w:rPr>
        <w:t>增长曲线上， GPU和CPU的运转，光互连的传输，这是一个连续且连贯的过程。这意味着周期型一次性Capex向持续投入型Capex的转变，增长曲线将从阶梯状转变为斜率陡峭的上行曲线。</w:t>
      </w:r>
    </w:p>
    <w:p w14:paraId="53F2916B" w14:textId="5D4C7929" w:rsidR="00097AB4" w:rsidRDefault="00097AB4" w:rsidP="00097AB4">
      <w:pPr>
        <w:ind w:firstLineChars="200" w:firstLine="480"/>
        <w:rPr>
          <w:rFonts w:ascii="楷体" w:eastAsia="楷体" w:hAnsi="楷体" w:hint="eastAsia"/>
          <w:sz w:val="24"/>
        </w:rPr>
      </w:pPr>
      <w:r>
        <w:rPr>
          <w:rFonts w:ascii="楷体" w:eastAsia="楷体" w:hAnsi="楷体" w:hint="eastAsia"/>
          <w:sz w:val="24"/>
        </w:rPr>
        <w:t>迭代速度上，</w:t>
      </w:r>
      <w:r w:rsidRPr="00DA2302">
        <w:rPr>
          <w:rFonts w:ascii="楷体" w:eastAsia="楷体" w:hAnsi="楷体"/>
          <w:sz w:val="24"/>
        </w:rPr>
        <w:t>传统通信的技术周期是"一代十年"。AI光通信的迭代速度远快于此：从800G到1.6T到3.2T，每一代间隔仅2-3年。</w:t>
      </w:r>
    </w:p>
    <w:p w14:paraId="1BC18659" w14:textId="77777777" w:rsidR="00097AB4" w:rsidRDefault="00097AB4" w:rsidP="00097AB4">
      <w:pPr>
        <w:jc w:val="center"/>
        <w:rPr>
          <w:rFonts w:ascii="楷体" w:eastAsia="楷体" w:hAnsi="楷体" w:hint="eastAsia"/>
          <w:sz w:val="24"/>
        </w:rPr>
      </w:pPr>
      <w:r>
        <w:rPr>
          <w:rFonts w:ascii="楷体" w:eastAsia="楷体" w:hAnsi="楷体" w:hint="eastAsia"/>
          <w:sz w:val="24"/>
        </w:rPr>
        <w:t>图：光通信高速迭代概览</w:t>
      </w:r>
    </w:p>
    <w:p w14:paraId="6A4BBAF4" w14:textId="77777777" w:rsidR="00097AB4" w:rsidRDefault="00097AB4" w:rsidP="00097AB4">
      <w:pPr>
        <w:rPr>
          <w:rFonts w:ascii="楷体" w:eastAsia="楷体" w:hAnsi="楷体" w:hint="eastAsia"/>
          <w:sz w:val="24"/>
        </w:rPr>
      </w:pPr>
      <w:r>
        <w:rPr>
          <w:noProof/>
        </w:rPr>
        <w:drawing>
          <wp:inline distT="0" distB="0" distL="0" distR="0" wp14:anchorId="77FA10CE" wp14:editId="4F63B33C">
            <wp:extent cx="5274310" cy="2008505"/>
            <wp:effectExtent l="0" t="0" r="2540" b="0"/>
            <wp:docPr id="6691828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82808" name=""/>
                    <pic:cNvPicPr/>
                  </pic:nvPicPr>
                  <pic:blipFill>
                    <a:blip r:embed="rId10"/>
                    <a:stretch>
                      <a:fillRect/>
                    </a:stretch>
                  </pic:blipFill>
                  <pic:spPr>
                    <a:xfrm>
                      <a:off x="0" y="0"/>
                      <a:ext cx="5274310" cy="2008505"/>
                    </a:xfrm>
                    <a:prstGeom prst="rect">
                      <a:avLst/>
                    </a:prstGeom>
                  </pic:spPr>
                </pic:pic>
              </a:graphicData>
            </a:graphic>
          </wp:inline>
        </w:drawing>
      </w:r>
    </w:p>
    <w:p w14:paraId="76500C70" w14:textId="77777777" w:rsidR="00097AB4" w:rsidRPr="00E11271" w:rsidRDefault="00097AB4" w:rsidP="00097AB4">
      <w:pPr>
        <w:ind w:firstLineChars="200" w:firstLine="480"/>
        <w:rPr>
          <w:rFonts w:ascii="楷体" w:eastAsia="楷体" w:hAnsi="楷体" w:hint="eastAsia"/>
          <w:sz w:val="24"/>
        </w:rPr>
      </w:pPr>
      <w:r>
        <w:rPr>
          <w:rFonts w:ascii="楷体" w:eastAsia="楷体" w:hAnsi="楷体" w:hint="eastAsia"/>
          <w:sz w:val="24"/>
        </w:rPr>
        <w:t>在此基础上，我们认为通信股的定价逻辑正在发生根本变化</w:t>
      </w:r>
      <w:r w:rsidRPr="001D5B2B">
        <w:rPr>
          <w:rFonts w:ascii="楷体" w:eastAsia="楷体" w:hAnsi="楷体" w:hint="eastAsia"/>
          <w:sz w:val="24"/>
        </w:rPr>
        <w:t>，人工智能将通信行业从依赖运营商资本开支为主导的周期型行业，逐步转变为了人工智能+运营商资本开支双轮驱动的周期+成本复合行业</w:t>
      </w:r>
      <w:r w:rsidRPr="009C5835">
        <w:rPr>
          <w:rFonts w:ascii="楷体" w:eastAsia="楷体" w:hAnsi="楷体" w:hint="eastAsia"/>
          <w:sz w:val="24"/>
        </w:rPr>
        <w:t>，价值量大幅提升。</w:t>
      </w:r>
    </w:p>
    <w:p w14:paraId="5F7885C9" w14:textId="268B33AB" w:rsidR="00640D63" w:rsidRPr="00D37D95" w:rsidRDefault="00AF38C0" w:rsidP="00DF583E">
      <w:pPr>
        <w:rPr>
          <w:rFonts w:ascii="楷体" w:eastAsia="楷体" w:hAnsi="楷体" w:hint="eastAsia"/>
          <w:sz w:val="24"/>
          <w:szCs w:val="28"/>
        </w:rPr>
      </w:pPr>
      <w:r w:rsidRPr="00D37D95">
        <w:rPr>
          <w:rFonts w:ascii="楷体" w:eastAsia="楷体" w:hAnsi="楷体" w:hint="eastAsia"/>
          <w:sz w:val="24"/>
          <w:szCs w:val="28"/>
        </w:rPr>
        <w:lastRenderedPageBreak/>
        <w:t>受益于AI基础设施建设对以太网交换机和高速光模块</w:t>
      </w:r>
      <w:r w:rsidR="00097AB4" w:rsidRPr="00D37D95">
        <w:rPr>
          <w:rFonts w:ascii="楷体" w:eastAsia="楷体" w:hAnsi="楷体" w:hint="eastAsia"/>
          <w:sz w:val="24"/>
          <w:szCs w:val="28"/>
        </w:rPr>
        <w:t>施加的新变化</w:t>
      </w:r>
      <w:r w:rsidRPr="00D37D95">
        <w:rPr>
          <w:rFonts w:ascii="楷体" w:eastAsia="楷体" w:hAnsi="楷体" w:hint="eastAsia"/>
          <w:sz w:val="24"/>
          <w:szCs w:val="28"/>
        </w:rPr>
        <w:t>，以及光互连技术在AI</w:t>
      </w:r>
      <w:r w:rsidR="00A74B74" w:rsidRPr="00D37D95">
        <w:rPr>
          <w:rFonts w:ascii="楷体" w:eastAsia="楷体" w:hAnsi="楷体" w:hint="eastAsia"/>
          <w:sz w:val="24"/>
          <w:szCs w:val="28"/>
        </w:rPr>
        <w:t xml:space="preserve"> </w:t>
      </w:r>
      <w:r w:rsidRPr="00D37D95">
        <w:rPr>
          <w:rFonts w:ascii="楷体" w:eastAsia="楷体" w:hAnsi="楷体" w:hint="eastAsia"/>
          <w:sz w:val="24"/>
          <w:szCs w:val="28"/>
        </w:rPr>
        <w:t>scale-up网络中的应用推广，光模块市场规模有望持续快速增长。</w:t>
      </w:r>
      <w:r w:rsidR="00640D63" w:rsidRPr="00D37D95">
        <w:rPr>
          <w:rFonts w:ascii="楷体" w:eastAsia="楷体" w:hAnsi="楷体" w:hint="eastAsia"/>
          <w:sz w:val="24"/>
          <w:szCs w:val="28"/>
        </w:rPr>
        <w:t>并且连带着几乎所有算力辅助设施，如服务器，光纤共同增长</w:t>
      </w:r>
    </w:p>
    <w:p w14:paraId="058D7F99" w14:textId="5EBC1DC9" w:rsidR="00DF583E" w:rsidRDefault="00AF38C0" w:rsidP="00DF583E">
      <w:pPr>
        <w:rPr>
          <w:rFonts w:ascii="楷体" w:eastAsia="楷体" w:hAnsi="楷体"/>
        </w:rPr>
      </w:pPr>
      <w:r w:rsidRPr="00640D63">
        <w:rPr>
          <w:rFonts w:ascii="楷体" w:eastAsia="楷体" w:hAnsi="楷体" w:hint="eastAsia"/>
        </w:rPr>
        <w:t>近15年来全球光模块供应商格局的深刻变革，截至2020年，多数日本和美国供应商已退出该市场，而中国厂商的排名则持续攀升，2024年全球光模块TOP10榜单显示，中国厂商已在该领域占据主导地位（占7席）</w:t>
      </w:r>
    </w:p>
    <w:p w14:paraId="2240A7E3" w14:textId="4A7D0B35" w:rsidR="00D37D95" w:rsidRDefault="00D37D95" w:rsidP="00D37D95">
      <w:pPr>
        <w:jc w:val="center"/>
        <w:rPr>
          <w:rFonts w:ascii="楷体" w:eastAsia="楷体" w:hAnsi="楷体" w:hint="eastAsia"/>
        </w:rPr>
      </w:pPr>
      <w:r>
        <w:rPr>
          <w:rFonts w:ascii="楷体" w:eastAsia="楷体" w:hAnsi="楷体" w:hint="eastAsia"/>
        </w:rPr>
        <w:t>图：光模块企业全球排名</w:t>
      </w:r>
    </w:p>
    <w:p w14:paraId="40AE5841" w14:textId="4E6B4376" w:rsidR="00F103F2" w:rsidRDefault="00F103F2" w:rsidP="00DF583E">
      <w:pPr>
        <w:rPr>
          <w:rFonts w:ascii="楷体" w:eastAsia="楷体" w:hAnsi="楷体" w:hint="eastAsia"/>
        </w:rPr>
      </w:pPr>
      <w:r>
        <w:rPr>
          <w:noProof/>
        </w:rPr>
        <w:drawing>
          <wp:inline distT="0" distB="0" distL="0" distR="0" wp14:anchorId="0407E003" wp14:editId="778FD5FC">
            <wp:extent cx="5274310" cy="2171065"/>
            <wp:effectExtent l="0" t="0" r="2540" b="635"/>
            <wp:docPr id="19220492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49262" name=""/>
                    <pic:cNvPicPr/>
                  </pic:nvPicPr>
                  <pic:blipFill>
                    <a:blip r:embed="rId11"/>
                    <a:stretch>
                      <a:fillRect/>
                    </a:stretch>
                  </pic:blipFill>
                  <pic:spPr>
                    <a:xfrm>
                      <a:off x="0" y="0"/>
                      <a:ext cx="5274310" cy="2171065"/>
                    </a:xfrm>
                    <a:prstGeom prst="rect">
                      <a:avLst/>
                    </a:prstGeom>
                  </pic:spPr>
                </pic:pic>
              </a:graphicData>
            </a:graphic>
          </wp:inline>
        </w:drawing>
      </w:r>
    </w:p>
    <w:p w14:paraId="3DB75C4D" w14:textId="58FCD4BA" w:rsidR="00F60BEF" w:rsidRPr="00AB2271" w:rsidRDefault="00F60BEF" w:rsidP="00DF583E">
      <w:pPr>
        <w:rPr>
          <w:rFonts w:ascii="楷体" w:eastAsia="楷体" w:hAnsi="楷体" w:hint="eastAsia"/>
        </w:rPr>
      </w:pPr>
      <w:r w:rsidRPr="00AB2271">
        <w:rPr>
          <w:rFonts w:ascii="楷体" w:eastAsia="楷体" w:hAnsi="楷体" w:hint="eastAsia"/>
        </w:rPr>
        <w:t>2023年初以来AI新一轮技术变革尤其是LLM的训练与推理，带动行业进入新周期，量价关系与过去几轮相比显著不同，当前节点从单纯需求端放量扩展至供给端技术爆发式变化，成长空间也从</w:t>
      </w:r>
      <w:r w:rsidR="00F103F2">
        <w:rPr>
          <w:rFonts w:ascii="楷体" w:eastAsia="楷体" w:hAnsi="楷体" w:hint="eastAsia"/>
        </w:rPr>
        <w:t>多机架互联的</w:t>
      </w:r>
      <w:r w:rsidRPr="00AB2271">
        <w:rPr>
          <w:rFonts w:ascii="楷体" w:eastAsia="楷体" w:hAnsi="楷体" w:hint="eastAsia"/>
        </w:rPr>
        <w:t>Scale-out扩展至</w:t>
      </w:r>
      <w:r w:rsidR="00F103F2">
        <w:rPr>
          <w:rFonts w:ascii="楷体" w:eastAsia="楷体" w:hAnsi="楷体" w:hint="eastAsia"/>
        </w:rPr>
        <w:t>机架内互联的</w:t>
      </w:r>
      <w:r w:rsidRPr="00AB2271">
        <w:rPr>
          <w:rFonts w:ascii="楷体" w:eastAsia="楷体" w:hAnsi="楷体" w:hint="eastAsia"/>
        </w:rPr>
        <w:t>Scale-up等场景，产业上限正在打开。</w:t>
      </w:r>
    </w:p>
    <w:p w14:paraId="7B2D8631" w14:textId="0EC17956" w:rsidR="00E46BE0" w:rsidRPr="00097AB4" w:rsidRDefault="00BD7180" w:rsidP="00097AB4">
      <w:pPr>
        <w:pStyle w:val="2"/>
        <w:rPr>
          <w:rFonts w:ascii="楷体" w:eastAsia="楷体" w:hAnsi="楷体" w:hint="eastAsia"/>
        </w:rPr>
      </w:pPr>
      <w:r w:rsidRPr="00071C8F">
        <w:rPr>
          <w:rFonts w:ascii="楷体" w:eastAsia="楷体" w:hAnsi="楷体" w:hint="eastAsia"/>
        </w:rPr>
        <w:t>3.</w:t>
      </w:r>
      <w:r w:rsidR="00D17872" w:rsidRPr="00071C8F">
        <w:rPr>
          <w:rFonts w:ascii="楷体" w:eastAsia="楷体" w:hAnsi="楷体" w:hint="eastAsia"/>
        </w:rPr>
        <w:t>2.</w:t>
      </w:r>
      <w:r w:rsidR="00071C8F" w:rsidRPr="00071C8F">
        <w:rPr>
          <w:rFonts w:ascii="楷体" w:eastAsia="楷体" w:hAnsi="楷体" w:hint="eastAsia"/>
        </w:rPr>
        <w:t>增量：</w:t>
      </w:r>
      <w:r w:rsidR="00E375CA">
        <w:rPr>
          <w:rFonts w:ascii="楷体" w:eastAsia="楷体" w:hAnsi="楷体" w:hint="eastAsia"/>
        </w:rPr>
        <w:t>AI时代</w:t>
      </w:r>
      <w:r w:rsidR="00071C8F" w:rsidRPr="00071C8F">
        <w:rPr>
          <w:rFonts w:ascii="楷体" w:eastAsia="楷体" w:hAnsi="楷体" w:hint="eastAsia"/>
        </w:rPr>
        <w:t>追光的正确性</w:t>
      </w:r>
    </w:p>
    <w:p w14:paraId="51B1D74C" w14:textId="6EC6DEC4" w:rsidR="00D32A8D" w:rsidRPr="00462CF2" w:rsidRDefault="00BD7180" w:rsidP="00646D7A">
      <w:pPr>
        <w:pStyle w:val="3"/>
        <w:rPr>
          <w:rFonts w:ascii="楷体" w:eastAsia="楷体" w:hAnsi="楷体" w:hint="eastAsia"/>
        </w:rPr>
      </w:pPr>
      <w:r w:rsidRPr="00462CF2">
        <w:rPr>
          <w:rFonts w:ascii="楷体" w:eastAsia="楷体" w:hAnsi="楷体" w:hint="eastAsia"/>
        </w:rPr>
        <w:t>3.</w:t>
      </w:r>
      <w:r w:rsidR="00CB5170" w:rsidRPr="00462CF2">
        <w:rPr>
          <w:rFonts w:ascii="楷体" w:eastAsia="楷体" w:hAnsi="楷体" w:hint="eastAsia"/>
        </w:rPr>
        <w:t>2</w:t>
      </w:r>
      <w:r w:rsidR="00D32A8D" w:rsidRPr="00462CF2">
        <w:rPr>
          <w:rFonts w:ascii="楷体" w:eastAsia="楷体" w:hAnsi="楷体" w:hint="eastAsia"/>
        </w:rPr>
        <w:t>.</w:t>
      </w:r>
      <w:r w:rsidR="00CB5170" w:rsidRPr="00462CF2">
        <w:rPr>
          <w:rFonts w:ascii="楷体" w:eastAsia="楷体" w:hAnsi="楷体" w:hint="eastAsia"/>
        </w:rPr>
        <w:t>1</w:t>
      </w:r>
      <w:r w:rsidR="00D32A8D" w:rsidRPr="00462CF2">
        <w:rPr>
          <w:rFonts w:ascii="楷体" w:eastAsia="楷体" w:hAnsi="楷体" w:hint="eastAsia"/>
        </w:rPr>
        <w:t xml:space="preserve"> 投资时钟</w:t>
      </w:r>
      <w:r w:rsidR="00F03308">
        <w:rPr>
          <w:rFonts w:ascii="楷体" w:eastAsia="楷体" w:hAnsi="楷体" w:hint="eastAsia"/>
        </w:rPr>
        <w:t>（组合起来算了</w:t>
      </w:r>
    </w:p>
    <w:p w14:paraId="05E5E9B2" w14:textId="750D12DD" w:rsidR="00B263C4" w:rsidRPr="00462CF2" w:rsidRDefault="00B263C4" w:rsidP="00B263C4">
      <w:pPr>
        <w:rPr>
          <w:rFonts w:ascii="楷体" w:eastAsia="楷体" w:hAnsi="楷体" w:hint="eastAsia"/>
        </w:rPr>
      </w:pPr>
      <w:r w:rsidRPr="00462CF2">
        <w:rPr>
          <w:rFonts w:ascii="楷体" w:eastAsia="楷体" w:hAnsi="楷体" w:hint="eastAsia"/>
        </w:rPr>
        <w:t>正处在一个什么样的阶段，即将进入一个什么样的阶段？</w:t>
      </w:r>
    </w:p>
    <w:p w14:paraId="4DBF424B" w14:textId="1EC0759D" w:rsidR="00B263C4" w:rsidRDefault="00B263C4" w:rsidP="00B263C4">
      <w:pPr>
        <w:rPr>
          <w:rFonts w:ascii="楷体" w:eastAsia="楷体" w:hAnsi="楷体"/>
        </w:rPr>
      </w:pPr>
      <w:r w:rsidRPr="00462CF2">
        <w:rPr>
          <w:rFonts w:ascii="楷体" w:eastAsia="楷体" w:hAnsi="楷体" w:hint="eastAsia"/>
        </w:rPr>
        <w:t>光芯片，光模块，</w:t>
      </w:r>
    </w:p>
    <w:p w14:paraId="32742F38" w14:textId="77777777" w:rsidR="00F03308" w:rsidRPr="00462CF2" w:rsidRDefault="00F03308" w:rsidP="00B263C4">
      <w:pPr>
        <w:rPr>
          <w:rFonts w:ascii="楷体" w:eastAsia="楷体" w:hAnsi="楷体" w:hint="eastAsia"/>
        </w:rPr>
      </w:pPr>
    </w:p>
    <w:p w14:paraId="66B294FC" w14:textId="77777777" w:rsidR="00806697" w:rsidRPr="00C053B1" w:rsidRDefault="00004432" w:rsidP="00004432">
      <w:pPr>
        <w:rPr>
          <w:rFonts w:ascii="楷体" w:eastAsia="楷体" w:hAnsi="楷体"/>
          <w:sz w:val="24"/>
          <w:szCs w:val="28"/>
        </w:rPr>
      </w:pPr>
      <w:r w:rsidRPr="00004432">
        <w:rPr>
          <w:rFonts w:ascii="楷体" w:eastAsia="楷体" w:hAnsi="楷体"/>
          <w:sz w:val="24"/>
          <w:szCs w:val="28"/>
        </w:rPr>
        <w:t>AI大模型从训练向推理演进，带动全球算力集群建设进入新一轮扩张周期。与传统云计算不同，AI算力集群对机间通信带宽的要求呈指数级提升——单个集群所需光连接数量随GPU规模线性增长，而单端口速率又从400G向800G、1.6T快速迭代，这使得光模块需求呈现</w:t>
      </w:r>
      <w:r w:rsidRPr="00004432">
        <w:rPr>
          <w:rFonts w:ascii="楷体" w:eastAsia="楷体" w:hAnsi="楷体"/>
          <w:b/>
          <w:bCs/>
          <w:sz w:val="24"/>
          <w:szCs w:val="28"/>
        </w:rPr>
        <w:t>"量价双升"的非线性扩张</w:t>
      </w:r>
      <w:r w:rsidRPr="00004432">
        <w:rPr>
          <w:rFonts w:ascii="楷体" w:eastAsia="楷体" w:hAnsi="楷体"/>
          <w:sz w:val="24"/>
          <w:szCs w:val="28"/>
        </w:rPr>
        <w:t>。</w:t>
      </w:r>
    </w:p>
    <w:p w14:paraId="2C0F8641" w14:textId="77777777" w:rsidR="00320F20" w:rsidRDefault="00320F20" w:rsidP="00320F20">
      <w:pPr>
        <w:rPr>
          <w:rFonts w:ascii="楷体" w:eastAsia="楷体" w:hAnsi="楷体"/>
        </w:rPr>
      </w:pPr>
      <w:r w:rsidRPr="00F103F2">
        <w:rPr>
          <w:rFonts w:ascii="楷体" w:eastAsia="楷体" w:hAnsi="楷体" w:hint="eastAsia"/>
        </w:rPr>
        <w:t>受益于AI基础设施建设对以太网交换机和高速光模块的强劲需求，以及光互连技术在AI scale-up网络中的应用推广，光模块市场规模有望持续快速增长。全球以太网光模块市场规模2026年将同比增长35%至189亿美元，2027-2030年增速还将维持在双位</w:t>
      </w:r>
      <w:r w:rsidRPr="00F103F2">
        <w:rPr>
          <w:rFonts w:ascii="楷体" w:eastAsia="楷体" w:hAnsi="楷体" w:hint="eastAsia"/>
        </w:rPr>
        <w:lastRenderedPageBreak/>
        <w:t>数以上，2030年有望突破350亿美元。其中800G和1.6T等高速光模块的需求有望逐步占据市场主导地位。2026年800G和1.6T光模块将迎来快速放量，预计2030年800G和1.6T以太网光模块的整体市场规模将超过220亿美元。</w:t>
      </w:r>
    </w:p>
    <w:p w14:paraId="503FD784" w14:textId="77777777" w:rsidR="007C311B" w:rsidRPr="00F103F2" w:rsidRDefault="007C311B" w:rsidP="007C311B">
      <w:pPr>
        <w:jc w:val="center"/>
        <w:rPr>
          <w:rFonts w:ascii="楷体" w:eastAsia="楷体" w:hAnsi="楷体" w:hint="eastAsia"/>
        </w:rPr>
      </w:pPr>
      <w:r w:rsidRPr="00F103F2">
        <w:rPr>
          <w:rFonts w:ascii="楷体" w:eastAsia="楷体" w:hAnsi="楷体" w:hint="eastAsia"/>
        </w:rPr>
        <w:t>图：光模块发展大趋势</w:t>
      </w:r>
    </w:p>
    <w:p w14:paraId="3C3BBFA4" w14:textId="77777777" w:rsidR="007C311B" w:rsidRPr="00071C8F" w:rsidRDefault="007C311B" w:rsidP="007C311B">
      <w:pPr>
        <w:jc w:val="center"/>
        <w:rPr>
          <w:rFonts w:hint="eastAsia"/>
        </w:rPr>
      </w:pPr>
      <w:r>
        <w:rPr>
          <w:noProof/>
        </w:rPr>
        <w:drawing>
          <wp:inline distT="0" distB="0" distL="0" distR="0" wp14:anchorId="5B33C481" wp14:editId="6C065F1A">
            <wp:extent cx="5274310" cy="3320415"/>
            <wp:effectExtent l="0" t="0" r="2540" b="0"/>
            <wp:docPr id="1246070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70183" name=""/>
                    <pic:cNvPicPr/>
                  </pic:nvPicPr>
                  <pic:blipFill>
                    <a:blip r:embed="rId12"/>
                    <a:stretch>
                      <a:fillRect/>
                    </a:stretch>
                  </pic:blipFill>
                  <pic:spPr>
                    <a:xfrm>
                      <a:off x="0" y="0"/>
                      <a:ext cx="5274310" cy="3320415"/>
                    </a:xfrm>
                    <a:prstGeom prst="rect">
                      <a:avLst/>
                    </a:prstGeom>
                  </pic:spPr>
                </pic:pic>
              </a:graphicData>
            </a:graphic>
          </wp:inline>
        </w:drawing>
      </w:r>
    </w:p>
    <w:p w14:paraId="2BED78CB" w14:textId="1EAFC636" w:rsidR="007C311B" w:rsidRDefault="00771306" w:rsidP="00320F20">
      <w:pPr>
        <w:rPr>
          <w:rFonts w:ascii="楷体" w:eastAsia="楷体" w:hAnsi="楷体"/>
        </w:rPr>
      </w:pPr>
      <w:r>
        <w:rPr>
          <w:rFonts w:ascii="楷体" w:eastAsia="楷体" w:hAnsi="楷体" w:hint="eastAsia"/>
        </w:rPr>
        <w:t>AI本身也在光通信中逐步占据</w:t>
      </w:r>
      <w:r w:rsidR="00F84A45">
        <w:rPr>
          <w:rFonts w:ascii="楷体" w:eastAsia="楷体" w:hAnsi="楷体" w:hint="eastAsia"/>
        </w:rPr>
        <w:t>主要需求，</w:t>
      </w:r>
      <w:r w:rsidR="00230F58" w:rsidRPr="00230F58">
        <w:rPr>
          <w:rFonts w:ascii="楷体" w:eastAsia="楷体" w:hAnsi="楷体"/>
        </w:rPr>
        <w:t>Lightcounting预测，2030年Scale-up光模块市场规模占比将达21%，AI相关光模块整体占比将升至65%。</w:t>
      </w:r>
    </w:p>
    <w:p w14:paraId="7AA68762" w14:textId="3B5B070B" w:rsidR="00230F58" w:rsidRPr="00071C8F" w:rsidRDefault="00230F58" w:rsidP="00230F58">
      <w:pPr>
        <w:jc w:val="center"/>
        <w:rPr>
          <w:rFonts w:ascii="楷体" w:eastAsia="楷体" w:hAnsi="楷体" w:hint="eastAsia"/>
        </w:rPr>
      </w:pPr>
      <w:r>
        <w:rPr>
          <w:rFonts w:ascii="楷体" w:eastAsia="楷体" w:hAnsi="楷体" w:hint="eastAsia"/>
        </w:rPr>
        <w:t>图：对于光模块用于AI的比例预估</w:t>
      </w:r>
    </w:p>
    <w:p w14:paraId="67748B8C" w14:textId="414C7BCD" w:rsidR="00806697" w:rsidRPr="00320F20" w:rsidRDefault="00230F58" w:rsidP="00230F58">
      <w:pPr>
        <w:jc w:val="center"/>
        <w:rPr>
          <w:rFonts w:ascii="楷体" w:eastAsia="楷体" w:hAnsi="楷体"/>
        </w:rPr>
      </w:pPr>
      <w:r>
        <w:rPr>
          <w:noProof/>
        </w:rPr>
        <w:drawing>
          <wp:inline distT="0" distB="0" distL="0" distR="0" wp14:anchorId="2E36461C" wp14:editId="02F02CD2">
            <wp:extent cx="4117594" cy="2526277"/>
            <wp:effectExtent l="0" t="0" r="0" b="7620"/>
            <wp:docPr id="1930846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46006" name=""/>
                    <pic:cNvPicPr/>
                  </pic:nvPicPr>
                  <pic:blipFill>
                    <a:blip r:embed="rId13"/>
                    <a:stretch>
                      <a:fillRect/>
                    </a:stretch>
                  </pic:blipFill>
                  <pic:spPr>
                    <a:xfrm>
                      <a:off x="0" y="0"/>
                      <a:ext cx="4125254" cy="2530976"/>
                    </a:xfrm>
                    <a:prstGeom prst="rect">
                      <a:avLst/>
                    </a:prstGeom>
                  </pic:spPr>
                </pic:pic>
              </a:graphicData>
            </a:graphic>
          </wp:inline>
        </w:drawing>
      </w:r>
    </w:p>
    <w:p w14:paraId="5614DB5D" w14:textId="6C0A6FEB" w:rsidR="00004432" w:rsidRDefault="00004432" w:rsidP="00004432">
      <w:pPr>
        <w:rPr>
          <w:rFonts w:ascii="楷体" w:eastAsia="楷体" w:hAnsi="楷体"/>
        </w:rPr>
      </w:pPr>
      <w:r w:rsidRPr="00004432">
        <w:rPr>
          <w:rFonts w:ascii="楷体" w:eastAsia="楷体" w:hAnsi="楷体"/>
        </w:rPr>
        <w:t>与此同时，高速光模块的核心元器件（如EML激光器芯片、DSP电芯片）及先进封装产能受制于上游半导体产业链扩产节奏，短期内难以同步放量，</w:t>
      </w:r>
      <w:r w:rsidRPr="00004432">
        <w:rPr>
          <w:rFonts w:ascii="楷体" w:eastAsia="楷体" w:hAnsi="楷体"/>
          <w:b/>
          <w:bCs/>
        </w:rPr>
        <w:t>供需缺口持续扩大</w:t>
      </w:r>
      <w:r w:rsidRPr="00004432">
        <w:rPr>
          <w:rFonts w:ascii="楷体" w:eastAsia="楷体" w:hAnsi="楷体"/>
        </w:rPr>
        <w:t>。</w:t>
      </w:r>
    </w:p>
    <w:p w14:paraId="4B385C59" w14:textId="7909A7F0" w:rsidR="00D4291C" w:rsidRDefault="00D4291C" w:rsidP="001A2EAB">
      <w:pPr>
        <w:tabs>
          <w:tab w:val="left" w:pos="3170"/>
        </w:tabs>
        <w:rPr>
          <w:rFonts w:ascii="楷体" w:eastAsia="楷体" w:hAnsi="楷体" w:hint="eastAsia"/>
        </w:rPr>
      </w:pPr>
      <w:r>
        <w:rPr>
          <w:rFonts w:ascii="楷体" w:eastAsia="楷体" w:hAnsi="楷体" w:hint="eastAsia"/>
        </w:rPr>
        <w:lastRenderedPageBreak/>
        <w:t>Lumentum CEO四月表示：</w:t>
      </w:r>
      <w:r w:rsidRPr="00D4291C">
        <w:rPr>
          <w:rFonts w:ascii="楷体" w:eastAsia="楷体" w:hAnsi="楷体"/>
        </w:rPr>
        <w:t>美国超大规模数据中心客户对光通信器件需求持续加速， 公司全力扩产仍难以填补需求缺口，</w:t>
      </w:r>
      <w:r w:rsidR="00F41CEE">
        <w:rPr>
          <w:rFonts w:ascii="楷体" w:eastAsia="楷体" w:hAnsi="楷体" w:hint="eastAsia"/>
        </w:rPr>
        <w:t>目前公司2027年产能已经被微软和谷歌全部锁定，</w:t>
      </w:r>
      <w:r w:rsidRPr="00D4291C">
        <w:rPr>
          <w:rFonts w:ascii="楷体" w:eastAsia="楷体" w:hAnsi="楷体"/>
        </w:rPr>
        <w:t>预计</w:t>
      </w:r>
      <w:r w:rsidR="00F41CEE">
        <w:rPr>
          <w:rFonts w:ascii="楷体" w:eastAsia="楷体" w:hAnsi="楷体" w:hint="eastAsia"/>
        </w:rPr>
        <w:t>半年</w:t>
      </w:r>
      <w:r w:rsidRPr="00D4291C">
        <w:rPr>
          <w:rFonts w:ascii="楷体" w:eastAsia="楷体" w:hAnsi="楷体"/>
        </w:rPr>
        <w:t>内，2028 年全年的产能都将被订满。本轮行业周期至少还能维持 5 年左右的景气持续性。</w:t>
      </w:r>
      <w:r w:rsidR="001A2EAB" w:rsidRPr="001A2EAB">
        <w:rPr>
          <w:rFonts w:ascii="楷体" w:eastAsia="楷体" w:hAnsi="楷体" w:hint="eastAsia"/>
        </w:rPr>
        <w:t>Lumentum 纳斯达克上市股价过去一年累计涨幅超 1500%，叠加英伟达 20 亿美元战略投资及数十亿美元采购承诺加持，进一步确认 AI 光通信高景气。</w:t>
      </w:r>
    </w:p>
    <w:p w14:paraId="26C96E5E" w14:textId="4FD8379A" w:rsidR="00FB5E3A" w:rsidRDefault="00FB5E3A" w:rsidP="00FB5E3A">
      <w:pPr>
        <w:jc w:val="center"/>
        <w:rPr>
          <w:rFonts w:ascii="楷体" w:eastAsia="楷体" w:hAnsi="楷体" w:hint="eastAsia"/>
        </w:rPr>
      </w:pPr>
      <w:r>
        <w:rPr>
          <w:rFonts w:ascii="楷体" w:eastAsia="楷体" w:hAnsi="楷体" w:hint="eastAsia"/>
        </w:rPr>
        <w:t>表：光芯片国产化率情况一览</w:t>
      </w:r>
    </w:p>
    <w:tbl>
      <w:tblPr>
        <w:tblW w:w="8574" w:type="dxa"/>
        <w:jc w:val="center"/>
        <w:tblLook w:val="04A0" w:firstRow="1" w:lastRow="0" w:firstColumn="1" w:lastColumn="0" w:noHBand="0" w:noVBand="1"/>
      </w:tblPr>
      <w:tblGrid>
        <w:gridCol w:w="1674"/>
        <w:gridCol w:w="1445"/>
        <w:gridCol w:w="2268"/>
        <w:gridCol w:w="2946"/>
        <w:gridCol w:w="241"/>
      </w:tblGrid>
      <w:tr w:rsidR="00FB5E3A" w:rsidRPr="008C6D2D" w14:paraId="5B14E0EC" w14:textId="77777777" w:rsidTr="00FB5E3A">
        <w:trPr>
          <w:trHeight w:val="300"/>
          <w:jc w:val="center"/>
        </w:trPr>
        <w:tc>
          <w:tcPr>
            <w:tcW w:w="1674" w:type="dxa"/>
            <w:tcBorders>
              <w:top w:val="single" w:sz="8" w:space="0" w:color="auto"/>
              <w:left w:val="single" w:sz="8" w:space="0" w:color="auto"/>
              <w:bottom w:val="single" w:sz="8" w:space="0" w:color="auto"/>
              <w:right w:val="single" w:sz="8" w:space="0" w:color="auto"/>
            </w:tcBorders>
            <w:vAlign w:val="center"/>
            <w:hideMark/>
          </w:tcPr>
          <w:p w14:paraId="7C1546C9" w14:textId="77777777" w:rsidR="00FB5E3A" w:rsidRPr="008C6D2D" w:rsidRDefault="00FB5E3A" w:rsidP="00032394">
            <w:pPr>
              <w:widowControl/>
              <w:spacing w:after="0" w:line="240" w:lineRule="auto"/>
              <w:rPr>
                <w:rFonts w:ascii="楷体" w:eastAsia="楷体" w:hAnsi="楷体" w:cs="宋体"/>
                <w:b/>
                <w:bCs/>
                <w:color w:val="000000"/>
                <w:kern w:val="0"/>
                <w:szCs w:val="22"/>
                <w14:ligatures w14:val="none"/>
              </w:rPr>
            </w:pPr>
            <w:r w:rsidRPr="008C6D2D">
              <w:rPr>
                <w:rFonts w:ascii="楷体" w:eastAsia="楷体" w:hAnsi="楷体" w:cs="宋体" w:hint="eastAsia"/>
                <w:b/>
                <w:bCs/>
                <w:color w:val="000000"/>
                <w:kern w:val="0"/>
                <w:szCs w:val="22"/>
                <w14:ligatures w14:val="none"/>
              </w:rPr>
              <w:t>速率等级</w:t>
            </w:r>
          </w:p>
        </w:tc>
        <w:tc>
          <w:tcPr>
            <w:tcW w:w="1445" w:type="dxa"/>
            <w:tcBorders>
              <w:top w:val="single" w:sz="8" w:space="0" w:color="auto"/>
              <w:left w:val="nil"/>
              <w:bottom w:val="single" w:sz="8" w:space="0" w:color="auto"/>
              <w:right w:val="single" w:sz="8" w:space="0" w:color="auto"/>
            </w:tcBorders>
            <w:vAlign w:val="center"/>
            <w:hideMark/>
          </w:tcPr>
          <w:p w14:paraId="574980EF" w14:textId="77777777" w:rsidR="00FB5E3A" w:rsidRPr="008C6D2D" w:rsidRDefault="00FB5E3A" w:rsidP="00032394">
            <w:pPr>
              <w:widowControl/>
              <w:spacing w:after="0" w:line="240" w:lineRule="auto"/>
              <w:rPr>
                <w:rFonts w:ascii="楷体" w:eastAsia="楷体" w:hAnsi="楷体" w:cs="宋体" w:hint="eastAsia"/>
                <w:b/>
                <w:bCs/>
                <w:color w:val="000000"/>
                <w:kern w:val="0"/>
                <w:szCs w:val="22"/>
                <w14:ligatures w14:val="none"/>
              </w:rPr>
            </w:pPr>
            <w:r w:rsidRPr="008C6D2D">
              <w:rPr>
                <w:rFonts w:ascii="楷体" w:eastAsia="楷体" w:hAnsi="楷体" w:cs="宋体" w:hint="eastAsia"/>
                <w:b/>
                <w:bCs/>
                <w:color w:val="000000"/>
                <w:kern w:val="0"/>
                <w:szCs w:val="22"/>
                <w14:ligatures w14:val="none"/>
              </w:rPr>
              <w:t>国产化率</w:t>
            </w:r>
          </w:p>
        </w:tc>
        <w:tc>
          <w:tcPr>
            <w:tcW w:w="2268" w:type="dxa"/>
            <w:tcBorders>
              <w:top w:val="single" w:sz="8" w:space="0" w:color="auto"/>
              <w:left w:val="nil"/>
              <w:bottom w:val="single" w:sz="8" w:space="0" w:color="auto"/>
              <w:right w:val="single" w:sz="8" w:space="0" w:color="auto"/>
            </w:tcBorders>
            <w:vAlign w:val="center"/>
            <w:hideMark/>
          </w:tcPr>
          <w:p w14:paraId="39E42AAA" w14:textId="77777777" w:rsidR="00FB5E3A" w:rsidRPr="008C6D2D" w:rsidRDefault="00FB5E3A" w:rsidP="00032394">
            <w:pPr>
              <w:widowControl/>
              <w:spacing w:after="0" w:line="240" w:lineRule="auto"/>
              <w:rPr>
                <w:rFonts w:ascii="楷体" w:eastAsia="楷体" w:hAnsi="楷体" w:cs="宋体" w:hint="eastAsia"/>
                <w:b/>
                <w:bCs/>
                <w:color w:val="000000"/>
                <w:kern w:val="0"/>
                <w:szCs w:val="22"/>
                <w14:ligatures w14:val="none"/>
              </w:rPr>
            </w:pPr>
            <w:r w:rsidRPr="008C6D2D">
              <w:rPr>
                <w:rFonts w:ascii="楷体" w:eastAsia="楷体" w:hAnsi="楷体" w:cs="宋体" w:hint="eastAsia"/>
                <w:b/>
                <w:bCs/>
                <w:color w:val="000000"/>
                <w:kern w:val="0"/>
                <w:szCs w:val="22"/>
                <w14:ligatures w14:val="none"/>
              </w:rPr>
              <w:t>阶段特征</w:t>
            </w:r>
          </w:p>
        </w:tc>
        <w:tc>
          <w:tcPr>
            <w:tcW w:w="2946" w:type="dxa"/>
            <w:tcBorders>
              <w:top w:val="single" w:sz="8" w:space="0" w:color="auto"/>
              <w:left w:val="nil"/>
              <w:bottom w:val="single" w:sz="8" w:space="0" w:color="auto"/>
              <w:right w:val="single" w:sz="8" w:space="0" w:color="auto"/>
            </w:tcBorders>
            <w:vAlign w:val="center"/>
            <w:hideMark/>
          </w:tcPr>
          <w:p w14:paraId="01458D6F" w14:textId="77777777" w:rsidR="00FB5E3A" w:rsidRPr="008C6D2D" w:rsidRDefault="00FB5E3A" w:rsidP="00032394">
            <w:pPr>
              <w:widowControl/>
              <w:spacing w:after="0" w:line="240" w:lineRule="auto"/>
              <w:rPr>
                <w:rFonts w:ascii="楷体" w:eastAsia="楷体" w:hAnsi="楷体" w:cs="宋体" w:hint="eastAsia"/>
                <w:b/>
                <w:bCs/>
                <w:color w:val="000000"/>
                <w:kern w:val="0"/>
                <w:szCs w:val="22"/>
                <w14:ligatures w14:val="none"/>
              </w:rPr>
            </w:pPr>
            <w:r w:rsidRPr="008C6D2D">
              <w:rPr>
                <w:rFonts w:ascii="楷体" w:eastAsia="楷体" w:hAnsi="楷体" w:cs="宋体" w:hint="eastAsia"/>
                <w:b/>
                <w:bCs/>
                <w:color w:val="000000"/>
                <w:kern w:val="0"/>
                <w:szCs w:val="22"/>
                <w14:ligatures w14:val="none"/>
              </w:rPr>
              <w:t>核心瓶颈</w:t>
            </w:r>
          </w:p>
        </w:tc>
        <w:tc>
          <w:tcPr>
            <w:tcW w:w="241" w:type="dxa"/>
            <w:tcBorders>
              <w:top w:val="nil"/>
              <w:left w:val="nil"/>
              <w:bottom w:val="nil"/>
              <w:right w:val="nil"/>
            </w:tcBorders>
            <w:noWrap/>
            <w:vAlign w:val="center"/>
            <w:hideMark/>
          </w:tcPr>
          <w:p w14:paraId="644F8E59" w14:textId="77777777" w:rsidR="00FB5E3A" w:rsidRPr="008C6D2D" w:rsidRDefault="00FB5E3A" w:rsidP="00032394">
            <w:pPr>
              <w:widowControl/>
              <w:spacing w:after="0" w:line="240" w:lineRule="auto"/>
              <w:rPr>
                <w:rFonts w:ascii="楷体" w:eastAsia="楷体" w:hAnsi="楷体" w:cs="宋体" w:hint="eastAsia"/>
                <w:b/>
                <w:bCs/>
                <w:color w:val="000000"/>
                <w:kern w:val="0"/>
                <w:szCs w:val="22"/>
                <w14:ligatures w14:val="none"/>
              </w:rPr>
            </w:pPr>
          </w:p>
        </w:tc>
      </w:tr>
      <w:tr w:rsidR="00FB5E3A" w:rsidRPr="008C6D2D" w14:paraId="5FC8165E" w14:textId="77777777" w:rsidTr="00FB5E3A">
        <w:trPr>
          <w:trHeight w:val="300"/>
          <w:jc w:val="center"/>
        </w:trPr>
        <w:tc>
          <w:tcPr>
            <w:tcW w:w="1674" w:type="dxa"/>
            <w:tcBorders>
              <w:top w:val="nil"/>
              <w:left w:val="single" w:sz="8" w:space="0" w:color="auto"/>
              <w:bottom w:val="single" w:sz="8" w:space="0" w:color="auto"/>
              <w:right w:val="single" w:sz="8" w:space="0" w:color="auto"/>
            </w:tcBorders>
            <w:vAlign w:val="center"/>
            <w:hideMark/>
          </w:tcPr>
          <w:p w14:paraId="4B0594F3" w14:textId="77777777" w:rsidR="00FB5E3A" w:rsidRPr="008C6D2D" w:rsidRDefault="00FB5E3A" w:rsidP="00032394">
            <w:pPr>
              <w:widowControl/>
              <w:spacing w:after="0" w:line="240" w:lineRule="auto"/>
              <w:rPr>
                <w:rFonts w:ascii="楷体" w:eastAsia="楷体" w:hAnsi="楷体" w:cs="宋体"/>
                <w:b/>
                <w:bCs/>
                <w:color w:val="000000"/>
                <w:kern w:val="0"/>
                <w:szCs w:val="22"/>
                <w14:ligatures w14:val="none"/>
              </w:rPr>
            </w:pPr>
            <w:r w:rsidRPr="008C6D2D">
              <w:rPr>
                <w:rFonts w:ascii="楷体" w:eastAsia="楷体" w:hAnsi="楷体" w:cs="宋体" w:hint="eastAsia"/>
                <w:b/>
                <w:bCs/>
                <w:color w:val="000000"/>
                <w:kern w:val="0"/>
                <w:szCs w:val="22"/>
                <w14:ligatures w14:val="none"/>
              </w:rPr>
              <w:t>2.5G及以下</w:t>
            </w:r>
          </w:p>
        </w:tc>
        <w:tc>
          <w:tcPr>
            <w:tcW w:w="1445" w:type="dxa"/>
            <w:tcBorders>
              <w:top w:val="nil"/>
              <w:left w:val="nil"/>
              <w:bottom w:val="single" w:sz="8" w:space="0" w:color="auto"/>
              <w:right w:val="single" w:sz="8" w:space="0" w:color="auto"/>
            </w:tcBorders>
            <w:vAlign w:val="center"/>
            <w:hideMark/>
          </w:tcPr>
          <w:p w14:paraId="3030189A" w14:textId="77777777" w:rsidR="00FB5E3A" w:rsidRPr="008C6D2D" w:rsidRDefault="00FB5E3A" w:rsidP="00032394">
            <w:pPr>
              <w:widowControl/>
              <w:spacing w:after="0" w:line="240" w:lineRule="auto"/>
              <w:rPr>
                <w:rFonts w:ascii="楷体" w:eastAsia="楷体" w:hAnsi="楷体" w:cs="宋体" w:hint="eastAsia"/>
                <w:color w:val="000000"/>
                <w:kern w:val="0"/>
                <w:szCs w:val="22"/>
                <w14:ligatures w14:val="none"/>
              </w:rPr>
            </w:pPr>
            <w:r w:rsidRPr="008C6D2D">
              <w:rPr>
                <w:rFonts w:ascii="楷体" w:eastAsia="楷体" w:hAnsi="楷体" w:cs="宋体" w:hint="eastAsia"/>
                <w:color w:val="000000"/>
                <w:kern w:val="0"/>
                <w:szCs w:val="22"/>
                <w14:ligatures w14:val="none"/>
              </w:rPr>
              <w:t>&gt;90%</w:t>
            </w:r>
          </w:p>
        </w:tc>
        <w:tc>
          <w:tcPr>
            <w:tcW w:w="2268" w:type="dxa"/>
            <w:tcBorders>
              <w:top w:val="nil"/>
              <w:left w:val="nil"/>
              <w:bottom w:val="single" w:sz="8" w:space="0" w:color="auto"/>
              <w:right w:val="single" w:sz="8" w:space="0" w:color="auto"/>
            </w:tcBorders>
            <w:vAlign w:val="center"/>
            <w:hideMark/>
          </w:tcPr>
          <w:p w14:paraId="402C9C1E" w14:textId="77777777" w:rsidR="00FB5E3A" w:rsidRPr="008C6D2D" w:rsidRDefault="00FB5E3A" w:rsidP="00032394">
            <w:pPr>
              <w:widowControl/>
              <w:spacing w:after="0" w:line="240" w:lineRule="auto"/>
              <w:rPr>
                <w:rFonts w:ascii="楷体" w:eastAsia="楷体" w:hAnsi="楷体" w:cs="宋体" w:hint="eastAsia"/>
                <w:color w:val="000000"/>
                <w:kern w:val="0"/>
                <w:szCs w:val="22"/>
                <w14:ligatures w14:val="none"/>
              </w:rPr>
            </w:pPr>
            <w:r w:rsidRPr="008C6D2D">
              <w:rPr>
                <w:rFonts w:ascii="楷体" w:eastAsia="楷体" w:hAnsi="楷体" w:cs="宋体" w:hint="eastAsia"/>
                <w:color w:val="000000"/>
                <w:kern w:val="0"/>
                <w:szCs w:val="22"/>
                <w14:ligatures w14:val="none"/>
              </w:rPr>
              <w:t>完全成熟期</w:t>
            </w:r>
          </w:p>
        </w:tc>
        <w:tc>
          <w:tcPr>
            <w:tcW w:w="2946" w:type="dxa"/>
            <w:tcBorders>
              <w:top w:val="nil"/>
              <w:left w:val="nil"/>
              <w:bottom w:val="single" w:sz="8" w:space="0" w:color="auto"/>
              <w:right w:val="single" w:sz="8" w:space="0" w:color="auto"/>
            </w:tcBorders>
            <w:vAlign w:val="center"/>
            <w:hideMark/>
          </w:tcPr>
          <w:p w14:paraId="0A6E1261" w14:textId="77777777" w:rsidR="00FB5E3A" w:rsidRPr="008C6D2D" w:rsidRDefault="00FB5E3A" w:rsidP="00032394">
            <w:pPr>
              <w:widowControl/>
              <w:spacing w:after="0" w:line="240" w:lineRule="auto"/>
              <w:rPr>
                <w:rFonts w:ascii="楷体" w:eastAsia="楷体" w:hAnsi="楷体" w:cs="宋体" w:hint="eastAsia"/>
                <w:color w:val="000000"/>
                <w:kern w:val="0"/>
                <w:szCs w:val="22"/>
                <w14:ligatures w14:val="none"/>
              </w:rPr>
            </w:pPr>
            <w:r w:rsidRPr="008C6D2D">
              <w:rPr>
                <w:rFonts w:ascii="楷体" w:eastAsia="楷体" w:hAnsi="楷体" w:cs="宋体" w:hint="eastAsia"/>
                <w:color w:val="000000"/>
                <w:kern w:val="0"/>
                <w:szCs w:val="22"/>
                <w14:ligatures w14:val="none"/>
              </w:rPr>
              <w:t>价格战激烈，利润空间薄</w:t>
            </w:r>
          </w:p>
        </w:tc>
        <w:tc>
          <w:tcPr>
            <w:tcW w:w="241" w:type="dxa"/>
            <w:tcBorders>
              <w:top w:val="nil"/>
              <w:left w:val="nil"/>
              <w:bottom w:val="nil"/>
              <w:right w:val="nil"/>
            </w:tcBorders>
            <w:noWrap/>
            <w:vAlign w:val="center"/>
            <w:hideMark/>
          </w:tcPr>
          <w:p w14:paraId="3BC3C0CC" w14:textId="77777777" w:rsidR="00FB5E3A" w:rsidRPr="008C6D2D" w:rsidRDefault="00FB5E3A" w:rsidP="00032394">
            <w:pPr>
              <w:widowControl/>
              <w:spacing w:after="0" w:line="240" w:lineRule="auto"/>
              <w:rPr>
                <w:rFonts w:ascii="楷体" w:eastAsia="楷体" w:hAnsi="楷体" w:cs="宋体" w:hint="eastAsia"/>
                <w:color w:val="000000"/>
                <w:kern w:val="0"/>
                <w:szCs w:val="22"/>
                <w14:ligatures w14:val="none"/>
              </w:rPr>
            </w:pPr>
          </w:p>
        </w:tc>
      </w:tr>
      <w:tr w:rsidR="00FB5E3A" w:rsidRPr="008C6D2D" w14:paraId="2BFE765D" w14:textId="77777777" w:rsidTr="00FB5E3A">
        <w:trPr>
          <w:trHeight w:val="300"/>
          <w:jc w:val="center"/>
        </w:trPr>
        <w:tc>
          <w:tcPr>
            <w:tcW w:w="1674" w:type="dxa"/>
            <w:tcBorders>
              <w:top w:val="nil"/>
              <w:left w:val="single" w:sz="8" w:space="0" w:color="auto"/>
              <w:bottom w:val="single" w:sz="8" w:space="0" w:color="auto"/>
              <w:right w:val="single" w:sz="8" w:space="0" w:color="auto"/>
            </w:tcBorders>
            <w:vAlign w:val="center"/>
            <w:hideMark/>
          </w:tcPr>
          <w:p w14:paraId="1A0F0033" w14:textId="77777777" w:rsidR="00FB5E3A" w:rsidRPr="008C6D2D" w:rsidRDefault="00FB5E3A" w:rsidP="00032394">
            <w:pPr>
              <w:widowControl/>
              <w:spacing w:after="0" w:line="240" w:lineRule="auto"/>
              <w:rPr>
                <w:rFonts w:ascii="楷体" w:eastAsia="楷体" w:hAnsi="楷体" w:cs="宋体"/>
                <w:b/>
                <w:bCs/>
                <w:color w:val="000000"/>
                <w:kern w:val="0"/>
                <w:szCs w:val="22"/>
                <w14:ligatures w14:val="none"/>
              </w:rPr>
            </w:pPr>
            <w:r w:rsidRPr="008C6D2D">
              <w:rPr>
                <w:rFonts w:ascii="楷体" w:eastAsia="楷体" w:hAnsi="楷体" w:cs="宋体" w:hint="eastAsia"/>
                <w:b/>
                <w:bCs/>
                <w:color w:val="000000"/>
                <w:kern w:val="0"/>
                <w:szCs w:val="22"/>
                <w14:ligatures w14:val="none"/>
              </w:rPr>
              <w:t>10G</w:t>
            </w:r>
          </w:p>
        </w:tc>
        <w:tc>
          <w:tcPr>
            <w:tcW w:w="1445" w:type="dxa"/>
            <w:tcBorders>
              <w:top w:val="nil"/>
              <w:left w:val="nil"/>
              <w:bottom w:val="single" w:sz="8" w:space="0" w:color="auto"/>
              <w:right w:val="single" w:sz="8" w:space="0" w:color="auto"/>
            </w:tcBorders>
            <w:vAlign w:val="center"/>
            <w:hideMark/>
          </w:tcPr>
          <w:p w14:paraId="4C875528" w14:textId="77777777" w:rsidR="00FB5E3A" w:rsidRPr="008C6D2D" w:rsidRDefault="00FB5E3A" w:rsidP="00032394">
            <w:pPr>
              <w:widowControl/>
              <w:spacing w:after="0" w:line="240" w:lineRule="auto"/>
              <w:rPr>
                <w:rFonts w:ascii="楷体" w:eastAsia="楷体" w:hAnsi="楷体" w:cs="宋体" w:hint="eastAsia"/>
                <w:color w:val="000000"/>
                <w:kern w:val="0"/>
                <w:szCs w:val="22"/>
                <w14:ligatures w14:val="none"/>
              </w:rPr>
            </w:pPr>
            <w:r w:rsidRPr="008C6D2D">
              <w:rPr>
                <w:rFonts w:ascii="楷体" w:eastAsia="楷体" w:hAnsi="楷体" w:cs="宋体" w:hint="eastAsia"/>
                <w:color w:val="000000"/>
                <w:kern w:val="0"/>
                <w:szCs w:val="22"/>
                <w14:ligatures w14:val="none"/>
              </w:rPr>
              <w:t>~60%</w:t>
            </w:r>
          </w:p>
        </w:tc>
        <w:tc>
          <w:tcPr>
            <w:tcW w:w="2268" w:type="dxa"/>
            <w:tcBorders>
              <w:top w:val="nil"/>
              <w:left w:val="nil"/>
              <w:bottom w:val="single" w:sz="8" w:space="0" w:color="auto"/>
              <w:right w:val="single" w:sz="8" w:space="0" w:color="auto"/>
            </w:tcBorders>
            <w:vAlign w:val="center"/>
            <w:hideMark/>
          </w:tcPr>
          <w:p w14:paraId="7EDAB4F2" w14:textId="77777777" w:rsidR="00FB5E3A" w:rsidRPr="008C6D2D" w:rsidRDefault="00FB5E3A" w:rsidP="00032394">
            <w:pPr>
              <w:widowControl/>
              <w:spacing w:after="0" w:line="240" w:lineRule="auto"/>
              <w:rPr>
                <w:rFonts w:ascii="楷体" w:eastAsia="楷体" w:hAnsi="楷体" w:cs="宋体" w:hint="eastAsia"/>
                <w:color w:val="000000"/>
                <w:kern w:val="0"/>
                <w:szCs w:val="22"/>
                <w14:ligatures w14:val="none"/>
              </w:rPr>
            </w:pPr>
            <w:r w:rsidRPr="008C6D2D">
              <w:rPr>
                <w:rFonts w:ascii="楷体" w:eastAsia="楷体" w:hAnsi="楷体" w:cs="宋体" w:hint="eastAsia"/>
                <w:color w:val="000000"/>
                <w:kern w:val="0"/>
                <w:szCs w:val="22"/>
                <w14:ligatures w14:val="none"/>
              </w:rPr>
              <w:t>成熟期</w:t>
            </w:r>
          </w:p>
        </w:tc>
        <w:tc>
          <w:tcPr>
            <w:tcW w:w="2946" w:type="dxa"/>
            <w:tcBorders>
              <w:top w:val="nil"/>
              <w:left w:val="nil"/>
              <w:bottom w:val="single" w:sz="8" w:space="0" w:color="auto"/>
              <w:right w:val="single" w:sz="8" w:space="0" w:color="auto"/>
            </w:tcBorders>
            <w:vAlign w:val="center"/>
            <w:hideMark/>
          </w:tcPr>
          <w:p w14:paraId="275CAAD1" w14:textId="77777777" w:rsidR="00FB5E3A" w:rsidRPr="008C6D2D" w:rsidRDefault="00FB5E3A" w:rsidP="00032394">
            <w:pPr>
              <w:widowControl/>
              <w:spacing w:after="0" w:line="240" w:lineRule="auto"/>
              <w:rPr>
                <w:rFonts w:ascii="楷体" w:eastAsia="楷体" w:hAnsi="楷体" w:cs="宋体" w:hint="eastAsia"/>
                <w:color w:val="000000"/>
                <w:kern w:val="0"/>
                <w:szCs w:val="22"/>
                <w14:ligatures w14:val="none"/>
              </w:rPr>
            </w:pPr>
            <w:r w:rsidRPr="008C6D2D">
              <w:rPr>
                <w:rFonts w:ascii="楷体" w:eastAsia="楷体" w:hAnsi="楷体" w:cs="宋体" w:hint="eastAsia"/>
                <w:color w:val="000000"/>
                <w:kern w:val="0"/>
                <w:szCs w:val="22"/>
                <w14:ligatures w14:val="none"/>
              </w:rPr>
              <w:t>国内厂商主导</w:t>
            </w:r>
          </w:p>
        </w:tc>
        <w:tc>
          <w:tcPr>
            <w:tcW w:w="241" w:type="dxa"/>
            <w:tcBorders>
              <w:top w:val="nil"/>
              <w:left w:val="nil"/>
              <w:bottom w:val="nil"/>
              <w:right w:val="nil"/>
            </w:tcBorders>
            <w:noWrap/>
            <w:vAlign w:val="center"/>
            <w:hideMark/>
          </w:tcPr>
          <w:p w14:paraId="2911D3FE" w14:textId="77777777" w:rsidR="00FB5E3A" w:rsidRPr="008C6D2D" w:rsidRDefault="00FB5E3A" w:rsidP="00032394">
            <w:pPr>
              <w:widowControl/>
              <w:spacing w:after="0" w:line="240" w:lineRule="auto"/>
              <w:rPr>
                <w:rFonts w:ascii="楷体" w:eastAsia="楷体" w:hAnsi="楷体" w:cs="宋体" w:hint="eastAsia"/>
                <w:color w:val="000000"/>
                <w:kern w:val="0"/>
                <w:szCs w:val="22"/>
                <w14:ligatures w14:val="none"/>
              </w:rPr>
            </w:pPr>
          </w:p>
        </w:tc>
      </w:tr>
      <w:tr w:rsidR="00FB5E3A" w:rsidRPr="008C6D2D" w14:paraId="29BD8CAE" w14:textId="77777777" w:rsidTr="00FB5E3A">
        <w:trPr>
          <w:trHeight w:val="300"/>
          <w:jc w:val="center"/>
        </w:trPr>
        <w:tc>
          <w:tcPr>
            <w:tcW w:w="1674" w:type="dxa"/>
            <w:tcBorders>
              <w:top w:val="nil"/>
              <w:left w:val="single" w:sz="8" w:space="0" w:color="auto"/>
              <w:bottom w:val="single" w:sz="8" w:space="0" w:color="auto"/>
              <w:right w:val="single" w:sz="8" w:space="0" w:color="auto"/>
            </w:tcBorders>
            <w:vAlign w:val="center"/>
            <w:hideMark/>
          </w:tcPr>
          <w:p w14:paraId="5C0FA560" w14:textId="77777777" w:rsidR="00FB5E3A" w:rsidRPr="008C6D2D" w:rsidRDefault="00FB5E3A" w:rsidP="00032394">
            <w:pPr>
              <w:widowControl/>
              <w:spacing w:after="0" w:line="240" w:lineRule="auto"/>
              <w:rPr>
                <w:rFonts w:ascii="楷体" w:eastAsia="楷体" w:hAnsi="楷体" w:cs="宋体"/>
                <w:b/>
                <w:bCs/>
                <w:color w:val="000000"/>
                <w:kern w:val="0"/>
                <w:szCs w:val="22"/>
                <w14:ligatures w14:val="none"/>
              </w:rPr>
            </w:pPr>
            <w:r w:rsidRPr="008C6D2D">
              <w:rPr>
                <w:rFonts w:ascii="楷体" w:eastAsia="楷体" w:hAnsi="楷体" w:cs="宋体" w:hint="eastAsia"/>
                <w:b/>
                <w:bCs/>
                <w:color w:val="000000"/>
                <w:kern w:val="0"/>
                <w:szCs w:val="22"/>
                <w14:ligatures w14:val="none"/>
              </w:rPr>
              <w:t>25G以上</w:t>
            </w:r>
          </w:p>
        </w:tc>
        <w:tc>
          <w:tcPr>
            <w:tcW w:w="1445" w:type="dxa"/>
            <w:tcBorders>
              <w:top w:val="nil"/>
              <w:left w:val="nil"/>
              <w:bottom w:val="single" w:sz="8" w:space="0" w:color="auto"/>
              <w:right w:val="single" w:sz="8" w:space="0" w:color="auto"/>
            </w:tcBorders>
            <w:vAlign w:val="center"/>
            <w:hideMark/>
          </w:tcPr>
          <w:p w14:paraId="5F483AAD" w14:textId="77777777" w:rsidR="00FB5E3A" w:rsidRPr="008C6D2D" w:rsidRDefault="00FB5E3A" w:rsidP="00032394">
            <w:pPr>
              <w:widowControl/>
              <w:spacing w:after="0" w:line="240" w:lineRule="auto"/>
              <w:rPr>
                <w:rFonts w:ascii="楷体" w:eastAsia="楷体" w:hAnsi="楷体" w:cs="宋体" w:hint="eastAsia"/>
                <w:b/>
                <w:bCs/>
                <w:color w:val="000000"/>
                <w:kern w:val="0"/>
                <w:szCs w:val="22"/>
                <w14:ligatures w14:val="none"/>
              </w:rPr>
            </w:pPr>
            <w:r w:rsidRPr="008C6D2D">
              <w:rPr>
                <w:rFonts w:ascii="楷体" w:eastAsia="楷体" w:hAnsi="楷体" w:cs="宋体" w:hint="eastAsia"/>
                <w:b/>
                <w:bCs/>
                <w:color w:val="000000"/>
                <w:kern w:val="0"/>
                <w:szCs w:val="22"/>
                <w14:ligatures w14:val="none"/>
              </w:rPr>
              <w:t>约</w:t>
            </w:r>
            <w:r>
              <w:rPr>
                <w:rFonts w:ascii="楷体" w:eastAsia="楷体" w:hAnsi="楷体" w:cs="宋体" w:hint="eastAsia"/>
                <w:b/>
                <w:bCs/>
                <w:color w:val="000000"/>
                <w:kern w:val="0"/>
                <w:szCs w:val="22"/>
                <w14:ligatures w14:val="none"/>
              </w:rPr>
              <w:t>7</w:t>
            </w:r>
            <w:r w:rsidRPr="008C6D2D">
              <w:rPr>
                <w:rFonts w:ascii="楷体" w:eastAsia="楷体" w:hAnsi="楷体" w:cs="宋体" w:hint="eastAsia"/>
                <w:b/>
                <w:bCs/>
                <w:color w:val="000000"/>
                <w:kern w:val="0"/>
                <w:szCs w:val="22"/>
                <w14:ligatures w14:val="none"/>
              </w:rPr>
              <w:t>%</w:t>
            </w:r>
          </w:p>
        </w:tc>
        <w:tc>
          <w:tcPr>
            <w:tcW w:w="2268" w:type="dxa"/>
            <w:tcBorders>
              <w:top w:val="nil"/>
              <w:left w:val="nil"/>
              <w:bottom w:val="single" w:sz="8" w:space="0" w:color="auto"/>
              <w:right w:val="single" w:sz="8" w:space="0" w:color="auto"/>
            </w:tcBorders>
            <w:vAlign w:val="center"/>
            <w:hideMark/>
          </w:tcPr>
          <w:p w14:paraId="70FFE0C7" w14:textId="77777777" w:rsidR="00FB5E3A" w:rsidRPr="008C6D2D" w:rsidRDefault="00FB5E3A" w:rsidP="00032394">
            <w:pPr>
              <w:widowControl/>
              <w:spacing w:after="0" w:line="240" w:lineRule="auto"/>
              <w:rPr>
                <w:rFonts w:ascii="楷体" w:eastAsia="楷体" w:hAnsi="楷体" w:cs="宋体" w:hint="eastAsia"/>
                <w:b/>
                <w:bCs/>
                <w:color w:val="000000"/>
                <w:kern w:val="0"/>
                <w:szCs w:val="22"/>
                <w14:ligatures w14:val="none"/>
              </w:rPr>
            </w:pPr>
            <w:r w:rsidRPr="008C6D2D">
              <w:rPr>
                <w:rFonts w:ascii="楷体" w:eastAsia="楷体" w:hAnsi="楷体" w:cs="宋体" w:hint="eastAsia"/>
                <w:b/>
                <w:bCs/>
                <w:color w:val="000000"/>
                <w:kern w:val="0"/>
                <w:szCs w:val="22"/>
                <w14:ligatures w14:val="none"/>
              </w:rPr>
              <w:t>突破导入期</w:t>
            </w:r>
          </w:p>
        </w:tc>
        <w:tc>
          <w:tcPr>
            <w:tcW w:w="2946" w:type="dxa"/>
            <w:tcBorders>
              <w:top w:val="nil"/>
              <w:left w:val="nil"/>
              <w:bottom w:val="single" w:sz="8" w:space="0" w:color="auto"/>
              <w:right w:val="single" w:sz="8" w:space="0" w:color="auto"/>
            </w:tcBorders>
            <w:vAlign w:val="center"/>
            <w:hideMark/>
          </w:tcPr>
          <w:p w14:paraId="235F1BA5" w14:textId="77777777" w:rsidR="00FB5E3A" w:rsidRPr="008C6D2D" w:rsidRDefault="00FB5E3A" w:rsidP="00032394">
            <w:pPr>
              <w:widowControl/>
              <w:spacing w:after="0" w:line="240" w:lineRule="auto"/>
              <w:rPr>
                <w:rFonts w:ascii="楷体" w:eastAsia="楷体" w:hAnsi="楷体" w:cs="宋体" w:hint="eastAsia"/>
                <w:b/>
                <w:bCs/>
                <w:color w:val="000000"/>
                <w:kern w:val="0"/>
                <w:szCs w:val="22"/>
                <w14:ligatures w14:val="none"/>
              </w:rPr>
            </w:pPr>
            <w:r w:rsidRPr="008C6D2D">
              <w:rPr>
                <w:rFonts w:ascii="楷体" w:eastAsia="楷体" w:hAnsi="楷体" w:cs="宋体" w:hint="eastAsia"/>
                <w:b/>
                <w:bCs/>
                <w:color w:val="000000"/>
                <w:kern w:val="0"/>
                <w:szCs w:val="22"/>
                <w14:ligatures w14:val="none"/>
              </w:rPr>
              <w:t>EML芯片严重依赖进口</w:t>
            </w:r>
          </w:p>
        </w:tc>
        <w:tc>
          <w:tcPr>
            <w:tcW w:w="241" w:type="dxa"/>
            <w:tcBorders>
              <w:top w:val="nil"/>
              <w:left w:val="nil"/>
              <w:bottom w:val="nil"/>
              <w:right w:val="nil"/>
            </w:tcBorders>
            <w:noWrap/>
            <w:vAlign w:val="center"/>
            <w:hideMark/>
          </w:tcPr>
          <w:p w14:paraId="12B44B68" w14:textId="77777777" w:rsidR="00FB5E3A" w:rsidRPr="008C6D2D" w:rsidRDefault="00FB5E3A" w:rsidP="00032394">
            <w:pPr>
              <w:widowControl/>
              <w:spacing w:after="0" w:line="240" w:lineRule="auto"/>
              <w:rPr>
                <w:rFonts w:ascii="楷体" w:eastAsia="楷体" w:hAnsi="楷体" w:cs="宋体" w:hint="eastAsia"/>
                <w:b/>
                <w:bCs/>
                <w:color w:val="000000"/>
                <w:kern w:val="0"/>
                <w:szCs w:val="22"/>
                <w14:ligatures w14:val="none"/>
              </w:rPr>
            </w:pPr>
          </w:p>
        </w:tc>
      </w:tr>
      <w:tr w:rsidR="00FB5E3A" w:rsidRPr="008C6D2D" w14:paraId="7E1D3FCD" w14:textId="77777777" w:rsidTr="00FB5E3A">
        <w:trPr>
          <w:trHeight w:val="300"/>
          <w:jc w:val="center"/>
        </w:trPr>
        <w:tc>
          <w:tcPr>
            <w:tcW w:w="1674" w:type="dxa"/>
            <w:tcBorders>
              <w:top w:val="nil"/>
              <w:left w:val="single" w:sz="8" w:space="0" w:color="auto"/>
              <w:bottom w:val="single" w:sz="8" w:space="0" w:color="auto"/>
              <w:right w:val="single" w:sz="8" w:space="0" w:color="auto"/>
            </w:tcBorders>
            <w:vAlign w:val="center"/>
            <w:hideMark/>
          </w:tcPr>
          <w:p w14:paraId="67CAB604" w14:textId="77777777" w:rsidR="00FB5E3A" w:rsidRPr="008C6D2D" w:rsidRDefault="00FB5E3A" w:rsidP="00032394">
            <w:pPr>
              <w:widowControl/>
              <w:spacing w:after="0" w:line="240" w:lineRule="auto"/>
              <w:rPr>
                <w:rFonts w:ascii="楷体" w:eastAsia="楷体" w:hAnsi="楷体" w:cs="宋体"/>
                <w:b/>
                <w:bCs/>
                <w:color w:val="000000"/>
                <w:kern w:val="0"/>
                <w:szCs w:val="22"/>
                <w14:ligatures w14:val="none"/>
              </w:rPr>
            </w:pPr>
            <w:r w:rsidRPr="008C6D2D">
              <w:rPr>
                <w:rFonts w:ascii="楷体" w:eastAsia="楷体" w:hAnsi="楷体" w:cs="宋体" w:hint="eastAsia"/>
                <w:b/>
                <w:bCs/>
                <w:color w:val="000000"/>
                <w:kern w:val="0"/>
                <w:szCs w:val="22"/>
                <w14:ligatures w14:val="none"/>
              </w:rPr>
              <w:t>200G EML</w:t>
            </w:r>
          </w:p>
        </w:tc>
        <w:tc>
          <w:tcPr>
            <w:tcW w:w="1445" w:type="dxa"/>
            <w:tcBorders>
              <w:top w:val="nil"/>
              <w:left w:val="nil"/>
              <w:bottom w:val="single" w:sz="8" w:space="0" w:color="auto"/>
              <w:right w:val="single" w:sz="8" w:space="0" w:color="auto"/>
            </w:tcBorders>
            <w:vAlign w:val="center"/>
            <w:hideMark/>
          </w:tcPr>
          <w:p w14:paraId="66B5AA3E" w14:textId="77777777" w:rsidR="00FB5E3A" w:rsidRPr="008C6D2D" w:rsidRDefault="00FB5E3A" w:rsidP="00032394">
            <w:pPr>
              <w:widowControl/>
              <w:spacing w:after="0" w:line="240" w:lineRule="auto"/>
              <w:rPr>
                <w:rFonts w:ascii="楷体" w:eastAsia="楷体" w:hAnsi="楷体" w:cs="宋体" w:hint="eastAsia"/>
                <w:b/>
                <w:bCs/>
                <w:color w:val="000000"/>
                <w:kern w:val="0"/>
                <w:szCs w:val="22"/>
                <w14:ligatures w14:val="none"/>
              </w:rPr>
            </w:pPr>
            <w:r w:rsidRPr="008C6D2D">
              <w:rPr>
                <w:rFonts w:ascii="楷体" w:eastAsia="楷体" w:hAnsi="楷体" w:cs="宋体" w:hint="eastAsia"/>
                <w:b/>
                <w:bCs/>
                <w:color w:val="000000"/>
                <w:kern w:val="0"/>
                <w:szCs w:val="22"/>
                <w14:ligatures w14:val="none"/>
              </w:rPr>
              <w:t>不足10%</w:t>
            </w:r>
          </w:p>
        </w:tc>
        <w:tc>
          <w:tcPr>
            <w:tcW w:w="2268" w:type="dxa"/>
            <w:tcBorders>
              <w:top w:val="nil"/>
              <w:left w:val="nil"/>
              <w:bottom w:val="single" w:sz="8" w:space="0" w:color="auto"/>
              <w:right w:val="single" w:sz="8" w:space="0" w:color="auto"/>
            </w:tcBorders>
            <w:vAlign w:val="center"/>
            <w:hideMark/>
          </w:tcPr>
          <w:p w14:paraId="6250F0DA" w14:textId="77777777" w:rsidR="00FB5E3A" w:rsidRPr="008C6D2D" w:rsidRDefault="00FB5E3A" w:rsidP="00032394">
            <w:pPr>
              <w:widowControl/>
              <w:spacing w:after="0" w:line="240" w:lineRule="auto"/>
              <w:rPr>
                <w:rFonts w:ascii="楷体" w:eastAsia="楷体" w:hAnsi="楷体" w:cs="宋体" w:hint="eastAsia"/>
                <w:b/>
                <w:bCs/>
                <w:color w:val="000000"/>
                <w:kern w:val="0"/>
                <w:szCs w:val="22"/>
                <w14:ligatures w14:val="none"/>
              </w:rPr>
            </w:pPr>
            <w:r w:rsidRPr="008C6D2D">
              <w:rPr>
                <w:rFonts w:ascii="楷体" w:eastAsia="楷体" w:hAnsi="楷体" w:cs="宋体" w:hint="eastAsia"/>
                <w:b/>
                <w:bCs/>
                <w:color w:val="000000"/>
                <w:kern w:val="0"/>
                <w:szCs w:val="22"/>
                <w14:ligatures w14:val="none"/>
              </w:rPr>
              <w:t>样品验证/小批量</w:t>
            </w:r>
          </w:p>
        </w:tc>
        <w:tc>
          <w:tcPr>
            <w:tcW w:w="2946" w:type="dxa"/>
            <w:tcBorders>
              <w:top w:val="nil"/>
              <w:left w:val="nil"/>
              <w:bottom w:val="single" w:sz="8" w:space="0" w:color="auto"/>
              <w:right w:val="single" w:sz="8" w:space="0" w:color="auto"/>
            </w:tcBorders>
            <w:vAlign w:val="center"/>
            <w:hideMark/>
          </w:tcPr>
          <w:p w14:paraId="5634BD5A" w14:textId="77777777" w:rsidR="00FB5E3A" w:rsidRPr="008C6D2D" w:rsidRDefault="00FB5E3A" w:rsidP="00032394">
            <w:pPr>
              <w:widowControl/>
              <w:spacing w:after="0" w:line="240" w:lineRule="auto"/>
              <w:rPr>
                <w:rFonts w:ascii="楷体" w:eastAsia="楷体" w:hAnsi="楷体" w:cs="宋体" w:hint="eastAsia"/>
                <w:color w:val="000000"/>
                <w:kern w:val="0"/>
                <w:szCs w:val="22"/>
                <w14:ligatures w14:val="none"/>
              </w:rPr>
            </w:pPr>
            <w:r w:rsidRPr="008C6D2D">
              <w:rPr>
                <w:rFonts w:ascii="楷体" w:eastAsia="楷体" w:hAnsi="楷体" w:cs="宋体" w:hint="eastAsia"/>
                <w:color w:val="000000"/>
                <w:kern w:val="0"/>
                <w:szCs w:val="22"/>
                <w14:ligatures w14:val="none"/>
              </w:rPr>
              <w:t>仅源杰科技等少数突破</w:t>
            </w:r>
          </w:p>
        </w:tc>
        <w:tc>
          <w:tcPr>
            <w:tcW w:w="241" w:type="dxa"/>
            <w:tcBorders>
              <w:top w:val="nil"/>
              <w:left w:val="nil"/>
              <w:bottom w:val="nil"/>
              <w:right w:val="nil"/>
            </w:tcBorders>
            <w:noWrap/>
            <w:vAlign w:val="center"/>
            <w:hideMark/>
          </w:tcPr>
          <w:p w14:paraId="4050FD96" w14:textId="77777777" w:rsidR="00FB5E3A" w:rsidRPr="008C6D2D" w:rsidRDefault="00FB5E3A" w:rsidP="00032394">
            <w:pPr>
              <w:widowControl/>
              <w:spacing w:after="0" w:line="240" w:lineRule="auto"/>
              <w:rPr>
                <w:rFonts w:ascii="楷体" w:eastAsia="楷体" w:hAnsi="楷体" w:cs="宋体" w:hint="eastAsia"/>
                <w:color w:val="000000"/>
                <w:kern w:val="0"/>
                <w:szCs w:val="22"/>
                <w14:ligatures w14:val="none"/>
              </w:rPr>
            </w:pPr>
          </w:p>
        </w:tc>
      </w:tr>
      <w:tr w:rsidR="00FB5E3A" w:rsidRPr="008C6D2D" w14:paraId="3BF9B203" w14:textId="77777777" w:rsidTr="00FB5E3A">
        <w:trPr>
          <w:trHeight w:val="300"/>
          <w:jc w:val="center"/>
        </w:trPr>
        <w:tc>
          <w:tcPr>
            <w:tcW w:w="1674" w:type="dxa"/>
            <w:tcBorders>
              <w:top w:val="nil"/>
              <w:left w:val="single" w:sz="8" w:space="0" w:color="auto"/>
              <w:bottom w:val="single" w:sz="8" w:space="0" w:color="auto"/>
              <w:right w:val="single" w:sz="8" w:space="0" w:color="auto"/>
            </w:tcBorders>
            <w:vAlign w:val="center"/>
            <w:hideMark/>
          </w:tcPr>
          <w:p w14:paraId="43259348" w14:textId="77777777" w:rsidR="00FB5E3A" w:rsidRPr="008C6D2D" w:rsidRDefault="00FB5E3A" w:rsidP="00032394">
            <w:pPr>
              <w:widowControl/>
              <w:spacing w:after="0" w:line="240" w:lineRule="auto"/>
              <w:rPr>
                <w:rFonts w:ascii="楷体" w:eastAsia="楷体" w:hAnsi="楷体" w:cs="宋体"/>
                <w:b/>
                <w:bCs/>
                <w:color w:val="000000"/>
                <w:kern w:val="0"/>
                <w:szCs w:val="22"/>
                <w14:ligatures w14:val="none"/>
              </w:rPr>
            </w:pPr>
            <w:r w:rsidRPr="008C6D2D">
              <w:rPr>
                <w:rFonts w:ascii="楷体" w:eastAsia="楷体" w:hAnsi="楷体" w:cs="宋体" w:hint="eastAsia"/>
                <w:b/>
                <w:bCs/>
                <w:color w:val="000000"/>
                <w:kern w:val="0"/>
                <w:szCs w:val="22"/>
                <w14:ligatures w14:val="none"/>
              </w:rPr>
              <w:t>1.6T DSP</w:t>
            </w:r>
          </w:p>
        </w:tc>
        <w:tc>
          <w:tcPr>
            <w:tcW w:w="1445" w:type="dxa"/>
            <w:tcBorders>
              <w:top w:val="nil"/>
              <w:left w:val="nil"/>
              <w:bottom w:val="single" w:sz="8" w:space="0" w:color="auto"/>
              <w:right w:val="single" w:sz="8" w:space="0" w:color="auto"/>
            </w:tcBorders>
            <w:vAlign w:val="center"/>
            <w:hideMark/>
          </w:tcPr>
          <w:p w14:paraId="13901C15" w14:textId="77777777" w:rsidR="00FB5E3A" w:rsidRPr="008C6D2D" w:rsidRDefault="00FB5E3A" w:rsidP="00032394">
            <w:pPr>
              <w:widowControl/>
              <w:spacing w:after="0" w:line="240" w:lineRule="auto"/>
              <w:rPr>
                <w:rFonts w:ascii="楷体" w:eastAsia="楷体" w:hAnsi="楷体" w:cs="宋体" w:hint="eastAsia"/>
                <w:b/>
                <w:bCs/>
                <w:color w:val="000000"/>
                <w:kern w:val="0"/>
                <w:szCs w:val="22"/>
                <w14:ligatures w14:val="none"/>
              </w:rPr>
            </w:pPr>
            <w:r w:rsidRPr="008C6D2D">
              <w:rPr>
                <w:rFonts w:ascii="楷体" w:eastAsia="楷体" w:hAnsi="楷体" w:cs="宋体" w:hint="eastAsia"/>
                <w:b/>
                <w:bCs/>
                <w:color w:val="000000"/>
                <w:kern w:val="0"/>
                <w:szCs w:val="22"/>
                <w14:ligatures w14:val="none"/>
              </w:rPr>
              <w:t>不足10%</w:t>
            </w:r>
          </w:p>
        </w:tc>
        <w:tc>
          <w:tcPr>
            <w:tcW w:w="2268" w:type="dxa"/>
            <w:tcBorders>
              <w:top w:val="nil"/>
              <w:left w:val="nil"/>
              <w:bottom w:val="single" w:sz="8" w:space="0" w:color="auto"/>
              <w:right w:val="single" w:sz="8" w:space="0" w:color="auto"/>
            </w:tcBorders>
            <w:vAlign w:val="center"/>
            <w:hideMark/>
          </w:tcPr>
          <w:p w14:paraId="1A920CD3" w14:textId="77777777" w:rsidR="00FB5E3A" w:rsidRPr="008C6D2D" w:rsidRDefault="00FB5E3A" w:rsidP="00032394">
            <w:pPr>
              <w:widowControl/>
              <w:spacing w:after="0" w:line="240" w:lineRule="auto"/>
              <w:rPr>
                <w:rFonts w:ascii="楷体" w:eastAsia="楷体" w:hAnsi="楷体" w:cs="宋体" w:hint="eastAsia"/>
                <w:color w:val="000000"/>
                <w:kern w:val="0"/>
                <w:szCs w:val="22"/>
                <w14:ligatures w14:val="none"/>
              </w:rPr>
            </w:pPr>
            <w:r w:rsidRPr="008C6D2D">
              <w:rPr>
                <w:rFonts w:ascii="楷体" w:eastAsia="楷体" w:hAnsi="楷体" w:cs="宋体" w:hint="eastAsia"/>
                <w:color w:val="000000"/>
                <w:kern w:val="0"/>
                <w:szCs w:val="22"/>
                <w14:ligatures w14:val="none"/>
              </w:rPr>
              <w:t>测试阶段</w:t>
            </w:r>
          </w:p>
        </w:tc>
        <w:tc>
          <w:tcPr>
            <w:tcW w:w="2946" w:type="dxa"/>
            <w:tcBorders>
              <w:top w:val="nil"/>
              <w:left w:val="nil"/>
              <w:bottom w:val="single" w:sz="8" w:space="0" w:color="auto"/>
              <w:right w:val="single" w:sz="8" w:space="0" w:color="auto"/>
            </w:tcBorders>
            <w:vAlign w:val="center"/>
            <w:hideMark/>
          </w:tcPr>
          <w:p w14:paraId="7002C128" w14:textId="77777777" w:rsidR="00FB5E3A" w:rsidRPr="008C6D2D" w:rsidRDefault="00FB5E3A" w:rsidP="00032394">
            <w:pPr>
              <w:widowControl/>
              <w:spacing w:after="0" w:line="240" w:lineRule="auto"/>
              <w:rPr>
                <w:rFonts w:ascii="楷体" w:eastAsia="楷体" w:hAnsi="楷体" w:cs="宋体" w:hint="eastAsia"/>
                <w:color w:val="000000"/>
                <w:kern w:val="0"/>
                <w:szCs w:val="22"/>
                <w14:ligatures w14:val="none"/>
              </w:rPr>
            </w:pPr>
            <w:r w:rsidRPr="008C6D2D">
              <w:rPr>
                <w:rFonts w:ascii="楷体" w:eastAsia="楷体" w:hAnsi="楷体" w:cs="宋体" w:hint="eastAsia"/>
                <w:color w:val="000000"/>
                <w:kern w:val="0"/>
                <w:szCs w:val="22"/>
                <w14:ligatures w14:val="none"/>
              </w:rPr>
              <w:t>盛路通信等布局中</w:t>
            </w:r>
          </w:p>
        </w:tc>
        <w:tc>
          <w:tcPr>
            <w:tcW w:w="241" w:type="dxa"/>
            <w:tcBorders>
              <w:top w:val="nil"/>
              <w:left w:val="nil"/>
              <w:bottom w:val="nil"/>
              <w:right w:val="nil"/>
            </w:tcBorders>
            <w:noWrap/>
            <w:vAlign w:val="center"/>
            <w:hideMark/>
          </w:tcPr>
          <w:p w14:paraId="34B918D0" w14:textId="77777777" w:rsidR="00FB5E3A" w:rsidRPr="008C6D2D" w:rsidRDefault="00FB5E3A" w:rsidP="00032394">
            <w:pPr>
              <w:widowControl/>
              <w:spacing w:after="0" w:line="240" w:lineRule="auto"/>
              <w:rPr>
                <w:rFonts w:ascii="楷体" w:eastAsia="楷体" w:hAnsi="楷体" w:cs="宋体" w:hint="eastAsia"/>
                <w:color w:val="000000"/>
                <w:kern w:val="0"/>
                <w:szCs w:val="22"/>
                <w14:ligatures w14:val="none"/>
              </w:rPr>
            </w:pPr>
          </w:p>
        </w:tc>
      </w:tr>
    </w:tbl>
    <w:p w14:paraId="7C845747" w14:textId="77777777" w:rsidR="00FB5E3A" w:rsidRPr="00004432" w:rsidRDefault="00FB5E3A" w:rsidP="00004432">
      <w:pPr>
        <w:rPr>
          <w:rFonts w:ascii="楷体" w:eastAsia="楷体" w:hAnsi="楷体" w:hint="eastAsia"/>
        </w:rPr>
      </w:pPr>
    </w:p>
    <w:p w14:paraId="79305480" w14:textId="77777777" w:rsidR="00004432" w:rsidRPr="00004432" w:rsidRDefault="00004432" w:rsidP="00004432">
      <w:pPr>
        <w:rPr>
          <w:rFonts w:ascii="楷体" w:eastAsia="楷体" w:hAnsi="楷体"/>
        </w:rPr>
      </w:pPr>
      <w:r w:rsidRPr="00004432">
        <w:rPr>
          <w:rFonts w:ascii="楷体" w:eastAsia="楷体" w:hAnsi="楷体"/>
        </w:rPr>
        <w:t>在这一背景下，</w:t>
      </w:r>
      <w:r w:rsidRPr="00004432">
        <w:rPr>
          <w:rFonts w:ascii="楷体" w:eastAsia="楷体" w:hAnsi="楷体"/>
          <w:b/>
          <w:bCs/>
        </w:rPr>
        <w:t>技术代际的跃迁成为定价核心变量</w:t>
      </w:r>
      <w:r w:rsidRPr="00004432">
        <w:rPr>
          <w:rFonts w:ascii="楷体" w:eastAsia="楷体" w:hAnsi="楷体"/>
        </w:rPr>
        <w:t>：800G到1.6T的升级不仅是速率的翻倍，更涉及封装架构从可插拔向CPO/LPO的潜在演进，产品ASP提升幅度远超成本涨幅，掌握高端产品量产能力的厂商得以享受显著的超额利润。当前，国内头部厂商已在1.6T产品端实现突破并进入海外云巨头供应链，技术领先性直接转化为盈利能力的分化——</w:t>
      </w:r>
      <w:r w:rsidRPr="00004432">
        <w:rPr>
          <w:rFonts w:ascii="楷体" w:eastAsia="楷体" w:hAnsi="楷体"/>
          <w:b/>
          <w:bCs/>
        </w:rPr>
        <w:t>高端产品毛利率较中低端高出10-15个百分点</w:t>
      </w:r>
      <w:r w:rsidRPr="00004432">
        <w:rPr>
          <w:rFonts w:ascii="楷体" w:eastAsia="楷体" w:hAnsi="楷体"/>
        </w:rPr>
        <w:t>，且订单可见度延伸至未来2-3个季度，业绩确定性显著优于传统通信设备板块。</w:t>
      </w:r>
    </w:p>
    <w:p w14:paraId="29990687" w14:textId="77777777" w:rsidR="00004432" w:rsidRPr="00004432" w:rsidRDefault="00004432" w:rsidP="00B263C4">
      <w:pPr>
        <w:rPr>
          <w:rFonts w:ascii="楷体" w:eastAsia="楷体" w:hAnsi="楷体" w:hint="eastAsia"/>
        </w:rPr>
      </w:pPr>
    </w:p>
    <w:p w14:paraId="760FD9A0" w14:textId="20224726" w:rsidR="00CB5170" w:rsidRPr="00462CF2" w:rsidRDefault="00CB5170" w:rsidP="00B263C4">
      <w:pPr>
        <w:rPr>
          <w:rFonts w:ascii="楷体" w:eastAsia="楷体" w:hAnsi="楷体" w:hint="eastAsia"/>
        </w:rPr>
      </w:pPr>
      <w:r w:rsidRPr="00462CF2">
        <w:rPr>
          <w:rFonts w:ascii="楷体" w:eastAsia="楷体" w:hAnsi="楷体" w:hint="eastAsia"/>
        </w:rPr>
        <w:t>光芯片0-1</w:t>
      </w:r>
    </w:p>
    <w:p w14:paraId="25DC91CC" w14:textId="77777777" w:rsidR="00CB5170" w:rsidRPr="00462CF2" w:rsidRDefault="00CB5170" w:rsidP="00B263C4">
      <w:pPr>
        <w:rPr>
          <w:rFonts w:ascii="楷体" w:eastAsia="楷体" w:hAnsi="楷体" w:hint="eastAsia"/>
        </w:rPr>
      </w:pPr>
    </w:p>
    <w:p w14:paraId="37FAD9EE" w14:textId="23BE965F" w:rsidR="00CB5170" w:rsidRPr="00462CF2" w:rsidRDefault="00CB5170" w:rsidP="00B263C4">
      <w:pPr>
        <w:rPr>
          <w:rFonts w:ascii="楷体" w:eastAsia="楷体" w:hAnsi="楷体" w:hint="eastAsia"/>
        </w:rPr>
      </w:pPr>
      <w:r w:rsidRPr="00462CF2">
        <w:rPr>
          <w:rFonts w:ascii="楷体" w:eastAsia="楷体" w:hAnsi="楷体" w:hint="eastAsia"/>
        </w:rPr>
        <w:t>光模块 高增长中期（不过多提细节</w:t>
      </w:r>
    </w:p>
    <w:p w14:paraId="125FB70E" w14:textId="77777777" w:rsidR="00646D7A" w:rsidRPr="00462CF2" w:rsidRDefault="00646D7A" w:rsidP="00646D7A">
      <w:pPr>
        <w:pStyle w:val="4"/>
        <w:rPr>
          <w:rFonts w:ascii="楷体" w:eastAsia="楷体" w:hAnsi="楷体" w:hint="eastAsia"/>
        </w:rPr>
      </w:pPr>
      <w:r w:rsidRPr="00462CF2">
        <w:rPr>
          <w:rFonts w:ascii="楷体" w:eastAsia="楷体" w:hAnsi="楷体" w:hint="eastAsia"/>
        </w:rPr>
        <w:t>数据通信目前的阶段</w:t>
      </w:r>
    </w:p>
    <w:p w14:paraId="1924E772" w14:textId="77777777" w:rsidR="00A026E6" w:rsidRPr="00462CF2" w:rsidRDefault="00A026E6" w:rsidP="00A026E6">
      <w:pPr>
        <w:rPr>
          <w:rFonts w:ascii="楷体" w:eastAsia="楷体" w:hAnsi="楷体" w:hint="eastAsia"/>
        </w:rPr>
      </w:pPr>
      <w:r w:rsidRPr="00462CF2">
        <w:rPr>
          <w:rFonts w:ascii="楷体" w:eastAsia="楷体" w:hAnsi="楷体" w:hint="eastAsia"/>
        </w:rPr>
        <w:t>建议增加"投资时钟"小节：</w:t>
      </w:r>
    </w:p>
    <w:p w14:paraId="37CFB850" w14:textId="77777777" w:rsidR="00A026E6" w:rsidRPr="00462CF2" w:rsidRDefault="00A026E6" w:rsidP="00A026E6">
      <w:pPr>
        <w:rPr>
          <w:rFonts w:ascii="楷体" w:eastAsia="楷体" w:hAnsi="楷体" w:hint="eastAsia"/>
        </w:rPr>
      </w:pPr>
      <w:r w:rsidRPr="00462CF2">
        <w:rPr>
          <w:rFonts w:ascii="楷体" w:eastAsia="楷体" w:hAnsi="楷体" w:hint="eastAsia"/>
        </w:rPr>
        <w:t>Q2 2026（当前）：英伟达GB200量产爬坡期，验证1.6T光模块良率</w:t>
      </w:r>
    </w:p>
    <w:p w14:paraId="36DE9BDF" w14:textId="77777777" w:rsidR="00A026E6" w:rsidRPr="00462CF2" w:rsidRDefault="00A026E6" w:rsidP="00A026E6">
      <w:pPr>
        <w:rPr>
          <w:rFonts w:ascii="楷体" w:eastAsia="楷体" w:hAnsi="楷体" w:hint="eastAsia"/>
        </w:rPr>
      </w:pPr>
      <w:r w:rsidRPr="00462CF2">
        <w:rPr>
          <w:rFonts w:ascii="楷体" w:eastAsia="楷体" w:hAnsi="楷体" w:hint="eastAsia"/>
        </w:rPr>
        <w:t>Q3 2026：云商Capex年中修订，验证AI基建持续性</w:t>
      </w:r>
    </w:p>
    <w:p w14:paraId="150E8671" w14:textId="77777777" w:rsidR="00A026E6" w:rsidRPr="00462CF2" w:rsidRDefault="00A026E6" w:rsidP="00A026E6">
      <w:pPr>
        <w:rPr>
          <w:rFonts w:ascii="楷体" w:eastAsia="楷体" w:hAnsi="楷体" w:hint="eastAsia"/>
        </w:rPr>
      </w:pPr>
      <w:r w:rsidRPr="00462CF2">
        <w:rPr>
          <w:rFonts w:ascii="楷体" w:eastAsia="楷体" w:hAnsi="楷体" w:hint="eastAsia"/>
        </w:rPr>
        <w:t>Q4 2026：硅光渗透率数据出炉，验证技术路线收敛速度</w:t>
      </w:r>
    </w:p>
    <w:p w14:paraId="6E6D3754" w14:textId="69485B04" w:rsidR="00A026E6" w:rsidRPr="00462CF2" w:rsidRDefault="00A026E6" w:rsidP="00A026E6">
      <w:pPr>
        <w:rPr>
          <w:rFonts w:ascii="楷体" w:eastAsia="楷体" w:hAnsi="楷体" w:hint="eastAsia"/>
        </w:rPr>
      </w:pPr>
      <w:r w:rsidRPr="00462CF2">
        <w:rPr>
          <w:rFonts w:ascii="楷体" w:eastAsia="楷体" w:hAnsi="楷体" w:hint="eastAsia"/>
        </w:rPr>
        <w:t>2027H1：若CPO方案成熟，警惕传统可插拔光模块估值下杀风险</w:t>
      </w:r>
    </w:p>
    <w:p w14:paraId="1D389B6C" w14:textId="77777777" w:rsidR="00A026E6" w:rsidRPr="00462CF2" w:rsidRDefault="00A026E6" w:rsidP="00A026E6">
      <w:pPr>
        <w:rPr>
          <w:rFonts w:ascii="楷体" w:eastAsia="楷体" w:hAnsi="楷体" w:hint="eastAsia"/>
        </w:rPr>
      </w:pPr>
    </w:p>
    <w:p w14:paraId="5B725BAA" w14:textId="1BC5C76A" w:rsidR="00EE6A0B" w:rsidRPr="00462CF2" w:rsidRDefault="00EE6A0B" w:rsidP="00EE6A0B">
      <w:pPr>
        <w:rPr>
          <w:rFonts w:ascii="楷体" w:eastAsia="楷体" w:hAnsi="楷体" w:hint="eastAsia"/>
        </w:rPr>
      </w:pPr>
      <w:r w:rsidRPr="00462CF2">
        <w:rPr>
          <w:rFonts w:ascii="楷体" w:eastAsia="楷体" w:hAnsi="楷体" w:hint="eastAsia"/>
        </w:rPr>
        <w:t>宏观上</w:t>
      </w:r>
    </w:p>
    <w:p w14:paraId="2601A34E" w14:textId="4F1A55DE" w:rsidR="00EE6A0B" w:rsidRPr="00462CF2" w:rsidRDefault="00EE6A0B" w:rsidP="00EE6A0B">
      <w:pPr>
        <w:rPr>
          <w:rFonts w:ascii="楷体" w:eastAsia="楷体" w:hAnsi="楷体" w:hint="eastAsia"/>
        </w:rPr>
      </w:pPr>
      <w:r w:rsidRPr="00462CF2">
        <w:rPr>
          <w:rFonts w:ascii="楷体" w:eastAsia="楷体" w:hAnsi="楷体"/>
          <w:noProof/>
        </w:rPr>
        <w:lastRenderedPageBreak/>
        <w:drawing>
          <wp:inline distT="0" distB="0" distL="0" distR="0" wp14:anchorId="405CFEF7" wp14:editId="0387AB55">
            <wp:extent cx="5274310" cy="2883535"/>
            <wp:effectExtent l="0" t="0" r="2540" b="0"/>
            <wp:docPr id="1318154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54761" name=""/>
                    <pic:cNvPicPr/>
                  </pic:nvPicPr>
                  <pic:blipFill>
                    <a:blip r:embed="rId14"/>
                    <a:stretch>
                      <a:fillRect/>
                    </a:stretch>
                  </pic:blipFill>
                  <pic:spPr>
                    <a:xfrm>
                      <a:off x="0" y="0"/>
                      <a:ext cx="5274310" cy="2883535"/>
                    </a:xfrm>
                    <a:prstGeom prst="rect">
                      <a:avLst/>
                    </a:prstGeom>
                  </pic:spPr>
                </pic:pic>
              </a:graphicData>
            </a:graphic>
          </wp:inline>
        </w:drawing>
      </w:r>
    </w:p>
    <w:p w14:paraId="3B412450" w14:textId="4FE24D10" w:rsidR="00EE6A0B" w:rsidRPr="00462CF2" w:rsidRDefault="00EE6A0B" w:rsidP="00EE6A0B">
      <w:pPr>
        <w:rPr>
          <w:rFonts w:ascii="楷体" w:eastAsia="楷体" w:hAnsi="楷体" w:hint="eastAsia"/>
        </w:rPr>
      </w:pPr>
      <w:r w:rsidRPr="00462CF2">
        <w:rPr>
          <w:rFonts w:ascii="楷体" w:eastAsia="楷体" w:hAnsi="楷体" w:hint="eastAsia"/>
        </w:rPr>
        <w:t>数据来源：Wind，申万宏源研究。</w:t>
      </w:r>
    </w:p>
    <w:p w14:paraId="72014B4B" w14:textId="52554AF7" w:rsidR="00EE6A0B" w:rsidRPr="00462CF2" w:rsidRDefault="00EE6A0B" w:rsidP="00EE6A0B">
      <w:pPr>
        <w:rPr>
          <w:rFonts w:ascii="楷体" w:eastAsia="楷体" w:hAnsi="楷体" w:hint="eastAsia"/>
        </w:rPr>
      </w:pPr>
      <w:r w:rsidRPr="00462CF2">
        <w:rPr>
          <w:rFonts w:ascii="楷体" w:eastAsia="楷体" w:hAnsi="楷体" w:hint="eastAsia"/>
        </w:rPr>
        <w:t>注纵轴百分比</w:t>
      </w:r>
      <w:r w:rsidR="006F2EE6" w:rsidRPr="00462CF2">
        <w:rPr>
          <w:rFonts w:ascii="楷体" w:eastAsia="楷体" w:hAnsi="楷体" w:hint="eastAsia"/>
        </w:rPr>
        <w:t>以2016/1/4为基准，新易盛，源杰，基准日2016/3/3，2022/12/21</w:t>
      </w:r>
    </w:p>
    <w:p w14:paraId="7CFE569E" w14:textId="77777777" w:rsidR="00646D7A" w:rsidRPr="00462CF2" w:rsidRDefault="00646D7A" w:rsidP="00646D7A">
      <w:pPr>
        <w:rPr>
          <w:rFonts w:ascii="楷体" w:eastAsia="楷体" w:hAnsi="楷体" w:hint="eastAsia"/>
        </w:rPr>
      </w:pPr>
      <w:r w:rsidRPr="00462CF2">
        <w:rPr>
          <w:rFonts w:ascii="楷体" w:eastAsia="楷体" w:hAnsi="楷体" w:hint="eastAsia"/>
        </w:rPr>
        <w:t>聚焦成长性的部分，我们认为数据间通信正处于"中段向后期过渡"阶段——这是一个多代际技术并存、未来路线尚未收敛，新旧增长曲线交接的特殊时点。</w:t>
      </w:r>
    </w:p>
    <w:p w14:paraId="444DF6FD" w14:textId="77777777" w:rsidR="00646D7A" w:rsidRPr="00462CF2" w:rsidRDefault="00646D7A" w:rsidP="00646D7A">
      <w:pPr>
        <w:rPr>
          <w:rFonts w:ascii="楷体" w:eastAsia="楷体" w:hAnsi="楷体" w:hint="eastAsia"/>
        </w:rPr>
      </w:pPr>
      <w:r w:rsidRPr="00462CF2">
        <w:rPr>
          <w:rFonts w:ascii="楷体" w:eastAsia="楷体" w:hAnsi="楷体" w:hint="eastAsia"/>
        </w:rPr>
        <w:t>以产品为例，则呈现出多代同堂的复杂结构</w:t>
      </w:r>
    </w:p>
    <w:tbl>
      <w:tblPr>
        <w:tblW w:w="9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9"/>
        <w:gridCol w:w="944"/>
        <w:gridCol w:w="4500"/>
        <w:gridCol w:w="2312"/>
      </w:tblGrid>
      <w:tr w:rsidR="00646D7A" w:rsidRPr="00462CF2" w14:paraId="6F158F80" w14:textId="77777777" w:rsidTr="004670C2">
        <w:trPr>
          <w:trHeight w:val="285"/>
        </w:trPr>
        <w:tc>
          <w:tcPr>
            <w:tcW w:w="1319" w:type="dxa"/>
            <w:noWrap/>
            <w:vAlign w:val="center"/>
            <w:hideMark/>
          </w:tcPr>
          <w:p w14:paraId="7E093108" w14:textId="77777777" w:rsidR="00646D7A" w:rsidRPr="00462CF2" w:rsidRDefault="00646D7A" w:rsidP="004670C2">
            <w:pPr>
              <w:widowControl/>
              <w:spacing w:after="0" w:line="240" w:lineRule="auto"/>
              <w:rPr>
                <w:rFonts w:ascii="楷体" w:eastAsia="楷体" w:hAnsi="楷体" w:cs="宋体" w:hint="eastAsia"/>
                <w:color w:val="000000"/>
                <w:kern w:val="0"/>
                <w:szCs w:val="22"/>
                <w14:ligatures w14:val="none"/>
              </w:rPr>
            </w:pPr>
            <w:r w:rsidRPr="00462CF2">
              <w:rPr>
                <w:rFonts w:ascii="楷体" w:eastAsia="楷体" w:hAnsi="楷体" w:cs="宋体" w:hint="eastAsia"/>
                <w:color w:val="000000"/>
                <w:kern w:val="0"/>
                <w:szCs w:val="22"/>
                <w14:ligatures w14:val="none"/>
              </w:rPr>
              <w:t>产品代际</w:t>
            </w:r>
          </w:p>
        </w:tc>
        <w:tc>
          <w:tcPr>
            <w:tcW w:w="944" w:type="dxa"/>
            <w:noWrap/>
            <w:vAlign w:val="center"/>
            <w:hideMark/>
          </w:tcPr>
          <w:p w14:paraId="41AAFA0A" w14:textId="77777777" w:rsidR="00646D7A" w:rsidRPr="00462CF2" w:rsidRDefault="00646D7A" w:rsidP="004670C2">
            <w:pPr>
              <w:widowControl/>
              <w:spacing w:after="0" w:line="240" w:lineRule="auto"/>
              <w:rPr>
                <w:rFonts w:ascii="楷体" w:eastAsia="楷体" w:hAnsi="楷体" w:cs="宋体" w:hint="eastAsia"/>
                <w:color w:val="000000"/>
                <w:kern w:val="0"/>
                <w:szCs w:val="22"/>
                <w14:ligatures w14:val="none"/>
              </w:rPr>
            </w:pPr>
            <w:r w:rsidRPr="00462CF2">
              <w:rPr>
                <w:rFonts w:ascii="楷体" w:eastAsia="楷体" w:hAnsi="楷体" w:cs="宋体" w:hint="eastAsia"/>
                <w:color w:val="000000"/>
                <w:kern w:val="0"/>
                <w:szCs w:val="22"/>
                <w14:ligatures w14:val="none"/>
              </w:rPr>
              <w:t>成长阶段</w:t>
            </w:r>
          </w:p>
        </w:tc>
        <w:tc>
          <w:tcPr>
            <w:tcW w:w="4500" w:type="dxa"/>
            <w:noWrap/>
            <w:vAlign w:val="center"/>
            <w:hideMark/>
          </w:tcPr>
          <w:p w14:paraId="57472E78" w14:textId="77777777" w:rsidR="00646D7A" w:rsidRPr="00462CF2" w:rsidRDefault="00646D7A" w:rsidP="004670C2">
            <w:pPr>
              <w:widowControl/>
              <w:spacing w:after="0" w:line="240" w:lineRule="auto"/>
              <w:rPr>
                <w:rFonts w:ascii="楷体" w:eastAsia="楷体" w:hAnsi="楷体" w:cs="宋体" w:hint="eastAsia"/>
                <w:color w:val="000000"/>
                <w:kern w:val="0"/>
                <w:szCs w:val="22"/>
                <w14:ligatures w14:val="none"/>
              </w:rPr>
            </w:pPr>
            <w:r w:rsidRPr="00462CF2">
              <w:rPr>
                <w:rFonts w:ascii="楷体" w:eastAsia="楷体" w:hAnsi="楷体" w:cs="宋体" w:hint="eastAsia"/>
                <w:color w:val="000000"/>
                <w:kern w:val="0"/>
                <w:szCs w:val="22"/>
                <w14:ligatures w14:val="none"/>
              </w:rPr>
              <w:t>关键信号</w:t>
            </w:r>
          </w:p>
        </w:tc>
        <w:tc>
          <w:tcPr>
            <w:tcW w:w="2312" w:type="dxa"/>
            <w:noWrap/>
            <w:vAlign w:val="center"/>
            <w:hideMark/>
          </w:tcPr>
          <w:p w14:paraId="60CE8D74" w14:textId="77777777" w:rsidR="00646D7A" w:rsidRPr="00462CF2" w:rsidRDefault="00646D7A" w:rsidP="004670C2">
            <w:pPr>
              <w:widowControl/>
              <w:spacing w:after="0" w:line="240" w:lineRule="auto"/>
              <w:rPr>
                <w:rFonts w:ascii="楷体" w:eastAsia="楷体" w:hAnsi="楷体" w:cs="宋体" w:hint="eastAsia"/>
                <w:color w:val="000000"/>
                <w:kern w:val="0"/>
                <w:szCs w:val="22"/>
                <w14:ligatures w14:val="none"/>
              </w:rPr>
            </w:pPr>
            <w:r w:rsidRPr="00462CF2">
              <w:rPr>
                <w:rFonts w:ascii="楷体" w:eastAsia="楷体" w:hAnsi="楷体" w:cs="宋体" w:hint="eastAsia"/>
                <w:color w:val="000000"/>
                <w:kern w:val="0"/>
                <w:szCs w:val="22"/>
                <w14:ligatures w14:val="none"/>
              </w:rPr>
              <w:t>代表需求方</w:t>
            </w:r>
          </w:p>
        </w:tc>
      </w:tr>
      <w:tr w:rsidR="00646D7A" w:rsidRPr="00462CF2" w14:paraId="51241A41" w14:textId="77777777" w:rsidTr="004670C2">
        <w:trPr>
          <w:trHeight w:val="285"/>
        </w:trPr>
        <w:tc>
          <w:tcPr>
            <w:tcW w:w="1319" w:type="dxa"/>
            <w:noWrap/>
            <w:vAlign w:val="center"/>
            <w:hideMark/>
          </w:tcPr>
          <w:p w14:paraId="292F2513" w14:textId="77777777" w:rsidR="00646D7A" w:rsidRPr="00462CF2" w:rsidRDefault="00646D7A" w:rsidP="004670C2">
            <w:pPr>
              <w:widowControl/>
              <w:spacing w:after="0" w:line="240" w:lineRule="auto"/>
              <w:rPr>
                <w:rFonts w:ascii="楷体" w:eastAsia="楷体" w:hAnsi="楷体" w:cs="宋体" w:hint="eastAsia"/>
                <w:color w:val="000000"/>
                <w:kern w:val="0"/>
                <w:szCs w:val="22"/>
                <w14:ligatures w14:val="none"/>
              </w:rPr>
            </w:pPr>
            <w:r w:rsidRPr="00462CF2">
              <w:rPr>
                <w:rFonts w:ascii="楷体" w:eastAsia="楷体" w:hAnsi="楷体" w:cs="宋体" w:hint="eastAsia"/>
                <w:color w:val="000000"/>
                <w:kern w:val="0"/>
                <w:szCs w:val="22"/>
                <w14:ligatures w14:val="none"/>
              </w:rPr>
              <w:t>400G</w:t>
            </w:r>
          </w:p>
        </w:tc>
        <w:tc>
          <w:tcPr>
            <w:tcW w:w="944" w:type="dxa"/>
            <w:noWrap/>
            <w:vAlign w:val="center"/>
            <w:hideMark/>
          </w:tcPr>
          <w:p w14:paraId="10AE223F" w14:textId="77777777" w:rsidR="00646D7A" w:rsidRPr="00462CF2" w:rsidRDefault="00646D7A" w:rsidP="004670C2">
            <w:pPr>
              <w:widowControl/>
              <w:spacing w:after="0" w:line="240" w:lineRule="auto"/>
              <w:rPr>
                <w:rFonts w:ascii="楷体" w:eastAsia="楷体" w:hAnsi="楷体" w:cs="宋体" w:hint="eastAsia"/>
                <w:color w:val="000000"/>
                <w:kern w:val="0"/>
                <w:szCs w:val="22"/>
                <w14:ligatures w14:val="none"/>
              </w:rPr>
            </w:pPr>
            <w:r w:rsidRPr="00462CF2">
              <w:rPr>
                <w:rFonts w:ascii="楷体" w:eastAsia="楷体" w:hAnsi="楷体" w:cs="宋体" w:hint="eastAsia"/>
                <w:color w:val="000000"/>
                <w:kern w:val="0"/>
                <w:szCs w:val="22"/>
                <w14:ligatures w14:val="none"/>
              </w:rPr>
              <w:t>成熟期</w:t>
            </w:r>
          </w:p>
        </w:tc>
        <w:tc>
          <w:tcPr>
            <w:tcW w:w="4500" w:type="dxa"/>
            <w:noWrap/>
            <w:vAlign w:val="center"/>
            <w:hideMark/>
          </w:tcPr>
          <w:p w14:paraId="03648449" w14:textId="77777777" w:rsidR="00646D7A" w:rsidRPr="00462CF2" w:rsidRDefault="00646D7A" w:rsidP="004670C2">
            <w:pPr>
              <w:widowControl/>
              <w:spacing w:after="0" w:line="240" w:lineRule="auto"/>
              <w:rPr>
                <w:rFonts w:ascii="楷体" w:eastAsia="楷体" w:hAnsi="楷体" w:cs="宋体" w:hint="eastAsia"/>
                <w:color w:val="000000"/>
                <w:kern w:val="0"/>
                <w:szCs w:val="22"/>
                <w14:ligatures w14:val="none"/>
              </w:rPr>
            </w:pPr>
            <w:r w:rsidRPr="00462CF2">
              <w:rPr>
                <w:rFonts w:ascii="楷体" w:eastAsia="楷体" w:hAnsi="楷体" w:cs="宋体" w:hint="eastAsia"/>
                <w:color w:val="000000"/>
                <w:kern w:val="0"/>
                <w:szCs w:val="22"/>
                <w14:ligatures w14:val="none"/>
              </w:rPr>
              <w:t>价格年降20%+，出货量增速&lt;20%，向传统云市场下沉</w:t>
            </w:r>
          </w:p>
        </w:tc>
        <w:tc>
          <w:tcPr>
            <w:tcW w:w="2312" w:type="dxa"/>
            <w:noWrap/>
            <w:vAlign w:val="center"/>
            <w:hideMark/>
          </w:tcPr>
          <w:p w14:paraId="42339D3E" w14:textId="77777777" w:rsidR="00646D7A" w:rsidRPr="00462CF2" w:rsidRDefault="00646D7A" w:rsidP="004670C2">
            <w:pPr>
              <w:widowControl/>
              <w:spacing w:after="0" w:line="240" w:lineRule="auto"/>
              <w:rPr>
                <w:rFonts w:ascii="楷体" w:eastAsia="楷体" w:hAnsi="楷体" w:cs="宋体" w:hint="eastAsia"/>
                <w:color w:val="000000"/>
                <w:kern w:val="0"/>
                <w:szCs w:val="22"/>
                <w14:ligatures w14:val="none"/>
              </w:rPr>
            </w:pPr>
            <w:r w:rsidRPr="00462CF2">
              <w:rPr>
                <w:rFonts w:ascii="楷体" w:eastAsia="楷体" w:hAnsi="楷体" w:cs="宋体" w:hint="eastAsia"/>
                <w:color w:val="000000"/>
                <w:kern w:val="0"/>
                <w:szCs w:val="22"/>
                <w14:ligatures w14:val="none"/>
              </w:rPr>
              <w:t>传统云计算、电信运营商</w:t>
            </w:r>
          </w:p>
        </w:tc>
      </w:tr>
      <w:tr w:rsidR="00646D7A" w:rsidRPr="00462CF2" w14:paraId="3E106EBE" w14:textId="77777777" w:rsidTr="004670C2">
        <w:trPr>
          <w:trHeight w:val="285"/>
        </w:trPr>
        <w:tc>
          <w:tcPr>
            <w:tcW w:w="1319" w:type="dxa"/>
            <w:noWrap/>
            <w:vAlign w:val="center"/>
            <w:hideMark/>
          </w:tcPr>
          <w:p w14:paraId="71101B6F" w14:textId="77777777" w:rsidR="00646D7A" w:rsidRPr="00462CF2" w:rsidRDefault="00646D7A" w:rsidP="004670C2">
            <w:pPr>
              <w:widowControl/>
              <w:spacing w:after="0" w:line="240" w:lineRule="auto"/>
              <w:rPr>
                <w:rFonts w:ascii="楷体" w:eastAsia="楷体" w:hAnsi="楷体" w:cs="宋体" w:hint="eastAsia"/>
                <w:color w:val="000000"/>
                <w:kern w:val="0"/>
                <w:szCs w:val="22"/>
                <w14:ligatures w14:val="none"/>
              </w:rPr>
            </w:pPr>
            <w:r w:rsidRPr="00462CF2">
              <w:rPr>
                <w:rFonts w:ascii="楷体" w:eastAsia="楷体" w:hAnsi="楷体" w:cs="宋体" w:hint="eastAsia"/>
                <w:color w:val="000000"/>
                <w:kern w:val="0"/>
                <w:szCs w:val="22"/>
                <w14:ligatures w14:val="none"/>
              </w:rPr>
              <w:t>800G</w:t>
            </w:r>
          </w:p>
        </w:tc>
        <w:tc>
          <w:tcPr>
            <w:tcW w:w="944" w:type="dxa"/>
            <w:noWrap/>
            <w:vAlign w:val="center"/>
            <w:hideMark/>
          </w:tcPr>
          <w:p w14:paraId="11F959C7" w14:textId="77777777" w:rsidR="00646D7A" w:rsidRPr="00462CF2" w:rsidRDefault="00646D7A" w:rsidP="004670C2">
            <w:pPr>
              <w:widowControl/>
              <w:spacing w:after="0" w:line="240" w:lineRule="auto"/>
              <w:rPr>
                <w:rFonts w:ascii="楷体" w:eastAsia="楷体" w:hAnsi="楷体" w:cs="宋体" w:hint="eastAsia"/>
                <w:color w:val="000000"/>
                <w:kern w:val="0"/>
                <w:szCs w:val="22"/>
                <w14:ligatures w14:val="none"/>
              </w:rPr>
            </w:pPr>
            <w:r w:rsidRPr="00462CF2">
              <w:rPr>
                <w:rFonts w:ascii="楷体" w:eastAsia="楷体" w:hAnsi="楷体" w:cs="宋体" w:hint="eastAsia"/>
                <w:color w:val="000000"/>
                <w:kern w:val="0"/>
                <w:szCs w:val="22"/>
                <w14:ligatures w14:val="none"/>
              </w:rPr>
              <w:t>成长期后期</w:t>
            </w:r>
          </w:p>
        </w:tc>
        <w:tc>
          <w:tcPr>
            <w:tcW w:w="4500" w:type="dxa"/>
            <w:noWrap/>
            <w:vAlign w:val="center"/>
            <w:hideMark/>
          </w:tcPr>
          <w:p w14:paraId="25F5E2DD" w14:textId="77777777" w:rsidR="00646D7A" w:rsidRPr="00462CF2" w:rsidRDefault="00646D7A" w:rsidP="004670C2">
            <w:pPr>
              <w:widowControl/>
              <w:spacing w:after="0" w:line="240" w:lineRule="auto"/>
              <w:rPr>
                <w:rFonts w:ascii="楷体" w:eastAsia="楷体" w:hAnsi="楷体" w:cs="宋体" w:hint="eastAsia"/>
                <w:color w:val="000000"/>
                <w:kern w:val="0"/>
                <w:szCs w:val="22"/>
                <w14:ligatures w14:val="none"/>
              </w:rPr>
            </w:pPr>
            <w:r w:rsidRPr="00462CF2">
              <w:rPr>
                <w:rFonts w:ascii="楷体" w:eastAsia="楷体" w:hAnsi="楷体" w:cs="宋体" w:hint="eastAsia"/>
                <w:color w:val="000000"/>
                <w:kern w:val="0"/>
                <w:szCs w:val="22"/>
                <w14:ligatures w14:val="none"/>
              </w:rPr>
              <w:t>出货量绝对值最大（2026年预计3000-5000万只），但增速边际放缓至60%左右</w:t>
            </w:r>
          </w:p>
        </w:tc>
        <w:tc>
          <w:tcPr>
            <w:tcW w:w="2312" w:type="dxa"/>
            <w:noWrap/>
            <w:vAlign w:val="center"/>
            <w:hideMark/>
          </w:tcPr>
          <w:p w14:paraId="650CFB45" w14:textId="77777777" w:rsidR="00646D7A" w:rsidRPr="00462CF2" w:rsidRDefault="00646D7A" w:rsidP="004670C2">
            <w:pPr>
              <w:widowControl/>
              <w:spacing w:after="0" w:line="240" w:lineRule="auto"/>
              <w:rPr>
                <w:rFonts w:ascii="楷体" w:eastAsia="楷体" w:hAnsi="楷体" w:cs="宋体" w:hint="eastAsia"/>
                <w:color w:val="000000"/>
                <w:kern w:val="0"/>
                <w:szCs w:val="22"/>
                <w14:ligatures w14:val="none"/>
              </w:rPr>
            </w:pPr>
            <w:r w:rsidRPr="00462CF2">
              <w:rPr>
                <w:rFonts w:ascii="楷体" w:eastAsia="楷体" w:hAnsi="楷体" w:cs="宋体" w:hint="eastAsia"/>
                <w:color w:val="000000"/>
                <w:kern w:val="0"/>
                <w:szCs w:val="22"/>
                <w14:ligatures w14:val="none"/>
              </w:rPr>
              <w:t>北美四大云厂商（AWS/Azure/谷歌/Meta）</w:t>
            </w:r>
          </w:p>
        </w:tc>
      </w:tr>
      <w:tr w:rsidR="00646D7A" w:rsidRPr="00462CF2" w14:paraId="6FBADE42" w14:textId="77777777" w:rsidTr="004670C2">
        <w:trPr>
          <w:trHeight w:val="285"/>
        </w:trPr>
        <w:tc>
          <w:tcPr>
            <w:tcW w:w="1319" w:type="dxa"/>
            <w:noWrap/>
            <w:vAlign w:val="center"/>
            <w:hideMark/>
          </w:tcPr>
          <w:p w14:paraId="17753F59" w14:textId="77777777" w:rsidR="00646D7A" w:rsidRPr="00462CF2" w:rsidRDefault="00646D7A" w:rsidP="004670C2">
            <w:pPr>
              <w:widowControl/>
              <w:spacing w:after="0" w:line="240" w:lineRule="auto"/>
              <w:rPr>
                <w:rFonts w:ascii="楷体" w:eastAsia="楷体" w:hAnsi="楷体" w:cs="宋体" w:hint="eastAsia"/>
                <w:color w:val="000000"/>
                <w:kern w:val="0"/>
                <w:szCs w:val="22"/>
                <w14:ligatures w14:val="none"/>
              </w:rPr>
            </w:pPr>
            <w:r w:rsidRPr="00462CF2">
              <w:rPr>
                <w:rFonts w:ascii="楷体" w:eastAsia="楷体" w:hAnsi="楷体" w:cs="宋体" w:hint="eastAsia"/>
                <w:color w:val="000000"/>
                <w:kern w:val="0"/>
                <w:szCs w:val="22"/>
                <w14:ligatures w14:val="none"/>
              </w:rPr>
              <w:t>1.6T</w:t>
            </w:r>
          </w:p>
        </w:tc>
        <w:tc>
          <w:tcPr>
            <w:tcW w:w="944" w:type="dxa"/>
            <w:noWrap/>
            <w:vAlign w:val="center"/>
            <w:hideMark/>
          </w:tcPr>
          <w:p w14:paraId="080C0863" w14:textId="77777777" w:rsidR="00646D7A" w:rsidRPr="00462CF2" w:rsidRDefault="00646D7A" w:rsidP="004670C2">
            <w:pPr>
              <w:widowControl/>
              <w:spacing w:after="0" w:line="240" w:lineRule="auto"/>
              <w:rPr>
                <w:rFonts w:ascii="楷体" w:eastAsia="楷体" w:hAnsi="楷体" w:cs="宋体" w:hint="eastAsia"/>
                <w:color w:val="000000"/>
                <w:kern w:val="0"/>
                <w:szCs w:val="22"/>
                <w14:ligatures w14:val="none"/>
              </w:rPr>
            </w:pPr>
            <w:r w:rsidRPr="00462CF2">
              <w:rPr>
                <w:rFonts w:ascii="楷体" w:eastAsia="楷体" w:hAnsi="楷体" w:cs="宋体" w:hint="eastAsia"/>
                <w:color w:val="000000"/>
                <w:kern w:val="0"/>
                <w:szCs w:val="22"/>
                <w14:ligatures w14:val="none"/>
              </w:rPr>
              <w:t>成长期早期</w:t>
            </w:r>
          </w:p>
        </w:tc>
        <w:tc>
          <w:tcPr>
            <w:tcW w:w="4500" w:type="dxa"/>
            <w:noWrap/>
            <w:vAlign w:val="center"/>
            <w:hideMark/>
          </w:tcPr>
          <w:p w14:paraId="50AA6347" w14:textId="77777777" w:rsidR="00646D7A" w:rsidRPr="00462CF2" w:rsidRDefault="00646D7A" w:rsidP="004670C2">
            <w:pPr>
              <w:widowControl/>
              <w:spacing w:after="0" w:line="240" w:lineRule="auto"/>
              <w:rPr>
                <w:rFonts w:ascii="楷体" w:eastAsia="楷体" w:hAnsi="楷体" w:cs="宋体" w:hint="eastAsia"/>
                <w:color w:val="000000"/>
                <w:kern w:val="0"/>
                <w:szCs w:val="22"/>
                <w14:ligatures w14:val="none"/>
              </w:rPr>
            </w:pPr>
            <w:r w:rsidRPr="00462CF2">
              <w:rPr>
                <w:rFonts w:ascii="楷体" w:eastAsia="楷体" w:hAnsi="楷体" w:cs="宋体" w:hint="eastAsia"/>
                <w:color w:val="000000"/>
                <w:kern w:val="0"/>
                <w:szCs w:val="22"/>
                <w14:ligatures w14:val="none"/>
              </w:rPr>
              <w:t>2026年商业化元年，英伟达Rubin平台独占80%份额，ASP从1000美元降至850美元</w:t>
            </w:r>
          </w:p>
        </w:tc>
        <w:tc>
          <w:tcPr>
            <w:tcW w:w="2312" w:type="dxa"/>
            <w:noWrap/>
            <w:vAlign w:val="center"/>
            <w:hideMark/>
          </w:tcPr>
          <w:p w14:paraId="33AF862B" w14:textId="77777777" w:rsidR="00646D7A" w:rsidRPr="00462CF2" w:rsidRDefault="00646D7A" w:rsidP="004670C2">
            <w:pPr>
              <w:widowControl/>
              <w:spacing w:after="0" w:line="240" w:lineRule="auto"/>
              <w:rPr>
                <w:rFonts w:ascii="楷体" w:eastAsia="楷体" w:hAnsi="楷体" w:cs="宋体" w:hint="eastAsia"/>
                <w:color w:val="000000"/>
                <w:kern w:val="0"/>
                <w:szCs w:val="22"/>
                <w14:ligatures w14:val="none"/>
              </w:rPr>
            </w:pPr>
            <w:r w:rsidRPr="00462CF2">
              <w:rPr>
                <w:rFonts w:ascii="楷体" w:eastAsia="楷体" w:hAnsi="楷体" w:cs="宋体" w:hint="eastAsia"/>
                <w:color w:val="000000"/>
                <w:kern w:val="0"/>
                <w:szCs w:val="22"/>
                <w14:ligatures w14:val="none"/>
              </w:rPr>
              <w:t>英伟达GPU集群、下一代AI超算</w:t>
            </w:r>
          </w:p>
        </w:tc>
      </w:tr>
      <w:tr w:rsidR="00646D7A" w:rsidRPr="00462CF2" w14:paraId="696D6A4D" w14:textId="77777777" w:rsidTr="004670C2">
        <w:trPr>
          <w:trHeight w:val="285"/>
        </w:trPr>
        <w:tc>
          <w:tcPr>
            <w:tcW w:w="1319" w:type="dxa"/>
            <w:noWrap/>
            <w:vAlign w:val="center"/>
            <w:hideMark/>
          </w:tcPr>
          <w:p w14:paraId="6EED847B" w14:textId="77777777" w:rsidR="00646D7A" w:rsidRPr="00462CF2" w:rsidRDefault="00646D7A" w:rsidP="004670C2">
            <w:pPr>
              <w:widowControl/>
              <w:spacing w:after="0" w:line="240" w:lineRule="auto"/>
              <w:rPr>
                <w:rFonts w:ascii="楷体" w:eastAsia="楷体" w:hAnsi="楷体" w:cs="宋体" w:hint="eastAsia"/>
                <w:color w:val="000000"/>
                <w:kern w:val="0"/>
                <w:szCs w:val="22"/>
                <w14:ligatures w14:val="none"/>
              </w:rPr>
            </w:pPr>
            <w:r w:rsidRPr="00462CF2">
              <w:rPr>
                <w:rFonts w:ascii="楷体" w:eastAsia="楷体" w:hAnsi="楷体" w:cs="宋体" w:hint="eastAsia"/>
                <w:color w:val="000000"/>
                <w:kern w:val="0"/>
                <w:szCs w:val="22"/>
                <w14:ligatures w14:val="none"/>
              </w:rPr>
              <w:t>CPO/Scale-up</w:t>
            </w:r>
          </w:p>
        </w:tc>
        <w:tc>
          <w:tcPr>
            <w:tcW w:w="944" w:type="dxa"/>
            <w:noWrap/>
            <w:vAlign w:val="center"/>
            <w:hideMark/>
          </w:tcPr>
          <w:p w14:paraId="2900624A" w14:textId="77777777" w:rsidR="00646D7A" w:rsidRPr="00462CF2" w:rsidRDefault="00646D7A" w:rsidP="004670C2">
            <w:pPr>
              <w:widowControl/>
              <w:spacing w:after="0" w:line="240" w:lineRule="auto"/>
              <w:rPr>
                <w:rFonts w:ascii="楷体" w:eastAsia="楷体" w:hAnsi="楷体" w:cs="宋体" w:hint="eastAsia"/>
                <w:color w:val="000000"/>
                <w:kern w:val="0"/>
                <w:szCs w:val="22"/>
                <w14:ligatures w14:val="none"/>
              </w:rPr>
            </w:pPr>
            <w:r w:rsidRPr="00462CF2">
              <w:rPr>
                <w:rFonts w:ascii="楷体" w:eastAsia="楷体" w:hAnsi="楷体" w:cs="宋体" w:hint="eastAsia"/>
                <w:color w:val="000000"/>
                <w:kern w:val="0"/>
                <w:szCs w:val="22"/>
                <w14:ligatures w14:val="none"/>
              </w:rPr>
              <w:t>导入期</w:t>
            </w:r>
          </w:p>
        </w:tc>
        <w:tc>
          <w:tcPr>
            <w:tcW w:w="4500" w:type="dxa"/>
            <w:noWrap/>
            <w:vAlign w:val="center"/>
            <w:hideMark/>
          </w:tcPr>
          <w:p w14:paraId="0EC77140" w14:textId="77777777" w:rsidR="00646D7A" w:rsidRPr="00462CF2" w:rsidRDefault="00646D7A" w:rsidP="004670C2">
            <w:pPr>
              <w:widowControl/>
              <w:spacing w:after="0" w:line="240" w:lineRule="auto"/>
              <w:rPr>
                <w:rFonts w:ascii="楷体" w:eastAsia="楷体" w:hAnsi="楷体" w:cs="宋体" w:hint="eastAsia"/>
                <w:color w:val="000000"/>
                <w:kern w:val="0"/>
                <w:szCs w:val="22"/>
                <w14:ligatures w14:val="none"/>
              </w:rPr>
            </w:pPr>
            <w:r w:rsidRPr="00462CF2">
              <w:rPr>
                <w:rFonts w:ascii="楷体" w:eastAsia="楷体" w:hAnsi="楷体" w:cs="宋体" w:hint="eastAsia"/>
                <w:color w:val="000000"/>
                <w:kern w:val="0"/>
                <w:szCs w:val="22"/>
                <w14:ligatures w14:val="none"/>
              </w:rPr>
              <w:t>2026年渗透率仅3%，博通/台积电技术验证中，2027-2028关键卡位</w:t>
            </w:r>
          </w:p>
        </w:tc>
        <w:tc>
          <w:tcPr>
            <w:tcW w:w="2312" w:type="dxa"/>
            <w:noWrap/>
            <w:vAlign w:val="center"/>
            <w:hideMark/>
          </w:tcPr>
          <w:p w14:paraId="145058DA" w14:textId="77777777" w:rsidR="00646D7A" w:rsidRPr="00462CF2" w:rsidRDefault="00646D7A" w:rsidP="004670C2">
            <w:pPr>
              <w:widowControl/>
              <w:spacing w:after="0" w:line="240" w:lineRule="auto"/>
              <w:rPr>
                <w:rFonts w:ascii="楷体" w:eastAsia="楷体" w:hAnsi="楷体" w:cs="宋体" w:hint="eastAsia"/>
                <w:color w:val="000000"/>
                <w:kern w:val="0"/>
                <w:szCs w:val="22"/>
                <w14:ligatures w14:val="none"/>
              </w:rPr>
            </w:pPr>
            <w:r w:rsidRPr="00462CF2">
              <w:rPr>
                <w:rFonts w:ascii="楷体" w:eastAsia="楷体" w:hAnsi="楷体" w:cs="宋体" w:hint="eastAsia"/>
                <w:color w:val="000000"/>
                <w:kern w:val="0"/>
                <w:szCs w:val="22"/>
                <w14:ligatures w14:val="none"/>
              </w:rPr>
              <w:t>英伟达Rubin Ultra、谷歌TPU Ironwood</w:t>
            </w:r>
          </w:p>
        </w:tc>
      </w:tr>
    </w:tbl>
    <w:p w14:paraId="2593F446" w14:textId="77777777" w:rsidR="00646D7A" w:rsidRPr="00462CF2" w:rsidRDefault="00646D7A" w:rsidP="00646D7A">
      <w:pPr>
        <w:rPr>
          <w:rFonts w:ascii="楷体" w:eastAsia="楷体" w:hAnsi="楷体" w:hint="eastAsia"/>
        </w:rPr>
      </w:pPr>
      <w:r w:rsidRPr="00462CF2">
        <w:rPr>
          <w:rFonts w:ascii="楷体" w:eastAsia="楷体" w:hAnsi="楷体" w:hint="eastAsia"/>
        </w:rPr>
        <w:t>而对于未来的路线，则远未称得上收敛</w:t>
      </w:r>
    </w:p>
    <w:p w14:paraId="380EF546" w14:textId="77777777" w:rsidR="00646D7A" w:rsidRPr="00462CF2" w:rsidRDefault="00646D7A" w:rsidP="00646D7A">
      <w:pPr>
        <w:rPr>
          <w:rFonts w:ascii="楷体" w:eastAsia="楷体" w:hAnsi="楷体" w:hint="eastAsia"/>
          <w:sz w:val="24"/>
        </w:rPr>
      </w:pPr>
      <w:r w:rsidRPr="00462CF2">
        <w:rPr>
          <w:rFonts w:ascii="楷体" w:eastAsia="楷体" w:hAnsi="楷体"/>
          <w:noProof/>
          <w:sz w:val="24"/>
        </w:rPr>
        <w:lastRenderedPageBreak/>
        <w:drawing>
          <wp:inline distT="0" distB="0" distL="0" distR="0" wp14:anchorId="61D1757F" wp14:editId="3A23DC27">
            <wp:extent cx="5432312" cy="3036627"/>
            <wp:effectExtent l="0" t="0" r="0" b="0"/>
            <wp:docPr id="405628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40178" cy="3041024"/>
                    </a:xfrm>
                    <a:prstGeom prst="rect">
                      <a:avLst/>
                    </a:prstGeom>
                    <a:noFill/>
                    <a:ln>
                      <a:noFill/>
                    </a:ln>
                  </pic:spPr>
                </pic:pic>
              </a:graphicData>
            </a:graphic>
          </wp:inline>
        </w:drawing>
      </w:r>
    </w:p>
    <w:p w14:paraId="30E46216" w14:textId="77777777" w:rsidR="00646D7A" w:rsidRPr="00462CF2" w:rsidRDefault="00646D7A" w:rsidP="00646D7A">
      <w:pPr>
        <w:ind w:firstLineChars="200" w:firstLine="320"/>
        <w:rPr>
          <w:rFonts w:ascii="楷体" w:eastAsia="楷体" w:hAnsi="楷体" w:hint="eastAsia"/>
          <w:sz w:val="16"/>
          <w:szCs w:val="16"/>
        </w:rPr>
      </w:pPr>
      <w:r w:rsidRPr="00462CF2">
        <w:rPr>
          <w:rFonts w:ascii="楷体" w:eastAsia="楷体" w:hAnsi="楷体" w:hint="eastAsia"/>
          <w:sz w:val="16"/>
          <w:szCs w:val="16"/>
        </w:rPr>
        <w:t>数据来源：申万宏源研究</w:t>
      </w:r>
    </w:p>
    <w:p w14:paraId="4493AFCC" w14:textId="77777777" w:rsidR="00646D7A" w:rsidRPr="00462CF2" w:rsidRDefault="00646D7A" w:rsidP="00646D7A">
      <w:pPr>
        <w:rPr>
          <w:rFonts w:ascii="楷体" w:eastAsia="楷体" w:hAnsi="楷体" w:hint="eastAsia"/>
        </w:rPr>
      </w:pPr>
    </w:p>
    <w:p w14:paraId="3E851411" w14:textId="55DDF7C1" w:rsidR="00646D7A" w:rsidRPr="00462CF2" w:rsidRDefault="0028046D" w:rsidP="00646D7A">
      <w:pPr>
        <w:rPr>
          <w:rFonts w:ascii="楷体" w:eastAsia="楷体" w:hAnsi="楷体" w:hint="eastAsia"/>
        </w:rPr>
      </w:pPr>
      <w:r w:rsidRPr="00462CF2">
        <w:rPr>
          <w:rFonts w:ascii="楷体" w:eastAsia="楷体" w:hAnsi="楷体" w:hint="eastAsia"/>
        </w:rPr>
        <w:t>超节点的情况</w:t>
      </w:r>
    </w:p>
    <w:p w14:paraId="41C7B098" w14:textId="2A384C9A" w:rsidR="0028046D" w:rsidRPr="00646D7A" w:rsidRDefault="0028046D" w:rsidP="00646D7A">
      <w:pPr>
        <w:rPr>
          <w:rFonts w:hint="eastAsia"/>
        </w:rPr>
      </w:pPr>
      <w:r>
        <w:rPr>
          <w:noProof/>
        </w:rPr>
        <w:drawing>
          <wp:inline distT="0" distB="0" distL="0" distR="0" wp14:anchorId="4CDF770D" wp14:editId="2808303D">
            <wp:extent cx="5274310" cy="2018030"/>
            <wp:effectExtent l="0" t="0" r="2540" b="1270"/>
            <wp:docPr id="629454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54086" name=""/>
                    <pic:cNvPicPr/>
                  </pic:nvPicPr>
                  <pic:blipFill>
                    <a:blip r:embed="rId16"/>
                    <a:stretch>
                      <a:fillRect/>
                    </a:stretch>
                  </pic:blipFill>
                  <pic:spPr>
                    <a:xfrm>
                      <a:off x="0" y="0"/>
                      <a:ext cx="5274310" cy="2018030"/>
                    </a:xfrm>
                    <a:prstGeom prst="rect">
                      <a:avLst/>
                    </a:prstGeom>
                  </pic:spPr>
                </pic:pic>
              </a:graphicData>
            </a:graphic>
          </wp:inline>
        </w:drawing>
      </w:r>
    </w:p>
    <w:p w14:paraId="1B82D015" w14:textId="5C18E8F6" w:rsidR="00F528BF" w:rsidRDefault="00BD7180" w:rsidP="007C571C">
      <w:pPr>
        <w:pStyle w:val="3"/>
        <w:rPr>
          <w:rFonts w:ascii="楷体" w:eastAsia="楷体" w:hAnsi="楷体"/>
        </w:rPr>
      </w:pPr>
      <w:r w:rsidRPr="002235CF">
        <w:rPr>
          <w:rFonts w:ascii="楷体" w:eastAsia="楷体" w:hAnsi="楷体" w:hint="eastAsia"/>
        </w:rPr>
        <w:t>3.</w:t>
      </w:r>
      <w:r w:rsidR="00D17872" w:rsidRPr="002235CF">
        <w:rPr>
          <w:rFonts w:ascii="楷体" w:eastAsia="楷体" w:hAnsi="楷体" w:hint="eastAsia"/>
        </w:rPr>
        <w:t>2.2</w:t>
      </w:r>
      <w:r w:rsidR="00F528BF" w:rsidRPr="002235CF">
        <w:rPr>
          <w:rFonts w:ascii="楷体" w:eastAsia="楷体" w:hAnsi="楷体" w:hint="eastAsia"/>
        </w:rPr>
        <w:t>需求</w:t>
      </w:r>
      <w:r w:rsidR="002235CF" w:rsidRPr="002235CF">
        <w:rPr>
          <w:rFonts w:ascii="楷体" w:eastAsia="楷体" w:hAnsi="楷体" w:hint="eastAsia"/>
        </w:rPr>
        <w:t xml:space="preserve">：ai驱动带来巨量需求 </w:t>
      </w:r>
    </w:p>
    <w:p w14:paraId="7E834EC6" w14:textId="51D678F9" w:rsidR="006835C2" w:rsidRPr="006835C2" w:rsidRDefault="006835C2" w:rsidP="006835C2">
      <w:pPr>
        <w:rPr>
          <w:rFonts w:hint="eastAsia"/>
        </w:rPr>
      </w:pPr>
      <w:r>
        <w:rPr>
          <w:rFonts w:hint="eastAsia"/>
        </w:rPr>
        <w:t>银河4.13是分析供需的好材料</w:t>
      </w:r>
    </w:p>
    <w:p w14:paraId="64B64929" w14:textId="13F50ABB" w:rsidR="00D57B1D" w:rsidRDefault="00D57B1D" w:rsidP="00D57B1D">
      <w:pPr>
        <w:rPr>
          <w:rFonts w:ascii="楷体" w:eastAsia="楷体" w:hAnsi="楷体" w:hint="eastAsia"/>
          <w:sz w:val="24"/>
        </w:rPr>
      </w:pPr>
      <w:r>
        <w:rPr>
          <w:rFonts w:ascii="楷体" w:eastAsia="楷体" w:hAnsi="楷体" w:hint="eastAsia"/>
          <w:sz w:val="24"/>
        </w:rPr>
        <w:t>以四大云厂为标志，2026年的Capex上修合计近7000亿美元，接近2025年的两倍。这种量级远超三大运营商2898亿元的开支</w:t>
      </w:r>
    </w:p>
    <w:p w14:paraId="4021A3E1" w14:textId="77777777" w:rsidR="00D57B1D" w:rsidRPr="00886A8B" w:rsidRDefault="00D57B1D" w:rsidP="00D57B1D">
      <w:pPr>
        <w:jc w:val="center"/>
        <w:rPr>
          <w:rFonts w:ascii="楷体" w:eastAsia="楷体" w:hAnsi="楷体" w:hint="eastAsia"/>
          <w:sz w:val="21"/>
          <w:szCs w:val="21"/>
        </w:rPr>
      </w:pPr>
      <w:r w:rsidRPr="00886A8B">
        <w:rPr>
          <w:rFonts w:ascii="楷体" w:eastAsia="楷体" w:hAnsi="楷体" w:hint="eastAsia"/>
          <w:sz w:val="21"/>
          <w:szCs w:val="21"/>
        </w:rPr>
        <w:t>表：四大云厂25-26开支及增长率</w:t>
      </w:r>
    </w:p>
    <w:tbl>
      <w:tblPr>
        <w:tblStyle w:val="af2"/>
        <w:tblW w:w="0" w:type="auto"/>
        <w:tblInd w:w="279" w:type="dxa"/>
        <w:tblLook w:val="04A0" w:firstRow="1" w:lastRow="0" w:firstColumn="1" w:lastColumn="0" w:noHBand="0" w:noVBand="1"/>
      </w:tblPr>
      <w:tblGrid>
        <w:gridCol w:w="1559"/>
        <w:gridCol w:w="1858"/>
        <w:gridCol w:w="2253"/>
        <w:gridCol w:w="1701"/>
      </w:tblGrid>
      <w:tr w:rsidR="00D57B1D" w:rsidRPr="00886A8B" w14:paraId="724718E9" w14:textId="77777777" w:rsidTr="004670C2">
        <w:tc>
          <w:tcPr>
            <w:tcW w:w="1559" w:type="dxa"/>
          </w:tcPr>
          <w:p w14:paraId="6598BD7C"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四大云商</w:t>
            </w:r>
          </w:p>
        </w:tc>
        <w:tc>
          <w:tcPr>
            <w:tcW w:w="1858" w:type="dxa"/>
          </w:tcPr>
          <w:p w14:paraId="2FAA3A94"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25Capex</w:t>
            </w:r>
          </w:p>
        </w:tc>
        <w:tc>
          <w:tcPr>
            <w:tcW w:w="2253" w:type="dxa"/>
          </w:tcPr>
          <w:p w14:paraId="30961543"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26CapexE</w:t>
            </w:r>
          </w:p>
        </w:tc>
        <w:tc>
          <w:tcPr>
            <w:tcW w:w="1701" w:type="dxa"/>
          </w:tcPr>
          <w:p w14:paraId="08BA687C"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增长率</w:t>
            </w:r>
          </w:p>
        </w:tc>
      </w:tr>
      <w:tr w:rsidR="00D57B1D" w:rsidRPr="00886A8B" w14:paraId="4DB28F10" w14:textId="77777777" w:rsidTr="004670C2">
        <w:tc>
          <w:tcPr>
            <w:tcW w:w="1559" w:type="dxa"/>
          </w:tcPr>
          <w:p w14:paraId="2C93A7DE"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谷歌</w:t>
            </w:r>
          </w:p>
        </w:tc>
        <w:tc>
          <w:tcPr>
            <w:tcW w:w="1858" w:type="dxa"/>
          </w:tcPr>
          <w:p w14:paraId="379BC7FD"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914亿美元</w:t>
            </w:r>
          </w:p>
        </w:tc>
        <w:tc>
          <w:tcPr>
            <w:tcW w:w="2253" w:type="dxa"/>
          </w:tcPr>
          <w:p w14:paraId="6E5414AA"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1750-1850亿美元</w:t>
            </w:r>
          </w:p>
        </w:tc>
        <w:tc>
          <w:tcPr>
            <w:tcW w:w="1701" w:type="dxa"/>
          </w:tcPr>
          <w:p w14:paraId="2AA9C335"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91.5%-102.4%</w:t>
            </w:r>
          </w:p>
        </w:tc>
      </w:tr>
      <w:tr w:rsidR="00D57B1D" w:rsidRPr="00886A8B" w14:paraId="699F42FC" w14:textId="77777777" w:rsidTr="004670C2">
        <w:tc>
          <w:tcPr>
            <w:tcW w:w="1559" w:type="dxa"/>
          </w:tcPr>
          <w:p w14:paraId="5627253D"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亚马逊</w:t>
            </w:r>
          </w:p>
        </w:tc>
        <w:tc>
          <w:tcPr>
            <w:tcW w:w="1858" w:type="dxa"/>
          </w:tcPr>
          <w:p w14:paraId="36CC797D"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1318亿美元</w:t>
            </w:r>
          </w:p>
        </w:tc>
        <w:tc>
          <w:tcPr>
            <w:tcW w:w="2253" w:type="dxa"/>
          </w:tcPr>
          <w:p w14:paraId="5D5D9291"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2000亿美元</w:t>
            </w:r>
          </w:p>
        </w:tc>
        <w:tc>
          <w:tcPr>
            <w:tcW w:w="1701" w:type="dxa"/>
          </w:tcPr>
          <w:p w14:paraId="69CC9C90"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51.7%</w:t>
            </w:r>
          </w:p>
        </w:tc>
      </w:tr>
      <w:tr w:rsidR="00D57B1D" w:rsidRPr="00886A8B" w14:paraId="4C123F1F" w14:textId="77777777" w:rsidTr="004670C2">
        <w:tc>
          <w:tcPr>
            <w:tcW w:w="1559" w:type="dxa"/>
          </w:tcPr>
          <w:p w14:paraId="1DD9B55C"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lastRenderedPageBreak/>
              <w:t>微软</w:t>
            </w:r>
            <w:r>
              <w:rPr>
                <w:rFonts w:ascii="楷体" w:eastAsia="楷体" w:hAnsi="楷体" w:hint="eastAsia"/>
                <w:sz w:val="21"/>
                <w:szCs w:val="21"/>
              </w:rPr>
              <w:t>（含测）</w:t>
            </w:r>
          </w:p>
        </w:tc>
        <w:tc>
          <w:tcPr>
            <w:tcW w:w="1858" w:type="dxa"/>
          </w:tcPr>
          <w:p w14:paraId="440F4EE8"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842亿美元</w:t>
            </w:r>
          </w:p>
        </w:tc>
        <w:tc>
          <w:tcPr>
            <w:tcW w:w="2253" w:type="dxa"/>
          </w:tcPr>
          <w:p w14:paraId="1A52F4DF"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1500-1650亿美元</w:t>
            </w:r>
          </w:p>
        </w:tc>
        <w:tc>
          <w:tcPr>
            <w:tcW w:w="1701" w:type="dxa"/>
          </w:tcPr>
          <w:p w14:paraId="7B88D9A3"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78.1%-95.9%</w:t>
            </w:r>
          </w:p>
        </w:tc>
      </w:tr>
      <w:tr w:rsidR="00D57B1D" w:rsidRPr="00886A8B" w14:paraId="745E3154" w14:textId="77777777" w:rsidTr="004670C2">
        <w:tc>
          <w:tcPr>
            <w:tcW w:w="1559" w:type="dxa"/>
          </w:tcPr>
          <w:p w14:paraId="730C5A4E"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Meta</w:t>
            </w:r>
          </w:p>
        </w:tc>
        <w:tc>
          <w:tcPr>
            <w:tcW w:w="1858" w:type="dxa"/>
          </w:tcPr>
          <w:p w14:paraId="3BF15E91"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722亿美元</w:t>
            </w:r>
          </w:p>
        </w:tc>
        <w:tc>
          <w:tcPr>
            <w:tcW w:w="2253" w:type="dxa"/>
          </w:tcPr>
          <w:p w14:paraId="35C5C0CF"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1150-1350亿美元</w:t>
            </w:r>
          </w:p>
        </w:tc>
        <w:tc>
          <w:tcPr>
            <w:tcW w:w="1701" w:type="dxa"/>
          </w:tcPr>
          <w:p w14:paraId="7E82A0C2"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59.2%-86.9%</w:t>
            </w:r>
          </w:p>
        </w:tc>
      </w:tr>
      <w:tr w:rsidR="00D57B1D" w:rsidRPr="00886A8B" w14:paraId="58C91B58" w14:textId="77777777" w:rsidTr="004670C2">
        <w:tc>
          <w:tcPr>
            <w:tcW w:w="1559" w:type="dxa"/>
          </w:tcPr>
          <w:p w14:paraId="5C975149"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合计</w:t>
            </w:r>
          </w:p>
        </w:tc>
        <w:tc>
          <w:tcPr>
            <w:tcW w:w="1858" w:type="dxa"/>
          </w:tcPr>
          <w:p w14:paraId="34163B68"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3796亿美元</w:t>
            </w:r>
          </w:p>
        </w:tc>
        <w:tc>
          <w:tcPr>
            <w:tcW w:w="2253" w:type="dxa"/>
          </w:tcPr>
          <w:p w14:paraId="53F1CF1C"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6400-6850亿美元</w:t>
            </w:r>
          </w:p>
        </w:tc>
        <w:tc>
          <w:tcPr>
            <w:tcW w:w="1701" w:type="dxa"/>
          </w:tcPr>
          <w:p w14:paraId="7EA34633"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68.6%-80.5%</w:t>
            </w:r>
          </w:p>
        </w:tc>
      </w:tr>
    </w:tbl>
    <w:p w14:paraId="362AF2E2" w14:textId="77777777" w:rsidR="00D57B1D" w:rsidRDefault="00D57B1D" w:rsidP="00D57B1D">
      <w:pPr>
        <w:ind w:firstLineChars="200" w:firstLine="320"/>
        <w:rPr>
          <w:rFonts w:ascii="楷体" w:eastAsia="楷体" w:hAnsi="楷体" w:hint="eastAsia"/>
          <w:sz w:val="16"/>
          <w:szCs w:val="16"/>
        </w:rPr>
      </w:pPr>
      <w:r w:rsidRPr="00776B4D">
        <w:rPr>
          <w:rFonts w:ascii="楷体" w:eastAsia="楷体" w:hAnsi="楷体" w:hint="eastAsia"/>
          <w:sz w:val="16"/>
          <w:szCs w:val="16"/>
        </w:rPr>
        <w:t>数据来源：长江证券，川江测算</w:t>
      </w:r>
    </w:p>
    <w:p w14:paraId="28B4A1DE" w14:textId="77777777" w:rsidR="00D57B1D" w:rsidRPr="00776B4D" w:rsidRDefault="00D57B1D" w:rsidP="00D57B1D">
      <w:pPr>
        <w:ind w:firstLineChars="200" w:firstLine="320"/>
        <w:rPr>
          <w:rFonts w:ascii="楷体" w:eastAsia="楷体" w:hAnsi="楷体" w:hint="eastAsia"/>
          <w:sz w:val="16"/>
          <w:szCs w:val="16"/>
        </w:rPr>
      </w:pPr>
      <w:r>
        <w:rPr>
          <w:rFonts w:ascii="楷体" w:eastAsia="楷体" w:hAnsi="楷体" w:hint="eastAsia"/>
          <w:sz w:val="16"/>
          <w:szCs w:val="16"/>
        </w:rPr>
        <w:t>建议取华泰50+增速，长江有点太高了</w:t>
      </w:r>
    </w:p>
    <w:p w14:paraId="15EDE795" w14:textId="77777777" w:rsidR="00253985" w:rsidRPr="00B06509" w:rsidRDefault="00253985" w:rsidP="00253985">
      <w:pPr>
        <w:rPr>
          <w:rFonts w:ascii="楷体" w:eastAsia="楷体" w:hAnsi="楷体" w:hint="eastAsia"/>
        </w:rPr>
      </w:pPr>
      <w:r w:rsidRPr="00B06509">
        <w:rPr>
          <w:rFonts w:ascii="楷体" w:eastAsia="楷体" w:hAnsi="楷体"/>
        </w:rPr>
        <w:t>一、需求从哪里来——两条主线</w:t>
      </w:r>
      <w:r w:rsidRPr="00B06509">
        <w:rPr>
          <w:rFonts w:ascii="楷体" w:eastAsia="楷体" w:hAnsi="楷体"/>
        </w:rPr>
        <w:br/>
      </w:r>
      <w:r w:rsidRPr="00B06509">
        <w:rPr>
          <w:rFonts w:ascii="楷体" w:eastAsia="楷体" w:hAnsi="楷体"/>
        </w:rPr>
        <w:br/>
        <w:t>1. 海外：AI训练集群规模持续膨胀</w:t>
      </w:r>
    </w:p>
    <w:p w14:paraId="62DA070F" w14:textId="77777777" w:rsidR="00253985" w:rsidRPr="00B06509" w:rsidRDefault="00253985" w:rsidP="00253985">
      <w:pPr>
        <w:numPr>
          <w:ilvl w:val="0"/>
          <w:numId w:val="5"/>
        </w:numPr>
        <w:rPr>
          <w:rFonts w:ascii="楷体" w:eastAsia="楷体" w:hAnsi="楷体" w:hint="eastAsia"/>
        </w:rPr>
      </w:pPr>
      <w:r w:rsidRPr="00B06509">
        <w:rPr>
          <w:rFonts w:ascii="楷体" w:eastAsia="楷体" w:hAnsi="楷体"/>
          <w:highlight w:val="yellow"/>
        </w:rPr>
        <w:t>四大云商</w:t>
      </w:r>
      <w:r w:rsidRPr="00B06509">
        <w:rPr>
          <w:rFonts w:ascii="楷体" w:eastAsia="楷体" w:hAnsi="楷体"/>
        </w:rPr>
        <w:t>（微软、谷歌、Meta、亚马逊）26年Capex全面高增，AI投入已形成"投入→变现→再投入"的闭环</w:t>
      </w:r>
    </w:p>
    <w:p w14:paraId="614DB2AC" w14:textId="77777777" w:rsidR="00253985" w:rsidRPr="00B06509" w:rsidRDefault="00253985" w:rsidP="00253985">
      <w:pPr>
        <w:numPr>
          <w:ilvl w:val="0"/>
          <w:numId w:val="6"/>
        </w:numPr>
        <w:rPr>
          <w:rFonts w:ascii="楷体" w:eastAsia="楷体" w:hAnsi="楷体" w:hint="eastAsia"/>
        </w:rPr>
      </w:pPr>
      <w:r w:rsidRPr="00B06509">
        <w:rPr>
          <w:rFonts w:ascii="楷体" w:eastAsia="楷体" w:hAnsi="楷体"/>
        </w:rPr>
        <w:t>Meta表示正在加速建设GW级别超大规模集群</w:t>
      </w:r>
    </w:p>
    <w:p w14:paraId="7CCC63B8" w14:textId="77777777" w:rsidR="00253985" w:rsidRPr="00B06509" w:rsidRDefault="00253985" w:rsidP="00253985">
      <w:pPr>
        <w:numPr>
          <w:ilvl w:val="0"/>
          <w:numId w:val="7"/>
        </w:numPr>
        <w:rPr>
          <w:rFonts w:ascii="楷体" w:eastAsia="楷体" w:hAnsi="楷体" w:hint="eastAsia"/>
        </w:rPr>
      </w:pPr>
      <w:r w:rsidRPr="00B06509">
        <w:rPr>
          <w:rFonts w:ascii="楷体" w:eastAsia="楷体" w:hAnsi="楷体"/>
          <w:highlight w:val="yellow"/>
        </w:rPr>
        <w:t>英伟达Blackwell需求强劲</w:t>
      </w:r>
      <w:r w:rsidRPr="00B06509">
        <w:rPr>
          <w:rFonts w:ascii="楷体" w:eastAsia="楷体" w:hAnsi="楷体"/>
        </w:rPr>
        <w:t>，网络业务同比+263%；Rubin平台26H2量产</w:t>
      </w:r>
    </w:p>
    <w:p w14:paraId="481A97FC" w14:textId="77777777" w:rsidR="00253985" w:rsidRPr="00B06509" w:rsidRDefault="00253985" w:rsidP="00253985">
      <w:pPr>
        <w:rPr>
          <w:rFonts w:ascii="楷体" w:eastAsia="楷体" w:hAnsi="楷体" w:hint="eastAsia"/>
        </w:rPr>
      </w:pPr>
      <w:r w:rsidRPr="00B06509">
        <w:rPr>
          <w:rFonts w:ascii="楷体" w:eastAsia="楷体" w:hAnsi="楷体"/>
        </w:rPr>
        <w:t>2. 国内：推理算力需求爆发</w:t>
      </w:r>
    </w:p>
    <w:p w14:paraId="3F45680D" w14:textId="77777777" w:rsidR="00253985" w:rsidRPr="00B06509" w:rsidRDefault="00253985" w:rsidP="00253985">
      <w:pPr>
        <w:numPr>
          <w:ilvl w:val="0"/>
          <w:numId w:val="8"/>
        </w:numPr>
        <w:rPr>
          <w:rFonts w:ascii="楷体" w:eastAsia="楷体" w:hAnsi="楷体" w:hint="eastAsia"/>
        </w:rPr>
      </w:pPr>
      <w:r w:rsidRPr="00B06509">
        <w:rPr>
          <w:rFonts w:ascii="楷体" w:eastAsia="楷体" w:hAnsi="楷体"/>
        </w:rPr>
        <w:t>中国AI大模型周</w:t>
      </w:r>
      <w:r w:rsidRPr="00B06509">
        <w:rPr>
          <w:rFonts w:ascii="楷体" w:eastAsia="楷体" w:hAnsi="楷体"/>
          <w:highlight w:val="yellow"/>
        </w:rPr>
        <w:t>调用量</w:t>
      </w:r>
      <w:r w:rsidRPr="00B06509">
        <w:rPr>
          <w:rFonts w:ascii="楷体" w:eastAsia="楷体" w:hAnsi="楷体"/>
        </w:rPr>
        <w:t>已达12.96万亿Token（周环比+31.5%）</w:t>
      </w:r>
    </w:p>
    <w:p w14:paraId="64B59BD4" w14:textId="03A64EA4" w:rsidR="00253985" w:rsidRPr="00B06509" w:rsidRDefault="00253985" w:rsidP="00253985">
      <w:pPr>
        <w:numPr>
          <w:ilvl w:val="0"/>
          <w:numId w:val="9"/>
        </w:numPr>
        <w:rPr>
          <w:rFonts w:ascii="楷体" w:eastAsia="楷体" w:hAnsi="楷体" w:hint="eastAsia"/>
        </w:rPr>
      </w:pPr>
      <w:r w:rsidRPr="00B06509">
        <w:rPr>
          <w:rFonts w:ascii="楷体" w:eastAsia="楷体" w:hAnsi="楷体"/>
          <w:highlight w:val="yellow"/>
        </w:rPr>
        <w:t>推理算力</w:t>
      </w:r>
      <w:r w:rsidR="00AF50D7" w:rsidRPr="00B06509">
        <w:rPr>
          <w:rFonts w:ascii="楷体" w:eastAsia="楷体" w:hAnsi="楷体" w:hint="eastAsia"/>
          <w:highlight w:val="yellow"/>
        </w:rPr>
        <w:t>（意味着什么）</w:t>
      </w:r>
      <w:r w:rsidRPr="00B06509">
        <w:rPr>
          <w:rFonts w:ascii="楷体" w:eastAsia="楷体" w:hAnsi="楷体"/>
        </w:rPr>
        <w:t>增速预期将超过训练算力（银河证券判断）</w:t>
      </w:r>
    </w:p>
    <w:p w14:paraId="2627FD71" w14:textId="1BEA15B2" w:rsidR="00253985" w:rsidRPr="00B06509" w:rsidRDefault="00253985" w:rsidP="00253985">
      <w:pPr>
        <w:numPr>
          <w:ilvl w:val="0"/>
          <w:numId w:val="10"/>
        </w:numPr>
        <w:rPr>
          <w:rFonts w:ascii="楷体" w:eastAsia="楷体" w:hAnsi="楷体" w:hint="eastAsia"/>
        </w:rPr>
      </w:pPr>
      <w:r w:rsidRPr="00B06509">
        <w:rPr>
          <w:rFonts w:ascii="楷体" w:eastAsia="楷体" w:hAnsi="楷体"/>
          <w:highlight w:val="yellow"/>
        </w:rPr>
        <w:t>腾讯云</w:t>
      </w:r>
      <w:r w:rsidR="00AF50D7" w:rsidRPr="00B06509">
        <w:rPr>
          <w:rFonts w:ascii="楷体" w:eastAsia="楷体" w:hAnsi="楷体" w:hint="eastAsia"/>
          <w:highlight w:val="yellow"/>
        </w:rPr>
        <w:t>（好几个云的提价都可以写一写）</w:t>
      </w:r>
      <w:r w:rsidRPr="00B06509">
        <w:rPr>
          <w:rFonts w:ascii="楷体" w:eastAsia="楷体" w:hAnsi="楷体"/>
        </w:rPr>
        <w:t>已宣布AI算力涨价5%，说明供需偏紧已传导至下游</w:t>
      </w:r>
    </w:p>
    <w:p w14:paraId="6732A154" w14:textId="77777777" w:rsidR="00253985" w:rsidRPr="00B06509" w:rsidRDefault="00253985" w:rsidP="00253985">
      <w:pPr>
        <w:numPr>
          <w:ilvl w:val="0"/>
          <w:numId w:val="11"/>
        </w:numPr>
        <w:rPr>
          <w:rFonts w:ascii="楷体" w:eastAsia="楷体" w:hAnsi="楷体" w:hint="eastAsia"/>
        </w:rPr>
      </w:pPr>
      <w:r w:rsidRPr="00B06509">
        <w:rPr>
          <w:rFonts w:ascii="楷体" w:eastAsia="楷体" w:hAnsi="楷体"/>
        </w:rPr>
        <w:t>运营商集团层面首次AI超节点集采（移动1万卡），国产算力进入放量元年</w:t>
      </w:r>
    </w:p>
    <w:p w14:paraId="1C640615" w14:textId="77777777" w:rsidR="00253985" w:rsidRPr="00B06509" w:rsidRDefault="00253985" w:rsidP="00253985">
      <w:pPr>
        <w:rPr>
          <w:rFonts w:ascii="楷体" w:eastAsia="楷体" w:hAnsi="楷体" w:hint="eastAsia"/>
        </w:rPr>
      </w:pPr>
      <w:r w:rsidRPr="00B06509">
        <w:rPr>
          <w:rFonts w:ascii="楷体" w:eastAsia="楷体" w:hAnsi="楷体"/>
        </w:rPr>
        <w:t>二、需求有多强——关键信号</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1"/>
        <w:gridCol w:w="3652"/>
        <w:gridCol w:w="2233"/>
      </w:tblGrid>
      <w:tr w:rsidR="00253985" w:rsidRPr="00B06509" w14:paraId="6E9E52E8" w14:textId="77777777">
        <w:trPr>
          <w:tblHeader/>
          <w:tblCellSpacing w:w="15" w:type="dxa"/>
        </w:trPr>
        <w:tc>
          <w:tcPr>
            <w:tcW w:w="0" w:type="auto"/>
            <w:vAlign w:val="center"/>
            <w:hideMark/>
          </w:tcPr>
          <w:p w14:paraId="444A230E" w14:textId="77777777" w:rsidR="00253985" w:rsidRPr="00B06509" w:rsidRDefault="00253985" w:rsidP="00253985">
            <w:pPr>
              <w:rPr>
                <w:rFonts w:ascii="楷体" w:eastAsia="楷体" w:hAnsi="楷体" w:hint="eastAsia"/>
                <w:b/>
                <w:bCs/>
              </w:rPr>
            </w:pPr>
            <w:r w:rsidRPr="00B06509">
              <w:rPr>
                <w:rFonts w:ascii="楷体" w:eastAsia="楷体" w:hAnsi="楷体"/>
                <w:b/>
                <w:bCs/>
              </w:rPr>
              <w:t>指标</w:t>
            </w:r>
          </w:p>
        </w:tc>
        <w:tc>
          <w:tcPr>
            <w:tcW w:w="0" w:type="auto"/>
            <w:vAlign w:val="center"/>
            <w:hideMark/>
          </w:tcPr>
          <w:p w14:paraId="6B2F983D" w14:textId="77777777" w:rsidR="00253985" w:rsidRPr="00B06509" w:rsidRDefault="00253985" w:rsidP="00253985">
            <w:pPr>
              <w:rPr>
                <w:rFonts w:ascii="楷体" w:eastAsia="楷体" w:hAnsi="楷体" w:hint="eastAsia"/>
                <w:b/>
                <w:bCs/>
              </w:rPr>
            </w:pPr>
            <w:r w:rsidRPr="00B06509">
              <w:rPr>
                <w:rFonts w:ascii="楷体" w:eastAsia="楷体" w:hAnsi="楷体"/>
                <w:b/>
                <w:bCs/>
              </w:rPr>
              <w:t>数据</w:t>
            </w:r>
          </w:p>
        </w:tc>
        <w:tc>
          <w:tcPr>
            <w:tcW w:w="0" w:type="auto"/>
            <w:vAlign w:val="center"/>
            <w:hideMark/>
          </w:tcPr>
          <w:p w14:paraId="1BF0594B" w14:textId="77777777" w:rsidR="00253985" w:rsidRPr="00B06509" w:rsidRDefault="00253985" w:rsidP="00253985">
            <w:pPr>
              <w:rPr>
                <w:rFonts w:ascii="楷体" w:eastAsia="楷体" w:hAnsi="楷体" w:hint="eastAsia"/>
                <w:b/>
                <w:bCs/>
              </w:rPr>
            </w:pPr>
            <w:r w:rsidRPr="00B06509">
              <w:rPr>
                <w:rFonts w:ascii="楷体" w:eastAsia="楷体" w:hAnsi="楷体"/>
                <w:b/>
                <w:bCs/>
              </w:rPr>
              <w:t>来源</w:t>
            </w:r>
          </w:p>
        </w:tc>
      </w:tr>
      <w:tr w:rsidR="00253985" w:rsidRPr="00B06509" w14:paraId="74598E9B" w14:textId="77777777">
        <w:trPr>
          <w:tblCellSpacing w:w="15" w:type="dxa"/>
        </w:trPr>
        <w:tc>
          <w:tcPr>
            <w:tcW w:w="0" w:type="auto"/>
            <w:vAlign w:val="center"/>
            <w:hideMark/>
          </w:tcPr>
          <w:p w14:paraId="4ADF851E" w14:textId="77777777" w:rsidR="00253985" w:rsidRPr="00B06509" w:rsidRDefault="00253985" w:rsidP="00253985">
            <w:pPr>
              <w:rPr>
                <w:rFonts w:ascii="楷体" w:eastAsia="楷体" w:hAnsi="楷体" w:hint="eastAsia"/>
              </w:rPr>
            </w:pPr>
            <w:r w:rsidRPr="00B06509">
              <w:rPr>
                <w:rFonts w:ascii="楷体" w:eastAsia="楷体" w:hAnsi="楷体"/>
              </w:rPr>
              <w:t>Lumentum订单</w:t>
            </w:r>
          </w:p>
        </w:tc>
        <w:tc>
          <w:tcPr>
            <w:tcW w:w="0" w:type="auto"/>
            <w:vAlign w:val="center"/>
            <w:hideMark/>
          </w:tcPr>
          <w:p w14:paraId="7C02AD08" w14:textId="77777777" w:rsidR="00253985" w:rsidRPr="00B06509" w:rsidRDefault="00253985" w:rsidP="00253985">
            <w:pPr>
              <w:rPr>
                <w:rFonts w:ascii="楷体" w:eastAsia="楷体" w:hAnsi="楷体" w:hint="eastAsia"/>
              </w:rPr>
            </w:pPr>
            <w:r w:rsidRPr="00B06509">
              <w:rPr>
                <w:rFonts w:ascii="楷体" w:eastAsia="楷体" w:hAnsi="楷体"/>
              </w:rPr>
              <w:t>排至2028年，再过两个季度全年产能订满</w:t>
            </w:r>
          </w:p>
        </w:tc>
        <w:tc>
          <w:tcPr>
            <w:tcW w:w="0" w:type="auto"/>
            <w:vAlign w:val="center"/>
            <w:hideMark/>
          </w:tcPr>
          <w:p w14:paraId="0DB503A5" w14:textId="77777777" w:rsidR="00253985" w:rsidRPr="00B06509" w:rsidRDefault="00253985" w:rsidP="00253985">
            <w:pPr>
              <w:rPr>
                <w:rFonts w:ascii="楷体" w:eastAsia="楷体" w:hAnsi="楷体" w:hint="eastAsia"/>
              </w:rPr>
            </w:pPr>
            <w:r w:rsidRPr="00B06509">
              <w:rPr>
                <w:rFonts w:ascii="楷体" w:eastAsia="楷体" w:hAnsi="楷体"/>
              </w:rPr>
              <w:t>银河/广发/开源 4/12-13</w:t>
            </w:r>
          </w:p>
        </w:tc>
      </w:tr>
      <w:tr w:rsidR="00253985" w:rsidRPr="00B06509" w14:paraId="4E8FB504" w14:textId="77777777">
        <w:trPr>
          <w:tblCellSpacing w:w="15" w:type="dxa"/>
        </w:trPr>
        <w:tc>
          <w:tcPr>
            <w:tcW w:w="0" w:type="auto"/>
            <w:vAlign w:val="center"/>
            <w:hideMark/>
          </w:tcPr>
          <w:p w14:paraId="2AC0BCF5" w14:textId="77777777" w:rsidR="00253985" w:rsidRPr="00B06509" w:rsidRDefault="00253985" w:rsidP="00253985">
            <w:pPr>
              <w:rPr>
                <w:rFonts w:ascii="楷体" w:eastAsia="楷体" w:hAnsi="楷体" w:hint="eastAsia"/>
              </w:rPr>
            </w:pPr>
            <w:r w:rsidRPr="00B06509">
              <w:rPr>
                <w:rFonts w:ascii="楷体" w:eastAsia="楷体" w:hAnsi="楷体"/>
              </w:rPr>
              <w:t>Coherent 1.6T订单出货比</w:t>
            </w:r>
          </w:p>
        </w:tc>
        <w:tc>
          <w:tcPr>
            <w:tcW w:w="0" w:type="auto"/>
            <w:vAlign w:val="center"/>
            <w:hideMark/>
          </w:tcPr>
          <w:p w14:paraId="3F1DC52A" w14:textId="77777777" w:rsidR="00253985" w:rsidRPr="00B06509" w:rsidRDefault="00253985" w:rsidP="00253985">
            <w:pPr>
              <w:rPr>
                <w:rFonts w:ascii="楷体" w:eastAsia="楷体" w:hAnsi="楷体" w:hint="eastAsia"/>
              </w:rPr>
            </w:pPr>
            <w:r w:rsidRPr="00B06509">
              <w:rPr>
                <w:rFonts w:ascii="楷体" w:eastAsia="楷体" w:hAnsi="楷体"/>
              </w:rPr>
              <w:t>超4倍</w:t>
            </w:r>
          </w:p>
        </w:tc>
        <w:tc>
          <w:tcPr>
            <w:tcW w:w="0" w:type="auto"/>
            <w:vAlign w:val="center"/>
            <w:hideMark/>
          </w:tcPr>
          <w:p w14:paraId="7421C501" w14:textId="77777777" w:rsidR="00253985" w:rsidRPr="00B06509" w:rsidRDefault="00253985" w:rsidP="00253985">
            <w:pPr>
              <w:rPr>
                <w:rFonts w:ascii="楷体" w:eastAsia="楷体" w:hAnsi="楷体" w:hint="eastAsia"/>
              </w:rPr>
            </w:pPr>
            <w:r w:rsidRPr="00B06509">
              <w:rPr>
                <w:rFonts w:ascii="楷体" w:eastAsia="楷体" w:hAnsi="楷体"/>
              </w:rPr>
              <w:t>长江证券 3/22</w:t>
            </w:r>
          </w:p>
        </w:tc>
      </w:tr>
      <w:tr w:rsidR="00253985" w:rsidRPr="00B06509" w14:paraId="0B1438BD" w14:textId="77777777">
        <w:trPr>
          <w:tblCellSpacing w:w="15" w:type="dxa"/>
        </w:trPr>
        <w:tc>
          <w:tcPr>
            <w:tcW w:w="0" w:type="auto"/>
            <w:vAlign w:val="center"/>
            <w:hideMark/>
          </w:tcPr>
          <w:p w14:paraId="7A204BD1" w14:textId="77777777" w:rsidR="00253985" w:rsidRPr="00B06509" w:rsidRDefault="00253985" w:rsidP="00253985">
            <w:pPr>
              <w:rPr>
                <w:rFonts w:ascii="楷体" w:eastAsia="楷体" w:hAnsi="楷体" w:hint="eastAsia"/>
              </w:rPr>
            </w:pPr>
            <w:r w:rsidRPr="00B06509">
              <w:rPr>
                <w:rFonts w:ascii="楷体" w:eastAsia="楷体" w:hAnsi="楷体"/>
              </w:rPr>
              <w:t>Lumentum日本工厂</w:t>
            </w:r>
          </w:p>
        </w:tc>
        <w:tc>
          <w:tcPr>
            <w:tcW w:w="0" w:type="auto"/>
            <w:vAlign w:val="center"/>
            <w:hideMark/>
          </w:tcPr>
          <w:p w14:paraId="44098A4F" w14:textId="77777777" w:rsidR="00253985" w:rsidRPr="00B06509" w:rsidRDefault="00253985" w:rsidP="00253985">
            <w:pPr>
              <w:rPr>
                <w:rFonts w:ascii="楷体" w:eastAsia="楷体" w:hAnsi="楷体" w:hint="eastAsia"/>
              </w:rPr>
            </w:pPr>
            <w:r w:rsidRPr="00B06509">
              <w:rPr>
                <w:rFonts w:ascii="楷体" w:eastAsia="楷体" w:hAnsi="楷体"/>
              </w:rPr>
              <w:t>过去两年扩产12倍仍不够</w:t>
            </w:r>
          </w:p>
        </w:tc>
        <w:tc>
          <w:tcPr>
            <w:tcW w:w="0" w:type="auto"/>
            <w:vAlign w:val="center"/>
            <w:hideMark/>
          </w:tcPr>
          <w:p w14:paraId="3D0BDC6E" w14:textId="77777777" w:rsidR="00253985" w:rsidRPr="00B06509" w:rsidRDefault="00253985" w:rsidP="00253985">
            <w:pPr>
              <w:rPr>
                <w:rFonts w:ascii="楷体" w:eastAsia="楷体" w:hAnsi="楷体" w:hint="eastAsia"/>
              </w:rPr>
            </w:pPr>
            <w:r w:rsidRPr="00B06509">
              <w:rPr>
                <w:rFonts w:ascii="楷体" w:eastAsia="楷体" w:hAnsi="楷体"/>
              </w:rPr>
              <w:t>开源证券 4/12</w:t>
            </w:r>
          </w:p>
        </w:tc>
      </w:tr>
      <w:tr w:rsidR="00253985" w:rsidRPr="00B06509" w14:paraId="0871B67E" w14:textId="77777777">
        <w:trPr>
          <w:tblCellSpacing w:w="15" w:type="dxa"/>
        </w:trPr>
        <w:tc>
          <w:tcPr>
            <w:tcW w:w="0" w:type="auto"/>
            <w:vAlign w:val="center"/>
            <w:hideMark/>
          </w:tcPr>
          <w:p w14:paraId="21D156CC" w14:textId="77777777" w:rsidR="00253985" w:rsidRPr="00B06509" w:rsidRDefault="00253985" w:rsidP="00253985">
            <w:pPr>
              <w:rPr>
                <w:rFonts w:ascii="楷体" w:eastAsia="楷体" w:hAnsi="楷体" w:hint="eastAsia"/>
              </w:rPr>
            </w:pPr>
            <w:r w:rsidRPr="00B06509">
              <w:rPr>
                <w:rFonts w:ascii="楷体" w:eastAsia="楷体" w:hAnsi="楷体"/>
              </w:rPr>
              <w:t>光芯片供需缺口</w:t>
            </w:r>
          </w:p>
        </w:tc>
        <w:tc>
          <w:tcPr>
            <w:tcW w:w="0" w:type="auto"/>
            <w:vAlign w:val="center"/>
            <w:hideMark/>
          </w:tcPr>
          <w:p w14:paraId="76FB830F" w14:textId="77777777" w:rsidR="00253985" w:rsidRPr="00B06509" w:rsidRDefault="00253985" w:rsidP="00253985">
            <w:pPr>
              <w:rPr>
                <w:rFonts w:ascii="楷体" w:eastAsia="楷体" w:hAnsi="楷体" w:hint="eastAsia"/>
              </w:rPr>
            </w:pPr>
            <w:r w:rsidRPr="00B06509">
              <w:rPr>
                <w:rFonts w:ascii="楷体" w:eastAsia="楷体" w:hAnsi="楷体"/>
              </w:rPr>
              <w:t>25%-30%</w:t>
            </w:r>
          </w:p>
        </w:tc>
        <w:tc>
          <w:tcPr>
            <w:tcW w:w="0" w:type="auto"/>
            <w:vAlign w:val="center"/>
            <w:hideMark/>
          </w:tcPr>
          <w:p w14:paraId="29DFC412" w14:textId="77777777" w:rsidR="00253985" w:rsidRPr="00B06509" w:rsidRDefault="00253985" w:rsidP="00253985">
            <w:pPr>
              <w:rPr>
                <w:rFonts w:ascii="楷体" w:eastAsia="楷体" w:hAnsi="楷体" w:hint="eastAsia"/>
              </w:rPr>
            </w:pPr>
            <w:r w:rsidRPr="00B06509">
              <w:rPr>
                <w:rFonts w:ascii="楷体" w:eastAsia="楷体" w:hAnsi="楷体"/>
              </w:rPr>
              <w:t>长江证券 3/22</w:t>
            </w:r>
          </w:p>
        </w:tc>
      </w:tr>
      <w:tr w:rsidR="00253985" w:rsidRPr="00B06509" w14:paraId="334A582F" w14:textId="77777777">
        <w:trPr>
          <w:tblCellSpacing w:w="15" w:type="dxa"/>
        </w:trPr>
        <w:tc>
          <w:tcPr>
            <w:tcW w:w="0" w:type="auto"/>
            <w:vAlign w:val="center"/>
            <w:hideMark/>
          </w:tcPr>
          <w:p w14:paraId="0D72ABFC" w14:textId="77777777" w:rsidR="00253985" w:rsidRPr="00B06509" w:rsidRDefault="00253985" w:rsidP="00253985">
            <w:pPr>
              <w:rPr>
                <w:rFonts w:ascii="楷体" w:eastAsia="楷体" w:hAnsi="楷体" w:hint="eastAsia"/>
              </w:rPr>
            </w:pPr>
            <w:r w:rsidRPr="00B06509">
              <w:rPr>
                <w:rFonts w:ascii="楷体" w:eastAsia="楷体" w:hAnsi="楷体"/>
              </w:rPr>
              <w:t>AXT InP积压订单</w:t>
            </w:r>
          </w:p>
        </w:tc>
        <w:tc>
          <w:tcPr>
            <w:tcW w:w="0" w:type="auto"/>
            <w:vAlign w:val="center"/>
            <w:hideMark/>
          </w:tcPr>
          <w:p w14:paraId="033C9C78" w14:textId="77777777" w:rsidR="00253985" w:rsidRPr="00B06509" w:rsidRDefault="00253985" w:rsidP="00253985">
            <w:pPr>
              <w:rPr>
                <w:rFonts w:ascii="楷体" w:eastAsia="楷体" w:hAnsi="楷体" w:hint="eastAsia"/>
              </w:rPr>
            </w:pPr>
            <w:r w:rsidRPr="00B06509">
              <w:rPr>
                <w:rFonts w:ascii="楷体" w:eastAsia="楷体" w:hAnsi="楷体"/>
              </w:rPr>
              <w:t>超6000万美元，长单锁至2030年</w:t>
            </w:r>
          </w:p>
        </w:tc>
        <w:tc>
          <w:tcPr>
            <w:tcW w:w="0" w:type="auto"/>
            <w:vAlign w:val="center"/>
            <w:hideMark/>
          </w:tcPr>
          <w:p w14:paraId="474B6ABB" w14:textId="77777777" w:rsidR="00253985" w:rsidRPr="00B06509" w:rsidRDefault="00253985" w:rsidP="00253985">
            <w:pPr>
              <w:rPr>
                <w:rFonts w:ascii="楷体" w:eastAsia="楷体" w:hAnsi="楷体" w:hint="eastAsia"/>
              </w:rPr>
            </w:pPr>
            <w:r w:rsidRPr="00B06509">
              <w:rPr>
                <w:rFonts w:ascii="楷体" w:eastAsia="楷体" w:hAnsi="楷体"/>
              </w:rPr>
              <w:t>长江证券 3/22</w:t>
            </w:r>
          </w:p>
        </w:tc>
      </w:tr>
      <w:tr w:rsidR="00253985" w:rsidRPr="00B06509" w14:paraId="3D3D4A5D" w14:textId="77777777">
        <w:trPr>
          <w:tblCellSpacing w:w="15" w:type="dxa"/>
        </w:trPr>
        <w:tc>
          <w:tcPr>
            <w:tcW w:w="0" w:type="auto"/>
            <w:vAlign w:val="center"/>
            <w:hideMark/>
          </w:tcPr>
          <w:p w14:paraId="4625E228" w14:textId="77777777" w:rsidR="00253985" w:rsidRPr="00B06509" w:rsidRDefault="00253985" w:rsidP="00253985">
            <w:pPr>
              <w:rPr>
                <w:rFonts w:ascii="楷体" w:eastAsia="楷体" w:hAnsi="楷体" w:hint="eastAsia"/>
              </w:rPr>
            </w:pPr>
            <w:r w:rsidRPr="00B06509">
              <w:rPr>
                <w:rFonts w:ascii="楷体" w:eastAsia="楷体" w:hAnsi="楷体"/>
              </w:rPr>
              <w:t>智算算力需求vs供给</w:t>
            </w:r>
          </w:p>
        </w:tc>
        <w:tc>
          <w:tcPr>
            <w:tcW w:w="0" w:type="auto"/>
            <w:vAlign w:val="center"/>
            <w:hideMark/>
          </w:tcPr>
          <w:p w14:paraId="366205A1" w14:textId="77777777" w:rsidR="00253985" w:rsidRPr="00B06509" w:rsidRDefault="00253985" w:rsidP="00253985">
            <w:pPr>
              <w:rPr>
                <w:rFonts w:ascii="楷体" w:eastAsia="楷体" w:hAnsi="楷体" w:hint="eastAsia"/>
              </w:rPr>
            </w:pPr>
            <w:r w:rsidRPr="00B06509">
              <w:rPr>
                <w:rFonts w:ascii="楷体" w:eastAsia="楷体" w:hAnsi="楷体"/>
              </w:rPr>
              <w:t>2030E需求719 EFLOPS vs 供给9 EFLOPS</w:t>
            </w:r>
          </w:p>
        </w:tc>
        <w:tc>
          <w:tcPr>
            <w:tcW w:w="0" w:type="auto"/>
            <w:vAlign w:val="center"/>
            <w:hideMark/>
          </w:tcPr>
          <w:p w14:paraId="697EB6F2" w14:textId="77777777" w:rsidR="00253985" w:rsidRPr="00B06509" w:rsidRDefault="00253985" w:rsidP="00253985">
            <w:pPr>
              <w:rPr>
                <w:rFonts w:ascii="楷体" w:eastAsia="楷体" w:hAnsi="楷体" w:hint="eastAsia"/>
              </w:rPr>
            </w:pPr>
            <w:r w:rsidRPr="00B06509">
              <w:rPr>
                <w:rFonts w:ascii="楷体" w:eastAsia="楷体" w:hAnsi="楷体"/>
              </w:rPr>
              <w:t>银河证券 1/8</w:t>
            </w:r>
          </w:p>
        </w:tc>
      </w:tr>
    </w:tbl>
    <w:p w14:paraId="53966731" w14:textId="075357A7" w:rsidR="00B65C46" w:rsidRPr="00B06509" w:rsidRDefault="00B65C46" w:rsidP="00253985">
      <w:pPr>
        <w:rPr>
          <w:rFonts w:ascii="楷体" w:eastAsia="楷体" w:hAnsi="楷体" w:hint="eastAsia"/>
        </w:rPr>
      </w:pPr>
      <w:r w:rsidRPr="00B06509">
        <w:rPr>
          <w:rFonts w:ascii="楷体" w:eastAsia="楷体" w:hAnsi="楷体" w:hint="eastAsia"/>
          <w:highlight w:val="yellow"/>
        </w:rPr>
        <w:lastRenderedPageBreak/>
        <w:t>这一层海外厂的需求可以略微上移一点</w:t>
      </w:r>
    </w:p>
    <w:p w14:paraId="3A12B9E6" w14:textId="77777777" w:rsidR="00EB1046" w:rsidRPr="00B06509" w:rsidRDefault="00EB1046" w:rsidP="00253985">
      <w:pPr>
        <w:rPr>
          <w:rFonts w:ascii="楷体" w:eastAsia="楷体" w:hAnsi="楷体" w:hint="eastAsia"/>
        </w:rPr>
      </w:pPr>
    </w:p>
    <w:p w14:paraId="751EB0E7" w14:textId="6DA2EEDB" w:rsidR="00EB1046" w:rsidRPr="00B06509" w:rsidRDefault="00EB1046" w:rsidP="00253985">
      <w:pPr>
        <w:rPr>
          <w:rFonts w:ascii="楷体" w:eastAsia="楷体" w:hAnsi="楷体" w:hint="eastAsia"/>
        </w:rPr>
      </w:pPr>
      <w:r w:rsidRPr="00B06509">
        <w:rPr>
          <w:rFonts w:ascii="楷体" w:eastAsia="楷体" w:hAnsi="楷体" w:hint="eastAsia"/>
          <w:highlight w:val="yellow"/>
        </w:rPr>
        <w:t>第一块可以说就是海外厂和国内厂的需求紧缺的问题</w:t>
      </w:r>
    </w:p>
    <w:p w14:paraId="76E8EEE4" w14:textId="77777777" w:rsidR="00EB1046" w:rsidRPr="00B06509" w:rsidRDefault="00EB1046" w:rsidP="00253985">
      <w:pPr>
        <w:rPr>
          <w:rFonts w:ascii="楷体" w:eastAsia="楷体" w:hAnsi="楷体" w:hint="eastAsia"/>
        </w:rPr>
      </w:pPr>
    </w:p>
    <w:p w14:paraId="735AB390" w14:textId="326B25D0" w:rsidR="00253985" w:rsidRPr="00B06509" w:rsidRDefault="00253985" w:rsidP="00253985">
      <w:pPr>
        <w:rPr>
          <w:rFonts w:ascii="楷体" w:eastAsia="楷体" w:hAnsi="楷体" w:hint="eastAsia"/>
        </w:rPr>
      </w:pPr>
      <w:r w:rsidRPr="00B06509">
        <w:rPr>
          <w:rFonts w:ascii="楷体" w:eastAsia="楷体" w:hAnsi="楷体"/>
        </w:rPr>
        <w:t>三、需求结构的技术驱动</w:t>
      </w:r>
    </w:p>
    <w:p w14:paraId="79A79D16" w14:textId="77777777" w:rsidR="00253985" w:rsidRPr="00B06509" w:rsidRDefault="00253985" w:rsidP="00253985">
      <w:pPr>
        <w:numPr>
          <w:ilvl w:val="0"/>
          <w:numId w:val="12"/>
        </w:numPr>
        <w:rPr>
          <w:rFonts w:ascii="楷体" w:eastAsia="楷体" w:hAnsi="楷体" w:hint="eastAsia"/>
        </w:rPr>
      </w:pPr>
      <w:r w:rsidRPr="00B06509">
        <w:rPr>
          <w:rFonts w:ascii="楷体" w:eastAsia="楷体" w:hAnsi="楷体"/>
        </w:rPr>
        <w:t>速率迭代：800G出货量+60%（25→26E），1.6T从220万只→900万只（4倍增长）。光模块市场规模从65亿→191亿→256亿美元</w:t>
      </w:r>
    </w:p>
    <w:p w14:paraId="2E4245E9" w14:textId="77777777" w:rsidR="00253985" w:rsidRPr="00B06509" w:rsidRDefault="00253985" w:rsidP="00253985">
      <w:pPr>
        <w:numPr>
          <w:ilvl w:val="0"/>
          <w:numId w:val="13"/>
        </w:numPr>
        <w:rPr>
          <w:rFonts w:ascii="楷体" w:eastAsia="楷体" w:hAnsi="楷体" w:hint="eastAsia"/>
        </w:rPr>
      </w:pPr>
      <w:r w:rsidRPr="00B06509">
        <w:rPr>
          <w:rFonts w:ascii="楷体" w:eastAsia="楷体" w:hAnsi="楷体"/>
        </w:rPr>
        <w:t>Scale out → Scale up：从集群间互联向机柜内互联延伸，光互联从"配套"变成AI基础设施规模化的关键瓶颈（开源证券原话）</w:t>
      </w:r>
    </w:p>
    <w:p w14:paraId="3F80CB4B" w14:textId="77777777" w:rsidR="00253985" w:rsidRPr="00B06509" w:rsidRDefault="00253985" w:rsidP="00253985">
      <w:pPr>
        <w:numPr>
          <w:ilvl w:val="0"/>
          <w:numId w:val="14"/>
        </w:numPr>
        <w:rPr>
          <w:rFonts w:ascii="楷体" w:eastAsia="楷体" w:hAnsi="楷体" w:hint="eastAsia"/>
        </w:rPr>
      </w:pPr>
      <w:r w:rsidRPr="00B06509">
        <w:rPr>
          <w:rFonts w:ascii="楷体" w:eastAsia="楷体" w:hAnsi="楷体"/>
        </w:rPr>
        <w:t>硅光/CPO：硅光渗透加速，CPO功耗从30W降至9W，损耗从22dB降至4dB</w:t>
      </w:r>
    </w:p>
    <w:p w14:paraId="4B03D94F" w14:textId="77777777" w:rsidR="00253985" w:rsidRPr="00B06509" w:rsidRDefault="00253985" w:rsidP="00253985">
      <w:pPr>
        <w:numPr>
          <w:ilvl w:val="0"/>
          <w:numId w:val="15"/>
        </w:numPr>
        <w:rPr>
          <w:rFonts w:ascii="楷体" w:eastAsia="楷体" w:hAnsi="楷体" w:hint="eastAsia"/>
        </w:rPr>
      </w:pPr>
      <w:r w:rsidRPr="00B06509">
        <w:rPr>
          <w:rFonts w:ascii="楷体" w:eastAsia="楷体" w:hAnsi="楷体"/>
        </w:rPr>
        <w:t>光纤需求：AI应用拉动数据中心光纤需求占比快速提升，2029E占全球光纤需求11%</w:t>
      </w:r>
    </w:p>
    <w:p w14:paraId="6DB4761A" w14:textId="77777777" w:rsidR="00253985" w:rsidRPr="00B06509" w:rsidRDefault="00253985" w:rsidP="00253985">
      <w:pPr>
        <w:rPr>
          <w:rFonts w:ascii="楷体" w:eastAsia="楷体" w:hAnsi="楷体" w:hint="eastAsia"/>
        </w:rPr>
      </w:pPr>
      <w:r w:rsidRPr="00B06509">
        <w:rPr>
          <w:rFonts w:ascii="楷体" w:eastAsia="楷体" w:hAnsi="楷体"/>
        </w:rPr>
        <w:t>四、供给端的分化</w:t>
      </w:r>
      <w:r w:rsidRPr="00B06509">
        <w:rPr>
          <w:rFonts w:ascii="楷体" w:eastAsia="楷体" w:hAnsi="楷体"/>
        </w:rPr>
        <w:br/>
      </w:r>
      <w:r w:rsidRPr="00B06509">
        <w:rPr>
          <w:rFonts w:ascii="楷体" w:eastAsia="楷体" w:hAnsi="楷体"/>
        </w:rPr>
        <w:br/>
        <w:t>银河证券的判断很到位——不是所有环节都紧张：</w:t>
      </w:r>
    </w:p>
    <w:p w14:paraId="3F23AB72" w14:textId="77777777" w:rsidR="00253985" w:rsidRPr="00B06509" w:rsidRDefault="00253985" w:rsidP="00253985">
      <w:pPr>
        <w:numPr>
          <w:ilvl w:val="0"/>
          <w:numId w:val="16"/>
        </w:numPr>
        <w:rPr>
          <w:rFonts w:ascii="楷体" w:eastAsia="楷体" w:hAnsi="楷体" w:hint="eastAsia"/>
        </w:rPr>
      </w:pPr>
      <w:r w:rsidRPr="00B06509">
        <w:rPr>
          <w:rFonts w:ascii="楷体" w:eastAsia="楷体" w:hAnsi="楷体"/>
        </w:rPr>
        <w:t>高端紧缺：800G/1.6T光模块、EML芯片、CW光源（硅光用）</w:t>
      </w:r>
    </w:p>
    <w:p w14:paraId="567512BF" w14:textId="77777777" w:rsidR="00253985" w:rsidRPr="00B06509" w:rsidRDefault="00253985" w:rsidP="00253985">
      <w:pPr>
        <w:numPr>
          <w:ilvl w:val="0"/>
          <w:numId w:val="17"/>
        </w:numPr>
        <w:rPr>
          <w:rFonts w:ascii="楷体" w:eastAsia="楷体" w:hAnsi="楷体" w:hint="eastAsia"/>
        </w:rPr>
      </w:pPr>
      <w:r w:rsidRPr="00B06509">
        <w:rPr>
          <w:rFonts w:ascii="楷体" w:eastAsia="楷体" w:hAnsi="楷体"/>
        </w:rPr>
        <w:t>中端平衡：50G/100G光器件</w:t>
      </w:r>
    </w:p>
    <w:p w14:paraId="645D1D86" w14:textId="77777777" w:rsidR="00253985" w:rsidRPr="00B06509" w:rsidRDefault="00253985" w:rsidP="00253985">
      <w:pPr>
        <w:numPr>
          <w:ilvl w:val="0"/>
          <w:numId w:val="18"/>
        </w:numPr>
        <w:rPr>
          <w:rFonts w:ascii="楷体" w:eastAsia="楷体" w:hAnsi="楷体" w:hint="eastAsia"/>
        </w:rPr>
      </w:pPr>
      <w:r w:rsidRPr="00B06509">
        <w:rPr>
          <w:rFonts w:ascii="楷体" w:eastAsia="楷体" w:hAnsi="楷体"/>
        </w:rPr>
        <w:t>低端过剩：10G/25G传统光器件</w:t>
      </w:r>
    </w:p>
    <w:p w14:paraId="63428C59" w14:textId="77777777" w:rsidR="00253985" w:rsidRPr="00B06509" w:rsidRDefault="00253985" w:rsidP="00253985">
      <w:pPr>
        <w:rPr>
          <w:rFonts w:ascii="楷体" w:eastAsia="楷体" w:hAnsi="楷体" w:hint="eastAsia"/>
        </w:rPr>
      </w:pPr>
      <w:r w:rsidRPr="00B06509">
        <w:rPr>
          <w:rFonts w:ascii="楷体" w:eastAsia="楷体" w:hAnsi="楷体"/>
        </w:rPr>
        <w:t>海外产能紧张直接利好国产替代：源杰科技等已突破100G/200G PAM4 EML芯片，性能对标海外。这基本就是广发那篇"窗口期"的核心逻辑。</w:t>
      </w:r>
    </w:p>
    <w:p w14:paraId="0B0F170A" w14:textId="77777777" w:rsidR="00253985" w:rsidRPr="00B06509" w:rsidRDefault="00253985" w:rsidP="00253985">
      <w:pPr>
        <w:rPr>
          <w:rFonts w:ascii="楷体" w:eastAsia="楷体" w:hAnsi="楷体" w:hint="eastAsia"/>
        </w:rPr>
      </w:pPr>
      <w:r w:rsidRPr="00B06509">
        <w:rPr>
          <w:rFonts w:ascii="楷体" w:eastAsia="楷体" w:hAnsi="楷体"/>
        </w:rPr>
        <w:t>一句话总结：光通信现在是典型的"需求远超供给"格局，不是周期波动的问题，而是AI算力基建从训练到推理的全链路爆发。海外靠云商Capex和1.6T迭代驱动，国内靠推理算力放量和超节点集采，两条线并行。</w:t>
      </w:r>
    </w:p>
    <w:p w14:paraId="1777A9B5" w14:textId="77777777" w:rsidR="00D57B1D" w:rsidRPr="00B06509" w:rsidRDefault="00D57B1D" w:rsidP="00D57B1D">
      <w:pPr>
        <w:rPr>
          <w:rFonts w:ascii="楷体" w:eastAsia="楷体" w:hAnsi="楷体" w:hint="eastAsia"/>
        </w:rPr>
      </w:pPr>
    </w:p>
    <w:p w14:paraId="21DD6655" w14:textId="77777777" w:rsidR="00C8746C" w:rsidRPr="00B06509" w:rsidRDefault="00C8746C" w:rsidP="00C8746C">
      <w:pPr>
        <w:rPr>
          <w:rFonts w:ascii="楷体" w:eastAsia="楷体" w:hAnsi="楷体" w:hint="eastAsia"/>
        </w:rPr>
      </w:pPr>
    </w:p>
    <w:p w14:paraId="3A49232F" w14:textId="15D4C759" w:rsidR="00365681" w:rsidRPr="00B06509" w:rsidRDefault="00365681" w:rsidP="007C571C">
      <w:pPr>
        <w:pStyle w:val="3"/>
        <w:rPr>
          <w:rFonts w:ascii="楷体" w:eastAsia="楷体" w:hAnsi="楷体" w:hint="eastAsia"/>
        </w:rPr>
      </w:pPr>
      <w:r w:rsidRPr="00B06509">
        <w:rPr>
          <w:rFonts w:ascii="楷体" w:eastAsia="楷体" w:hAnsi="楷体"/>
        </w:rPr>
        <w:tab/>
      </w:r>
      <w:r w:rsidR="00BD7180" w:rsidRPr="00B06509">
        <w:rPr>
          <w:rFonts w:ascii="楷体" w:eastAsia="楷体" w:hAnsi="楷体" w:hint="eastAsia"/>
        </w:rPr>
        <w:t>3.</w:t>
      </w:r>
      <w:r w:rsidR="00D17872" w:rsidRPr="00B06509">
        <w:rPr>
          <w:rFonts w:ascii="楷体" w:eastAsia="楷体" w:hAnsi="楷体" w:hint="eastAsia"/>
        </w:rPr>
        <w:t>2.2 plus</w:t>
      </w:r>
      <w:r w:rsidRPr="00B06509">
        <w:rPr>
          <w:rFonts w:ascii="楷体" w:eastAsia="楷体" w:hAnsi="楷体" w:hint="eastAsia"/>
        </w:rPr>
        <w:t>需求之二：从token对于硬件的需求测算</w:t>
      </w:r>
      <w:r w:rsidR="003916AC" w:rsidRPr="00B06509">
        <w:rPr>
          <w:rFonts w:ascii="楷体" w:eastAsia="楷体" w:hAnsi="楷体" w:hint="eastAsia"/>
        </w:rPr>
        <w:t>（林哥点的，还是要拍一个给他</w:t>
      </w:r>
      <w:r w:rsidR="007C2467" w:rsidRPr="00B06509">
        <w:rPr>
          <w:rFonts w:ascii="楷体" w:eastAsia="楷体" w:hAnsi="楷体" w:hint="eastAsia"/>
        </w:rPr>
        <w:t>（目前看很难了）</w:t>
      </w:r>
    </w:p>
    <w:p w14:paraId="2EE1DDF5" w14:textId="0A088F28" w:rsidR="00253985" w:rsidRPr="00B06509" w:rsidRDefault="00253985" w:rsidP="00253985">
      <w:pPr>
        <w:rPr>
          <w:rFonts w:ascii="楷体" w:eastAsia="楷体" w:hAnsi="楷体" w:hint="eastAsia"/>
        </w:rPr>
      </w:pPr>
      <w:r w:rsidRPr="00B06509">
        <w:rPr>
          <w:rFonts w:ascii="楷体" w:eastAsia="楷体" w:hAnsi="楷体" w:hint="eastAsia"/>
        </w:rPr>
        <w:t>实话实说，做不到。Token-floats-硬件数目，这个逻辑理论上成立，但是</w:t>
      </w:r>
      <w:r w:rsidR="00CA71CA" w:rsidRPr="00B06509">
        <w:rPr>
          <w:rFonts w:ascii="楷体" w:eastAsia="楷体" w:hAnsi="楷体" w:hint="eastAsia"/>
        </w:rPr>
        <w:t>不同规模的大模型的一个token对应的floats是完全不一样的。当我们在聊token的时候，我们</w:t>
      </w:r>
      <w:r w:rsidR="00CA71CA" w:rsidRPr="00B06509">
        <w:rPr>
          <w:rFonts w:ascii="楷体" w:eastAsia="楷体" w:hAnsi="楷体" w:hint="eastAsia"/>
        </w:rPr>
        <w:lastRenderedPageBreak/>
        <w:t>是没有办法去知道这个token到底是从哪个规模的模型出来的。也就完全无法计算floats。而从floats去倒推硬件数目也很难，因为现在的floats有两种主流的口径，也即FP8和BF16，两个口径之间相差</w:t>
      </w:r>
      <w:r w:rsidR="00BD7482" w:rsidRPr="00B06509">
        <w:rPr>
          <w:rFonts w:ascii="楷体" w:eastAsia="楷体" w:hAnsi="楷体" w:hint="eastAsia"/>
        </w:rPr>
        <w:t>四倍</w:t>
      </w:r>
      <w:r w:rsidR="00CA71CA" w:rsidRPr="00B06509">
        <w:rPr>
          <w:rFonts w:ascii="楷体" w:eastAsia="楷体" w:hAnsi="楷体" w:hint="eastAsia"/>
        </w:rPr>
        <w:t>。当我们谈论某个数算中心算力是多少floats的时候，</w:t>
      </w:r>
      <w:r w:rsidR="00BD7482" w:rsidRPr="00B06509">
        <w:rPr>
          <w:rFonts w:ascii="楷体" w:eastAsia="楷体" w:hAnsi="楷体" w:hint="eastAsia"/>
        </w:rPr>
        <w:t>往往并不知道是哪种口径。一旦假设有偏，则估计值会</w:t>
      </w:r>
      <w:r w:rsidR="004551D3" w:rsidRPr="00B06509">
        <w:rPr>
          <w:rFonts w:ascii="楷体" w:eastAsia="楷体" w:hAnsi="楷体" w:hint="eastAsia"/>
        </w:rPr>
        <w:t>相对</w:t>
      </w:r>
      <w:r w:rsidR="00BD7482" w:rsidRPr="00B06509">
        <w:rPr>
          <w:rFonts w:ascii="楷体" w:eastAsia="楷体" w:hAnsi="楷体" w:hint="eastAsia"/>
        </w:rPr>
        <w:t>真实情况</w:t>
      </w:r>
      <w:r w:rsidR="004551D3" w:rsidRPr="00B06509">
        <w:rPr>
          <w:rFonts w:ascii="楷体" w:eastAsia="楷体" w:hAnsi="楷体" w:hint="eastAsia"/>
        </w:rPr>
        <w:t>发生极大偏移</w:t>
      </w:r>
    </w:p>
    <w:p w14:paraId="3CB604A2" w14:textId="2DDC816F" w:rsidR="00D507A6" w:rsidRPr="00B06509" w:rsidRDefault="00BD7180" w:rsidP="00D507A6">
      <w:pPr>
        <w:pStyle w:val="3"/>
        <w:rPr>
          <w:rFonts w:ascii="楷体" w:eastAsia="楷体" w:hAnsi="楷体" w:hint="eastAsia"/>
        </w:rPr>
      </w:pPr>
      <w:r w:rsidRPr="00B06509">
        <w:rPr>
          <w:rFonts w:ascii="楷体" w:eastAsia="楷体" w:hAnsi="楷体" w:hint="eastAsia"/>
        </w:rPr>
        <w:t>3.</w:t>
      </w:r>
      <w:r w:rsidR="00D17872" w:rsidRPr="00B06509">
        <w:rPr>
          <w:rFonts w:ascii="楷体" w:eastAsia="楷体" w:hAnsi="楷体" w:hint="eastAsia"/>
        </w:rPr>
        <w:t>2.3</w:t>
      </w:r>
      <w:r w:rsidR="00F528BF" w:rsidRPr="00B06509">
        <w:rPr>
          <w:rFonts w:ascii="楷体" w:eastAsia="楷体" w:hAnsi="楷体" w:hint="eastAsia"/>
        </w:rPr>
        <w:t>供给上，</w:t>
      </w:r>
      <w:r w:rsidR="002B7B2F" w:rsidRPr="00B06509">
        <w:rPr>
          <w:rFonts w:ascii="楷体" w:eastAsia="楷体" w:hAnsi="楷体" w:hint="eastAsia"/>
        </w:rPr>
        <w:t>当前的阶段，技术未收敛的现实，</w:t>
      </w:r>
      <w:r w:rsidR="00771A72" w:rsidRPr="00B06509">
        <w:rPr>
          <w:rFonts w:ascii="楷体" w:eastAsia="楷体" w:hAnsi="楷体" w:hint="eastAsia"/>
        </w:rPr>
        <w:t>技术未收敛的状态</w:t>
      </w:r>
      <w:commentRangeStart w:id="0"/>
      <w:r w:rsidR="00771A72" w:rsidRPr="00B06509">
        <w:rPr>
          <w:rFonts w:ascii="楷体" w:eastAsia="楷体" w:hAnsi="楷体" w:hint="eastAsia"/>
        </w:rPr>
        <w:t>需要我们投资巨头</w:t>
      </w:r>
      <w:commentRangeEnd w:id="0"/>
      <w:r w:rsidR="003916AC" w:rsidRPr="00B06509">
        <w:rPr>
          <w:rStyle w:val="af3"/>
          <w:rFonts w:ascii="楷体" w:eastAsia="楷体" w:hAnsi="楷体" w:hint="eastAsia"/>
          <w:sz w:val="32"/>
          <w:szCs w:val="32"/>
        </w:rPr>
        <w:commentReference w:id="0"/>
      </w:r>
      <w:r w:rsidR="00C93410" w:rsidRPr="00B06509">
        <w:rPr>
          <w:rFonts w:ascii="楷体" w:eastAsia="楷体" w:hAnsi="楷体" w:hint="eastAsia"/>
        </w:rPr>
        <w:t>，而且周期和原来不同的，技术的迭代是相当快的，每一轮迭代可能都有相当丰厚的利润</w:t>
      </w:r>
    </w:p>
    <w:p w14:paraId="15FE4EE8" w14:textId="078BF327" w:rsidR="009B0F67" w:rsidRPr="00B06509" w:rsidRDefault="009B0F67" w:rsidP="009B0F67">
      <w:pPr>
        <w:rPr>
          <w:rFonts w:ascii="楷体" w:eastAsia="楷体" w:hAnsi="楷体" w:hint="eastAsia"/>
        </w:rPr>
      </w:pPr>
      <w:r w:rsidRPr="00B06509">
        <w:rPr>
          <w:rFonts w:ascii="楷体" w:eastAsia="楷体" w:hAnsi="楷体" w:hint="eastAsia"/>
        </w:rPr>
        <w:t>供应：强调供方的主动权，排货的紧俏，独立提价的能力</w:t>
      </w:r>
    </w:p>
    <w:p w14:paraId="0571EAA9" w14:textId="4C45012C" w:rsidR="00A06F50" w:rsidRDefault="00D507A6" w:rsidP="00B06509">
      <w:pPr>
        <w:ind w:firstLineChars="200" w:firstLine="320"/>
        <w:rPr>
          <w:rFonts w:ascii="楷体" w:eastAsia="楷体" w:hAnsi="楷体"/>
          <w:sz w:val="16"/>
          <w:szCs w:val="16"/>
        </w:rPr>
      </w:pPr>
      <w:r w:rsidRPr="00B06509">
        <w:rPr>
          <w:rFonts w:ascii="楷体" w:eastAsia="楷体" w:hAnsi="楷体" w:hint="eastAsia"/>
          <w:sz w:val="16"/>
          <w:szCs w:val="16"/>
        </w:rPr>
        <w:t>数据来源：申万宏源研究</w:t>
      </w:r>
    </w:p>
    <w:p w14:paraId="3112BBA4" w14:textId="610B01A9" w:rsidR="00BC2DDF" w:rsidRPr="00B06509" w:rsidRDefault="00BC2DDF" w:rsidP="00BC2DDF">
      <w:pPr>
        <w:pStyle w:val="3"/>
        <w:rPr>
          <w:rFonts w:hint="eastAsia"/>
        </w:rPr>
      </w:pPr>
      <w:r>
        <w:rPr>
          <w:rFonts w:hint="eastAsia"/>
        </w:rPr>
        <w:t>3.2.4 技术路线</w:t>
      </w:r>
    </w:p>
    <w:p w14:paraId="36FCA9EA" w14:textId="4CD4E785" w:rsidR="00771A72" w:rsidRPr="00B06509" w:rsidRDefault="00BD7180" w:rsidP="007C571C">
      <w:pPr>
        <w:pStyle w:val="3"/>
        <w:rPr>
          <w:rFonts w:ascii="楷体" w:eastAsia="楷体" w:hAnsi="楷体" w:hint="eastAsia"/>
        </w:rPr>
      </w:pPr>
      <w:r w:rsidRPr="00B06509">
        <w:rPr>
          <w:rFonts w:ascii="楷体" w:eastAsia="楷体" w:hAnsi="楷体" w:hint="eastAsia"/>
        </w:rPr>
        <w:t>3.</w:t>
      </w:r>
      <w:r w:rsidR="00D17872" w:rsidRPr="00B06509">
        <w:rPr>
          <w:rFonts w:ascii="楷体" w:eastAsia="楷体" w:hAnsi="楷体" w:hint="eastAsia"/>
        </w:rPr>
        <w:t>2.</w:t>
      </w:r>
      <w:r w:rsidR="00703B24" w:rsidRPr="00B06509">
        <w:rPr>
          <w:rFonts w:ascii="楷体" w:eastAsia="楷体" w:hAnsi="楷体" w:hint="eastAsia"/>
        </w:rPr>
        <w:t>5</w:t>
      </w:r>
      <w:r w:rsidR="00D17872" w:rsidRPr="00B06509">
        <w:rPr>
          <w:rFonts w:ascii="楷体" w:eastAsia="楷体" w:hAnsi="楷体" w:hint="eastAsia"/>
        </w:rPr>
        <w:t xml:space="preserve"> </w:t>
      </w:r>
      <w:r w:rsidR="0013016E" w:rsidRPr="00B06509">
        <w:rPr>
          <w:rFonts w:ascii="楷体" w:eastAsia="楷体" w:hAnsi="楷体" w:hint="eastAsia"/>
        </w:rPr>
        <w:t>利润上，</w:t>
      </w:r>
      <w:r w:rsidR="00D17872" w:rsidRPr="00B06509">
        <w:rPr>
          <w:rFonts w:ascii="楷体" w:eastAsia="楷体" w:hAnsi="楷体" w:hint="eastAsia"/>
        </w:rPr>
        <w:t>产业链上的</w:t>
      </w:r>
      <w:r w:rsidR="0013016E" w:rsidRPr="00B06509">
        <w:rPr>
          <w:rFonts w:ascii="楷体" w:eastAsia="楷体" w:hAnsi="楷体" w:hint="eastAsia"/>
        </w:rPr>
        <w:t>价值到底是怎么分配的？</w:t>
      </w:r>
      <w:r w:rsidR="00D17872" w:rsidRPr="00B06509">
        <w:rPr>
          <w:rFonts w:ascii="楷体" w:eastAsia="楷体" w:hAnsi="楷体" w:hint="eastAsia"/>
        </w:rPr>
        <w:t>技术壁垒在哪里</w:t>
      </w:r>
    </w:p>
    <w:p w14:paraId="43C070BB" w14:textId="77777777" w:rsidR="007C571C" w:rsidRPr="00B06509" w:rsidRDefault="007C571C" w:rsidP="0013016E">
      <w:pPr>
        <w:ind w:firstLine="420"/>
        <w:rPr>
          <w:rFonts w:ascii="楷体" w:eastAsia="楷体" w:hAnsi="楷体" w:hint="eastAsia"/>
        </w:rPr>
      </w:pPr>
    </w:p>
    <w:p w14:paraId="0B32E69C" w14:textId="77777777" w:rsidR="007C571C" w:rsidRPr="00B06509" w:rsidRDefault="007C571C" w:rsidP="00B06509">
      <w:pPr>
        <w:jc w:val="center"/>
        <w:rPr>
          <w:rFonts w:ascii="楷体" w:eastAsia="楷体" w:hAnsi="楷体" w:hint="eastAsia"/>
        </w:rPr>
      </w:pPr>
      <w:r w:rsidRPr="00B06509">
        <w:rPr>
          <w:rFonts w:ascii="楷体" w:eastAsia="楷体" w:hAnsi="楷体" w:hint="eastAsia"/>
        </w:rPr>
        <w:t>图：光通信价值量拆分</w:t>
      </w:r>
    </w:p>
    <w:p w14:paraId="3AC5A97E" w14:textId="77777777" w:rsidR="007C571C" w:rsidRDefault="007C571C" w:rsidP="007C571C">
      <w:pPr>
        <w:rPr>
          <w:rFonts w:hint="eastAsia"/>
        </w:rPr>
      </w:pPr>
      <w:r>
        <w:rPr>
          <w:noProof/>
        </w:rPr>
        <w:drawing>
          <wp:inline distT="0" distB="0" distL="0" distR="0" wp14:anchorId="530573FE" wp14:editId="133FCA37">
            <wp:extent cx="5274310" cy="1882775"/>
            <wp:effectExtent l="0" t="0" r="2540" b="3175"/>
            <wp:docPr id="989212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12236" name=""/>
                    <pic:cNvPicPr/>
                  </pic:nvPicPr>
                  <pic:blipFill>
                    <a:blip r:embed="rId21"/>
                    <a:stretch>
                      <a:fillRect/>
                    </a:stretch>
                  </pic:blipFill>
                  <pic:spPr>
                    <a:xfrm>
                      <a:off x="0" y="0"/>
                      <a:ext cx="5274310" cy="1882775"/>
                    </a:xfrm>
                    <a:prstGeom prst="rect">
                      <a:avLst/>
                    </a:prstGeom>
                  </pic:spPr>
                </pic:pic>
              </a:graphicData>
            </a:graphic>
          </wp:inline>
        </w:drawing>
      </w:r>
    </w:p>
    <w:p w14:paraId="4C0410CD" w14:textId="77777777" w:rsidR="007C571C" w:rsidRPr="009A66ED" w:rsidRDefault="007C571C" w:rsidP="007C571C">
      <w:pPr>
        <w:rPr>
          <w:rFonts w:hint="eastAsia"/>
        </w:rPr>
      </w:pPr>
    </w:p>
    <w:p w14:paraId="609D3CD0" w14:textId="77777777" w:rsidR="007C571C" w:rsidRDefault="007C571C" w:rsidP="0013016E">
      <w:pPr>
        <w:ind w:firstLine="420"/>
        <w:rPr>
          <w:rFonts w:hint="eastAsia"/>
        </w:rPr>
      </w:pPr>
    </w:p>
    <w:p w14:paraId="576B1568" w14:textId="5123FB03" w:rsidR="00CC7144" w:rsidRPr="00B06509" w:rsidRDefault="009B0F67" w:rsidP="000D0A14">
      <w:pPr>
        <w:pStyle w:val="2"/>
        <w:rPr>
          <w:rFonts w:ascii="楷体" w:eastAsia="楷体" w:hAnsi="楷体" w:hint="eastAsia"/>
        </w:rPr>
      </w:pPr>
      <w:r w:rsidRPr="00B06509">
        <w:rPr>
          <w:rFonts w:ascii="楷体" w:eastAsia="楷体" w:hAnsi="楷体" w:hint="eastAsia"/>
        </w:rPr>
        <w:lastRenderedPageBreak/>
        <w:t>3.</w:t>
      </w:r>
      <w:r w:rsidR="00D17872" w:rsidRPr="00B06509">
        <w:rPr>
          <w:rFonts w:ascii="楷体" w:eastAsia="楷体" w:hAnsi="楷体" w:hint="eastAsia"/>
        </w:rPr>
        <w:t>3.</w:t>
      </w:r>
      <w:r w:rsidR="00CC7144" w:rsidRPr="00B06509">
        <w:rPr>
          <w:rFonts w:ascii="楷体" w:eastAsia="楷体" w:hAnsi="楷体" w:hint="eastAsia"/>
        </w:rPr>
        <w:t>政策支持</w:t>
      </w:r>
    </w:p>
    <w:p w14:paraId="0738DA49" w14:textId="67CD7C3C" w:rsidR="006319A9" w:rsidRPr="006319A9" w:rsidRDefault="006319A9" w:rsidP="006319A9">
      <w:pPr>
        <w:rPr>
          <w:rFonts w:ascii="楷体" w:eastAsia="楷体" w:hAnsi="楷体" w:hint="eastAsia"/>
        </w:rPr>
      </w:pPr>
      <w:r w:rsidRPr="006319A9">
        <w:rPr>
          <w:rFonts w:ascii="楷体" w:eastAsia="楷体" w:hAnsi="楷体" w:hint="eastAsia"/>
        </w:rPr>
        <w:t>AI基础设施已被提升到国家战略层面。华西证券年度策略指出，国务院2025年7-8月连续发布AI相关文件，从顶层设计到产业落地的政策框架已基本成型</w:t>
      </w:r>
    </w:p>
    <w:p w14:paraId="2B1AD972" w14:textId="77777777" w:rsidR="006319A9" w:rsidRPr="006319A9" w:rsidRDefault="006319A9" w:rsidP="006319A9">
      <w:pPr>
        <w:rPr>
          <w:rFonts w:ascii="楷体" w:eastAsia="楷体" w:hAnsi="楷体" w:hint="eastAsia"/>
        </w:rPr>
      </w:pPr>
      <w:r w:rsidRPr="006319A9">
        <w:rPr>
          <w:rFonts w:ascii="楷体" w:eastAsia="楷体" w:hAnsi="楷体" w:hint="eastAsia"/>
        </w:rPr>
        <w:t>政策层面的核心逻辑是：算力基础设施类似于高铁、电网，是数字经济时代的新型"基建"。中国正在通过"东数西算"工程和算力枢纽节点建设，系统性地布局智算中心网络。</w:t>
      </w:r>
    </w:p>
    <w:p w14:paraId="49446392" w14:textId="4014A35C" w:rsidR="006319A9" w:rsidRPr="006319A9" w:rsidRDefault="006319A9" w:rsidP="006319A9">
      <w:pPr>
        <w:rPr>
          <w:rFonts w:ascii="楷体" w:eastAsia="楷体" w:hAnsi="楷体" w:hint="eastAsia"/>
        </w:rPr>
      </w:pPr>
      <w:r w:rsidRPr="006319A9">
        <w:rPr>
          <w:rFonts w:ascii="楷体" w:eastAsia="楷体" w:hAnsi="楷体" w:hint="eastAsia"/>
        </w:rPr>
        <w:t>这带来的直接利好是：政策驱动的算力建设需求独立于市场化Capex周期，提供了一个额外的需求安全垫。即使海外云商Capex短期波动，国内政策驱动的算力建设仍在持续推进，从而形成从产业界到国家基建层面的双轮驱动。</w:t>
      </w:r>
    </w:p>
    <w:p w14:paraId="50A21A90" w14:textId="77777777" w:rsidR="000D0A14" w:rsidRDefault="000D0A14" w:rsidP="000D0A14">
      <w:pPr>
        <w:jc w:val="center"/>
        <w:rPr>
          <w:rFonts w:ascii="楷体" w:eastAsia="楷体" w:hAnsi="楷体" w:hint="eastAsia"/>
          <w:sz w:val="21"/>
          <w:szCs w:val="22"/>
        </w:rPr>
      </w:pPr>
      <w:r w:rsidRPr="0093680D">
        <w:rPr>
          <w:rFonts w:ascii="楷体" w:eastAsia="楷体" w:hAnsi="楷体" w:hint="eastAsia"/>
          <w:sz w:val="21"/>
          <w:szCs w:val="22"/>
        </w:rPr>
        <w:t>表：中央政策</w:t>
      </w:r>
    </w:p>
    <w:tbl>
      <w:tblPr>
        <w:tblStyle w:val="af2"/>
        <w:tblW w:w="9923" w:type="dxa"/>
        <w:tblInd w:w="-572" w:type="dxa"/>
        <w:tblLook w:val="04A0" w:firstRow="1" w:lastRow="0" w:firstColumn="1" w:lastColumn="0" w:noHBand="0" w:noVBand="1"/>
      </w:tblPr>
      <w:tblGrid>
        <w:gridCol w:w="2268"/>
        <w:gridCol w:w="2127"/>
        <w:gridCol w:w="5528"/>
      </w:tblGrid>
      <w:tr w:rsidR="000D0A14" w14:paraId="2A24FBA1" w14:textId="77777777" w:rsidTr="004670C2">
        <w:tc>
          <w:tcPr>
            <w:tcW w:w="2268" w:type="dxa"/>
          </w:tcPr>
          <w:p w14:paraId="75E1E8C4" w14:textId="77777777" w:rsidR="000D0A14" w:rsidRDefault="000D0A14" w:rsidP="004670C2">
            <w:pPr>
              <w:jc w:val="center"/>
              <w:rPr>
                <w:rFonts w:ascii="楷体" w:eastAsia="楷体" w:hAnsi="楷体" w:hint="eastAsia"/>
                <w:sz w:val="21"/>
                <w:szCs w:val="22"/>
              </w:rPr>
            </w:pPr>
            <w:r>
              <w:rPr>
                <w:rFonts w:ascii="楷体" w:eastAsia="楷体" w:hAnsi="楷体" w:hint="eastAsia"/>
                <w:sz w:val="21"/>
                <w:szCs w:val="22"/>
              </w:rPr>
              <w:t>政策名称</w:t>
            </w:r>
          </w:p>
        </w:tc>
        <w:tc>
          <w:tcPr>
            <w:tcW w:w="2127" w:type="dxa"/>
          </w:tcPr>
          <w:p w14:paraId="76AB9AF7" w14:textId="77777777" w:rsidR="000D0A14" w:rsidRDefault="000D0A14" w:rsidP="004670C2">
            <w:pPr>
              <w:jc w:val="center"/>
              <w:rPr>
                <w:rFonts w:ascii="楷体" w:eastAsia="楷体" w:hAnsi="楷体" w:hint="eastAsia"/>
                <w:sz w:val="21"/>
                <w:szCs w:val="22"/>
              </w:rPr>
            </w:pPr>
            <w:r>
              <w:rPr>
                <w:rFonts w:ascii="楷体" w:eastAsia="楷体" w:hAnsi="楷体" w:hint="eastAsia"/>
                <w:sz w:val="21"/>
                <w:szCs w:val="22"/>
              </w:rPr>
              <w:t>政策主体</w:t>
            </w:r>
          </w:p>
        </w:tc>
        <w:tc>
          <w:tcPr>
            <w:tcW w:w="5528" w:type="dxa"/>
          </w:tcPr>
          <w:p w14:paraId="3064E7FF" w14:textId="77777777" w:rsidR="000D0A14" w:rsidRDefault="000D0A14" w:rsidP="004670C2">
            <w:pPr>
              <w:jc w:val="center"/>
              <w:rPr>
                <w:rFonts w:ascii="楷体" w:eastAsia="楷体" w:hAnsi="楷体" w:hint="eastAsia"/>
                <w:sz w:val="21"/>
                <w:szCs w:val="22"/>
              </w:rPr>
            </w:pPr>
            <w:r>
              <w:rPr>
                <w:rFonts w:ascii="楷体" w:eastAsia="楷体" w:hAnsi="楷体" w:hint="eastAsia"/>
                <w:sz w:val="21"/>
                <w:szCs w:val="22"/>
              </w:rPr>
              <w:t>政策要点</w:t>
            </w:r>
          </w:p>
        </w:tc>
      </w:tr>
      <w:tr w:rsidR="000D0A14" w14:paraId="01FEE2C4" w14:textId="77777777" w:rsidTr="004670C2">
        <w:tc>
          <w:tcPr>
            <w:tcW w:w="2268" w:type="dxa"/>
          </w:tcPr>
          <w:p w14:paraId="67D608BB" w14:textId="77777777" w:rsidR="000D0A14" w:rsidRDefault="000D0A14" w:rsidP="004670C2">
            <w:pPr>
              <w:jc w:val="center"/>
              <w:rPr>
                <w:rFonts w:ascii="楷体" w:eastAsia="楷体" w:hAnsi="楷体" w:hint="eastAsia"/>
                <w:sz w:val="21"/>
                <w:szCs w:val="22"/>
              </w:rPr>
            </w:pPr>
            <w:r w:rsidRPr="00F5130F">
              <w:rPr>
                <w:rFonts w:ascii="楷体" w:eastAsia="楷体" w:hAnsi="楷体"/>
                <w:sz w:val="21"/>
                <w:szCs w:val="22"/>
              </w:rPr>
              <w:t>深入实施 “东数西算” 工程加快构建全国一体化算力网的实施意见</w:t>
            </w:r>
          </w:p>
        </w:tc>
        <w:tc>
          <w:tcPr>
            <w:tcW w:w="2127" w:type="dxa"/>
          </w:tcPr>
          <w:p w14:paraId="1919E572" w14:textId="77777777" w:rsidR="000D0A14" w:rsidRDefault="000D0A14" w:rsidP="004670C2">
            <w:pPr>
              <w:jc w:val="center"/>
              <w:rPr>
                <w:rFonts w:ascii="楷体" w:eastAsia="楷体" w:hAnsi="楷体" w:hint="eastAsia"/>
                <w:sz w:val="21"/>
                <w:szCs w:val="22"/>
              </w:rPr>
            </w:pPr>
            <w:r w:rsidRPr="00F5130F">
              <w:rPr>
                <w:rFonts w:ascii="楷体" w:eastAsia="楷体" w:hAnsi="楷体"/>
                <w:sz w:val="21"/>
                <w:szCs w:val="22"/>
              </w:rPr>
              <w:t>国家发改委等五部门</w:t>
            </w:r>
          </w:p>
        </w:tc>
        <w:tc>
          <w:tcPr>
            <w:tcW w:w="5528" w:type="dxa"/>
          </w:tcPr>
          <w:p w14:paraId="11841564" w14:textId="77777777" w:rsidR="000D0A14" w:rsidRDefault="000D0A14" w:rsidP="004670C2">
            <w:pPr>
              <w:rPr>
                <w:rFonts w:ascii="楷体" w:eastAsia="楷体" w:hAnsi="楷体" w:hint="eastAsia"/>
                <w:sz w:val="21"/>
                <w:szCs w:val="22"/>
              </w:rPr>
            </w:pPr>
            <w:r w:rsidRPr="00F5130F">
              <w:rPr>
                <w:rFonts w:ascii="楷体" w:eastAsia="楷体" w:hAnsi="楷体"/>
                <w:sz w:val="21"/>
                <w:szCs w:val="22"/>
              </w:rPr>
              <w:t>到 2025 年底，通用算力、智能算力、超级算力等多元算力加速集聚，国家枢纽节点地区各类新增算力占全国新增算力的 60% 以上，国家枢纽节点算力资源使用率显著超过全国平均水平</w:t>
            </w:r>
          </w:p>
          <w:p w14:paraId="1335620A" w14:textId="77777777" w:rsidR="000D0A14" w:rsidRPr="00F5130F" w:rsidRDefault="000D0A14" w:rsidP="004670C2">
            <w:pPr>
              <w:jc w:val="center"/>
              <w:rPr>
                <w:rFonts w:ascii="楷体" w:eastAsia="楷体" w:hAnsi="楷体" w:hint="eastAsia"/>
                <w:sz w:val="21"/>
                <w:szCs w:val="22"/>
              </w:rPr>
            </w:pPr>
          </w:p>
        </w:tc>
      </w:tr>
      <w:tr w:rsidR="000D0A14" w14:paraId="1665A07F" w14:textId="77777777" w:rsidTr="004670C2">
        <w:tc>
          <w:tcPr>
            <w:tcW w:w="2268" w:type="dxa"/>
          </w:tcPr>
          <w:p w14:paraId="2A4E3778" w14:textId="77777777" w:rsidR="000D0A14" w:rsidRDefault="000D0A14" w:rsidP="004670C2">
            <w:pPr>
              <w:jc w:val="center"/>
              <w:rPr>
                <w:rFonts w:ascii="楷体" w:eastAsia="楷体" w:hAnsi="楷体" w:hint="eastAsia"/>
                <w:sz w:val="21"/>
                <w:szCs w:val="22"/>
              </w:rPr>
            </w:pPr>
            <w:r w:rsidRPr="0084400D">
              <w:rPr>
                <w:rFonts w:ascii="楷体" w:eastAsia="楷体" w:hAnsi="楷体"/>
                <w:sz w:val="21"/>
                <w:szCs w:val="22"/>
              </w:rPr>
              <w:t>算力基础设施高质量发展行动计划</w:t>
            </w:r>
          </w:p>
        </w:tc>
        <w:tc>
          <w:tcPr>
            <w:tcW w:w="2127" w:type="dxa"/>
          </w:tcPr>
          <w:p w14:paraId="15B2CE44" w14:textId="77777777" w:rsidR="000D0A14" w:rsidRDefault="000D0A14" w:rsidP="004670C2">
            <w:pPr>
              <w:jc w:val="center"/>
              <w:rPr>
                <w:rFonts w:ascii="楷体" w:eastAsia="楷体" w:hAnsi="楷体" w:hint="eastAsia"/>
                <w:sz w:val="21"/>
                <w:szCs w:val="22"/>
              </w:rPr>
            </w:pPr>
            <w:r w:rsidRPr="009750F1">
              <w:rPr>
                <w:rFonts w:ascii="楷体" w:eastAsia="楷体" w:hAnsi="楷体"/>
                <w:sz w:val="21"/>
                <w:szCs w:val="22"/>
              </w:rPr>
              <w:t>工信部等六部门</w:t>
            </w:r>
          </w:p>
        </w:tc>
        <w:tc>
          <w:tcPr>
            <w:tcW w:w="5528" w:type="dxa"/>
          </w:tcPr>
          <w:p w14:paraId="079FBEC1" w14:textId="77777777" w:rsidR="000D0A14" w:rsidRDefault="000D0A14" w:rsidP="004670C2">
            <w:pPr>
              <w:rPr>
                <w:rFonts w:ascii="楷体" w:eastAsia="楷体" w:hAnsi="楷体" w:hint="eastAsia"/>
                <w:sz w:val="21"/>
                <w:szCs w:val="22"/>
              </w:rPr>
            </w:pPr>
            <w:r w:rsidRPr="009750F1">
              <w:rPr>
                <w:rFonts w:ascii="楷体" w:eastAsia="楷体" w:hAnsi="楷体"/>
                <w:sz w:val="21"/>
                <w:szCs w:val="22"/>
              </w:rPr>
              <w:t>到 2025 年算力规模超过 300EFLOPS，智能算力占比达到 35%。推动算力结构多元配置，逐步提升智能算力占比，推动智能算力与通用算力协同，满足不同类型算力业务需求</w:t>
            </w:r>
          </w:p>
        </w:tc>
      </w:tr>
      <w:tr w:rsidR="000D0A14" w14:paraId="32970AE2" w14:textId="77777777" w:rsidTr="004670C2">
        <w:tc>
          <w:tcPr>
            <w:tcW w:w="2268" w:type="dxa"/>
          </w:tcPr>
          <w:p w14:paraId="53CAEC52" w14:textId="77777777" w:rsidR="000D0A14" w:rsidRDefault="000D0A14" w:rsidP="004670C2">
            <w:pPr>
              <w:jc w:val="center"/>
              <w:rPr>
                <w:rFonts w:ascii="楷体" w:eastAsia="楷体" w:hAnsi="楷体" w:hint="eastAsia"/>
                <w:sz w:val="21"/>
                <w:szCs w:val="22"/>
              </w:rPr>
            </w:pPr>
            <w:r w:rsidRPr="0084400D">
              <w:rPr>
                <w:rFonts w:ascii="楷体" w:eastAsia="楷体" w:hAnsi="楷体"/>
                <w:sz w:val="21"/>
                <w:szCs w:val="22"/>
              </w:rPr>
              <w:t>数字中国建设整体布局规划</w:t>
            </w:r>
          </w:p>
        </w:tc>
        <w:tc>
          <w:tcPr>
            <w:tcW w:w="2127" w:type="dxa"/>
          </w:tcPr>
          <w:p w14:paraId="2AD8EADE" w14:textId="77777777" w:rsidR="000D0A14" w:rsidRDefault="000D0A14" w:rsidP="004670C2">
            <w:pPr>
              <w:jc w:val="center"/>
              <w:rPr>
                <w:rFonts w:ascii="楷体" w:eastAsia="楷体" w:hAnsi="楷体" w:hint="eastAsia"/>
                <w:sz w:val="21"/>
                <w:szCs w:val="22"/>
              </w:rPr>
            </w:pPr>
            <w:r w:rsidRPr="0084400D">
              <w:rPr>
                <w:rFonts w:ascii="楷体" w:eastAsia="楷体" w:hAnsi="楷体"/>
                <w:sz w:val="21"/>
                <w:szCs w:val="22"/>
              </w:rPr>
              <w:t>国务院</w:t>
            </w:r>
          </w:p>
        </w:tc>
        <w:tc>
          <w:tcPr>
            <w:tcW w:w="5528" w:type="dxa"/>
          </w:tcPr>
          <w:p w14:paraId="5EB721C2" w14:textId="77777777" w:rsidR="000D0A14" w:rsidRDefault="000D0A14" w:rsidP="004670C2">
            <w:pPr>
              <w:rPr>
                <w:rFonts w:ascii="楷体" w:eastAsia="楷体" w:hAnsi="楷体" w:hint="eastAsia"/>
                <w:sz w:val="21"/>
                <w:szCs w:val="22"/>
              </w:rPr>
            </w:pPr>
            <w:r w:rsidRPr="009750F1">
              <w:rPr>
                <w:rFonts w:ascii="楷体" w:eastAsia="楷体" w:hAnsi="楷体" w:hint="eastAsia"/>
                <w:sz w:val="21"/>
                <w:szCs w:val="22"/>
              </w:rPr>
              <w:t>系统优化算力基础设施布局，促进东西部算力高效互补和协同联动，引导通用数据中心超算中心、智能计算中心、边缘数据中心等合理梯次布局</w:t>
            </w:r>
          </w:p>
        </w:tc>
      </w:tr>
      <w:tr w:rsidR="000D0A14" w14:paraId="29814623" w14:textId="77777777" w:rsidTr="004670C2">
        <w:tc>
          <w:tcPr>
            <w:tcW w:w="2268" w:type="dxa"/>
          </w:tcPr>
          <w:p w14:paraId="67896028" w14:textId="77777777" w:rsidR="000D0A14" w:rsidRDefault="000D0A14" w:rsidP="004670C2">
            <w:pPr>
              <w:jc w:val="center"/>
              <w:rPr>
                <w:rFonts w:ascii="楷体" w:eastAsia="楷体" w:hAnsi="楷体" w:hint="eastAsia"/>
                <w:sz w:val="21"/>
                <w:szCs w:val="22"/>
              </w:rPr>
            </w:pPr>
            <w:r w:rsidRPr="0084400D">
              <w:rPr>
                <w:rFonts w:ascii="楷体" w:eastAsia="楷体" w:hAnsi="楷体"/>
                <w:sz w:val="21"/>
                <w:szCs w:val="22"/>
              </w:rPr>
              <w:t>国家发展改革委等部门关于同意京津冀地区启动建设全国一体化算力网络国家枢纽节点的复函</w:t>
            </w:r>
          </w:p>
        </w:tc>
        <w:tc>
          <w:tcPr>
            <w:tcW w:w="2127" w:type="dxa"/>
          </w:tcPr>
          <w:p w14:paraId="1C3AD97E" w14:textId="77777777" w:rsidR="000D0A14" w:rsidRDefault="000D0A14" w:rsidP="004670C2">
            <w:pPr>
              <w:jc w:val="center"/>
              <w:rPr>
                <w:rFonts w:ascii="楷体" w:eastAsia="楷体" w:hAnsi="楷体" w:hint="eastAsia"/>
                <w:sz w:val="21"/>
                <w:szCs w:val="22"/>
              </w:rPr>
            </w:pPr>
            <w:r w:rsidRPr="0084400D">
              <w:rPr>
                <w:rFonts w:ascii="楷体" w:eastAsia="楷体" w:hAnsi="楷体"/>
                <w:sz w:val="21"/>
                <w:szCs w:val="22"/>
              </w:rPr>
              <w:t>国家发改委等四部门</w:t>
            </w:r>
          </w:p>
        </w:tc>
        <w:tc>
          <w:tcPr>
            <w:tcW w:w="5528" w:type="dxa"/>
          </w:tcPr>
          <w:p w14:paraId="18B66D06" w14:textId="77777777" w:rsidR="000D0A14" w:rsidRDefault="000D0A14" w:rsidP="004670C2">
            <w:pPr>
              <w:rPr>
                <w:rFonts w:ascii="楷体" w:eastAsia="楷体" w:hAnsi="楷体" w:hint="eastAsia"/>
                <w:sz w:val="21"/>
                <w:szCs w:val="22"/>
              </w:rPr>
            </w:pPr>
            <w:r w:rsidRPr="009750F1">
              <w:rPr>
                <w:rFonts w:ascii="楷体" w:eastAsia="楷体" w:hAnsi="楷体"/>
                <w:sz w:val="21"/>
                <w:szCs w:val="22"/>
              </w:rPr>
              <w:t>同意在京津冀地区启动建设全国一体化算力网络国家枢纽节点，发展高密度高能效、低碳数据中心集群，通过云网协同、云边协同等优化数据中心供给结构，扩展算力增长空间，实现大规模算力部署</w:t>
            </w:r>
          </w:p>
        </w:tc>
      </w:tr>
      <w:tr w:rsidR="000D0A14" w14:paraId="228AFDCC" w14:textId="77777777" w:rsidTr="004670C2">
        <w:tc>
          <w:tcPr>
            <w:tcW w:w="2268" w:type="dxa"/>
          </w:tcPr>
          <w:p w14:paraId="5F6C8714" w14:textId="77777777" w:rsidR="000D0A14" w:rsidRDefault="000D0A14" w:rsidP="004670C2">
            <w:pPr>
              <w:jc w:val="center"/>
              <w:rPr>
                <w:rFonts w:ascii="楷体" w:eastAsia="楷体" w:hAnsi="楷体" w:hint="eastAsia"/>
                <w:sz w:val="21"/>
                <w:szCs w:val="22"/>
              </w:rPr>
            </w:pPr>
            <w:r w:rsidRPr="0084400D">
              <w:rPr>
                <w:rFonts w:ascii="楷体" w:eastAsia="楷体" w:hAnsi="楷体"/>
                <w:sz w:val="21"/>
                <w:szCs w:val="22"/>
              </w:rPr>
              <w:t>“十四五” 国家信息化规划</w:t>
            </w:r>
          </w:p>
        </w:tc>
        <w:tc>
          <w:tcPr>
            <w:tcW w:w="2127" w:type="dxa"/>
          </w:tcPr>
          <w:p w14:paraId="6186E65A" w14:textId="77777777" w:rsidR="000D0A14" w:rsidRDefault="000D0A14" w:rsidP="004670C2">
            <w:pPr>
              <w:jc w:val="center"/>
              <w:rPr>
                <w:rFonts w:ascii="楷体" w:eastAsia="楷体" w:hAnsi="楷体" w:hint="eastAsia"/>
                <w:sz w:val="21"/>
                <w:szCs w:val="22"/>
              </w:rPr>
            </w:pPr>
            <w:r w:rsidRPr="0084400D">
              <w:rPr>
                <w:rFonts w:ascii="楷体" w:eastAsia="楷体" w:hAnsi="楷体" w:hint="eastAsia"/>
                <w:sz w:val="21"/>
                <w:szCs w:val="22"/>
              </w:rPr>
              <w:t>中央网络安全和信息化委员会</w:t>
            </w:r>
          </w:p>
        </w:tc>
        <w:tc>
          <w:tcPr>
            <w:tcW w:w="5528" w:type="dxa"/>
          </w:tcPr>
          <w:p w14:paraId="0F3FED9B" w14:textId="77777777" w:rsidR="000D0A14" w:rsidRDefault="000D0A14" w:rsidP="004670C2">
            <w:pPr>
              <w:rPr>
                <w:rFonts w:ascii="楷体" w:eastAsia="楷体" w:hAnsi="楷体" w:hint="eastAsia"/>
                <w:sz w:val="21"/>
                <w:szCs w:val="22"/>
              </w:rPr>
            </w:pPr>
            <w:r w:rsidRPr="009750F1">
              <w:rPr>
                <w:rFonts w:ascii="楷体" w:eastAsia="楷体" w:hAnsi="楷体"/>
                <w:sz w:val="21"/>
                <w:szCs w:val="22"/>
              </w:rPr>
              <w:t>统筹建设面向区块链和人工智能等的算力和算法中心，构建具备周边环境感应能力和反馈回应能力的边缘计算节点提供低时延、高可靠强安全边缘计算服务</w:t>
            </w:r>
          </w:p>
        </w:tc>
      </w:tr>
      <w:tr w:rsidR="000D0A14" w14:paraId="3DCAC384" w14:textId="77777777" w:rsidTr="004670C2">
        <w:tc>
          <w:tcPr>
            <w:tcW w:w="2268" w:type="dxa"/>
          </w:tcPr>
          <w:p w14:paraId="49372E36" w14:textId="77777777" w:rsidR="000D0A14" w:rsidRDefault="000D0A14" w:rsidP="004670C2">
            <w:pPr>
              <w:jc w:val="center"/>
              <w:rPr>
                <w:rFonts w:ascii="楷体" w:eastAsia="楷体" w:hAnsi="楷体" w:hint="eastAsia"/>
                <w:sz w:val="21"/>
                <w:szCs w:val="22"/>
              </w:rPr>
            </w:pPr>
            <w:r w:rsidRPr="0084400D">
              <w:rPr>
                <w:rFonts w:ascii="楷体" w:eastAsia="楷体" w:hAnsi="楷体"/>
                <w:sz w:val="21"/>
                <w:szCs w:val="22"/>
              </w:rPr>
              <w:t>“十四五” 大数据产业发展规划</w:t>
            </w:r>
          </w:p>
        </w:tc>
        <w:tc>
          <w:tcPr>
            <w:tcW w:w="2127" w:type="dxa"/>
          </w:tcPr>
          <w:p w14:paraId="64F4A2CF" w14:textId="77777777" w:rsidR="000D0A14" w:rsidRDefault="000D0A14" w:rsidP="004670C2">
            <w:pPr>
              <w:jc w:val="center"/>
              <w:rPr>
                <w:rFonts w:ascii="楷体" w:eastAsia="楷体" w:hAnsi="楷体" w:hint="eastAsia"/>
                <w:sz w:val="21"/>
                <w:szCs w:val="22"/>
              </w:rPr>
            </w:pPr>
            <w:r w:rsidRPr="0084400D">
              <w:rPr>
                <w:rFonts w:ascii="楷体" w:eastAsia="楷体" w:hAnsi="楷体"/>
                <w:sz w:val="21"/>
                <w:szCs w:val="22"/>
              </w:rPr>
              <w:t>工信部</w:t>
            </w:r>
          </w:p>
        </w:tc>
        <w:tc>
          <w:tcPr>
            <w:tcW w:w="5528" w:type="dxa"/>
          </w:tcPr>
          <w:p w14:paraId="1816CD32" w14:textId="77777777" w:rsidR="000D0A14" w:rsidRDefault="000D0A14" w:rsidP="004670C2">
            <w:pPr>
              <w:rPr>
                <w:rFonts w:ascii="楷体" w:eastAsia="楷体" w:hAnsi="楷体" w:hint="eastAsia"/>
                <w:sz w:val="21"/>
                <w:szCs w:val="22"/>
              </w:rPr>
            </w:pPr>
            <w:r w:rsidRPr="009750F1">
              <w:rPr>
                <w:rFonts w:ascii="楷体" w:eastAsia="楷体" w:hAnsi="楷体"/>
                <w:sz w:val="21"/>
                <w:szCs w:val="22"/>
              </w:rPr>
              <w:t>加快构建全国一体化大数据中心体系，推进国家工业互联网大数据中心建设强化算力统筹智能调度，建设若干国家枢纽节点和大数据中心集群。建设高性能计算集群，合理部署超级计算中心</w:t>
            </w:r>
          </w:p>
        </w:tc>
      </w:tr>
    </w:tbl>
    <w:p w14:paraId="26BB7C51" w14:textId="77777777" w:rsidR="000D0A14" w:rsidRDefault="000D0A14" w:rsidP="000D0A14">
      <w:pPr>
        <w:jc w:val="center"/>
        <w:rPr>
          <w:rFonts w:ascii="楷体" w:eastAsia="楷体" w:hAnsi="楷体" w:hint="eastAsia"/>
          <w:sz w:val="21"/>
          <w:szCs w:val="22"/>
        </w:rPr>
      </w:pPr>
    </w:p>
    <w:p w14:paraId="019CEF58" w14:textId="77777777" w:rsidR="000D0A14" w:rsidRDefault="000D0A14" w:rsidP="000D0A14">
      <w:pPr>
        <w:jc w:val="center"/>
        <w:rPr>
          <w:rFonts w:ascii="楷体" w:eastAsia="楷体" w:hAnsi="楷体" w:hint="eastAsia"/>
          <w:sz w:val="21"/>
          <w:szCs w:val="22"/>
        </w:rPr>
      </w:pPr>
      <w:r>
        <w:rPr>
          <w:rFonts w:ascii="楷体" w:eastAsia="楷体" w:hAnsi="楷体" w:hint="eastAsia"/>
          <w:sz w:val="21"/>
          <w:szCs w:val="22"/>
        </w:rPr>
        <w:t>表：地方政策</w:t>
      </w:r>
    </w:p>
    <w:tbl>
      <w:tblPr>
        <w:tblStyle w:val="af2"/>
        <w:tblW w:w="9923" w:type="dxa"/>
        <w:tblInd w:w="-572" w:type="dxa"/>
        <w:tblLook w:val="04A0" w:firstRow="1" w:lastRow="0" w:firstColumn="1" w:lastColumn="0" w:noHBand="0" w:noVBand="1"/>
      </w:tblPr>
      <w:tblGrid>
        <w:gridCol w:w="2268"/>
        <w:gridCol w:w="2127"/>
        <w:gridCol w:w="5528"/>
      </w:tblGrid>
      <w:tr w:rsidR="000D0A14" w14:paraId="571DB17F" w14:textId="77777777" w:rsidTr="004670C2">
        <w:tc>
          <w:tcPr>
            <w:tcW w:w="2268" w:type="dxa"/>
          </w:tcPr>
          <w:p w14:paraId="7C96B41E" w14:textId="77777777" w:rsidR="000D0A14" w:rsidRDefault="000D0A14" w:rsidP="004670C2">
            <w:pPr>
              <w:jc w:val="center"/>
              <w:rPr>
                <w:rFonts w:ascii="楷体" w:eastAsia="楷体" w:hAnsi="楷体" w:hint="eastAsia"/>
                <w:sz w:val="21"/>
                <w:szCs w:val="22"/>
              </w:rPr>
            </w:pPr>
            <w:r>
              <w:rPr>
                <w:rFonts w:ascii="楷体" w:eastAsia="楷体" w:hAnsi="楷体" w:hint="eastAsia"/>
                <w:sz w:val="21"/>
                <w:szCs w:val="22"/>
              </w:rPr>
              <w:t>政策名称</w:t>
            </w:r>
          </w:p>
        </w:tc>
        <w:tc>
          <w:tcPr>
            <w:tcW w:w="2127" w:type="dxa"/>
          </w:tcPr>
          <w:p w14:paraId="3C88E919" w14:textId="77777777" w:rsidR="000D0A14" w:rsidRDefault="000D0A14" w:rsidP="004670C2">
            <w:pPr>
              <w:jc w:val="center"/>
              <w:rPr>
                <w:rFonts w:ascii="楷体" w:eastAsia="楷体" w:hAnsi="楷体" w:hint="eastAsia"/>
                <w:sz w:val="21"/>
                <w:szCs w:val="22"/>
              </w:rPr>
            </w:pPr>
            <w:r>
              <w:rPr>
                <w:rFonts w:ascii="楷体" w:eastAsia="楷体" w:hAnsi="楷体" w:hint="eastAsia"/>
                <w:sz w:val="21"/>
                <w:szCs w:val="22"/>
              </w:rPr>
              <w:t>政策主体</w:t>
            </w:r>
          </w:p>
        </w:tc>
        <w:tc>
          <w:tcPr>
            <w:tcW w:w="5528" w:type="dxa"/>
          </w:tcPr>
          <w:p w14:paraId="6B632F62" w14:textId="77777777" w:rsidR="000D0A14" w:rsidRDefault="000D0A14" w:rsidP="004670C2">
            <w:pPr>
              <w:jc w:val="center"/>
              <w:rPr>
                <w:rFonts w:ascii="楷体" w:eastAsia="楷体" w:hAnsi="楷体" w:hint="eastAsia"/>
                <w:sz w:val="21"/>
                <w:szCs w:val="22"/>
              </w:rPr>
            </w:pPr>
            <w:r>
              <w:rPr>
                <w:rFonts w:ascii="楷体" w:eastAsia="楷体" w:hAnsi="楷体" w:hint="eastAsia"/>
                <w:sz w:val="21"/>
                <w:szCs w:val="22"/>
              </w:rPr>
              <w:t>政策要点</w:t>
            </w:r>
          </w:p>
        </w:tc>
      </w:tr>
      <w:tr w:rsidR="000D0A14" w14:paraId="4E9EE4A4" w14:textId="77777777" w:rsidTr="004670C2">
        <w:tc>
          <w:tcPr>
            <w:tcW w:w="2268" w:type="dxa"/>
          </w:tcPr>
          <w:p w14:paraId="292F2862" w14:textId="77777777" w:rsidR="000D0A14" w:rsidRDefault="000D0A14" w:rsidP="004670C2">
            <w:pPr>
              <w:jc w:val="center"/>
              <w:rPr>
                <w:rFonts w:ascii="楷体" w:eastAsia="楷体" w:hAnsi="楷体" w:hint="eastAsia"/>
                <w:sz w:val="21"/>
                <w:szCs w:val="22"/>
              </w:rPr>
            </w:pPr>
            <w:r w:rsidRPr="004433B8">
              <w:rPr>
                <w:rFonts w:ascii="楷体" w:eastAsia="楷体" w:hAnsi="楷体"/>
                <w:sz w:val="21"/>
                <w:szCs w:val="22"/>
              </w:rPr>
              <w:lastRenderedPageBreak/>
              <w:t>陕西省加快推动人工智能产业发展实施方案 (2024-2026 年)</w:t>
            </w:r>
          </w:p>
        </w:tc>
        <w:tc>
          <w:tcPr>
            <w:tcW w:w="2127" w:type="dxa"/>
          </w:tcPr>
          <w:p w14:paraId="112D09E0" w14:textId="77777777" w:rsidR="000D0A14" w:rsidRDefault="000D0A14" w:rsidP="004670C2">
            <w:pPr>
              <w:jc w:val="center"/>
              <w:rPr>
                <w:rFonts w:ascii="楷体" w:eastAsia="楷体" w:hAnsi="楷体" w:hint="eastAsia"/>
                <w:sz w:val="21"/>
                <w:szCs w:val="22"/>
              </w:rPr>
            </w:pPr>
            <w:r>
              <w:rPr>
                <w:rFonts w:ascii="楷体" w:eastAsia="楷体" w:hAnsi="楷体" w:hint="eastAsia"/>
                <w:sz w:val="21"/>
                <w:szCs w:val="22"/>
              </w:rPr>
              <w:t>陕西省</w:t>
            </w:r>
          </w:p>
        </w:tc>
        <w:tc>
          <w:tcPr>
            <w:tcW w:w="5528" w:type="dxa"/>
          </w:tcPr>
          <w:p w14:paraId="07E09ACA" w14:textId="77777777" w:rsidR="000D0A14" w:rsidRDefault="000D0A14" w:rsidP="004670C2">
            <w:pPr>
              <w:rPr>
                <w:rFonts w:ascii="楷体" w:eastAsia="楷体" w:hAnsi="楷体" w:hint="eastAsia"/>
                <w:sz w:val="21"/>
                <w:szCs w:val="22"/>
              </w:rPr>
            </w:pPr>
            <w:r w:rsidRPr="004433B8">
              <w:rPr>
                <w:rFonts w:ascii="楷体" w:eastAsia="楷体" w:hAnsi="楷体"/>
                <w:sz w:val="21"/>
                <w:szCs w:val="22"/>
              </w:rPr>
              <w:t>整合省内算力资源，建设省级算力统筹调度平台，实现 “算力一网化、统筹一体化、调度一站式”，2026 年建设运营智能算达到 3000P 以上，可统筹的公共智能算力达到西部领先水平</w:t>
            </w:r>
          </w:p>
        </w:tc>
      </w:tr>
      <w:tr w:rsidR="000D0A14" w14:paraId="03EABCAF" w14:textId="77777777" w:rsidTr="004670C2">
        <w:tc>
          <w:tcPr>
            <w:tcW w:w="2268" w:type="dxa"/>
          </w:tcPr>
          <w:p w14:paraId="40B63654" w14:textId="77777777" w:rsidR="000D0A14" w:rsidRDefault="000D0A14" w:rsidP="004670C2">
            <w:pPr>
              <w:jc w:val="center"/>
              <w:rPr>
                <w:rFonts w:ascii="楷体" w:eastAsia="楷体" w:hAnsi="楷体" w:hint="eastAsia"/>
                <w:sz w:val="21"/>
                <w:szCs w:val="22"/>
              </w:rPr>
            </w:pPr>
            <w:r w:rsidRPr="004433B8">
              <w:rPr>
                <w:rFonts w:ascii="楷体" w:eastAsia="楷体" w:hAnsi="楷体"/>
                <w:sz w:val="21"/>
                <w:szCs w:val="22"/>
              </w:rPr>
              <w:t>北京市算力基础设施建设实施方案 (2024-2027 年)</w:t>
            </w:r>
          </w:p>
        </w:tc>
        <w:tc>
          <w:tcPr>
            <w:tcW w:w="2127" w:type="dxa"/>
          </w:tcPr>
          <w:p w14:paraId="294F0AAF" w14:textId="77777777" w:rsidR="000D0A14" w:rsidRDefault="000D0A14" w:rsidP="004670C2">
            <w:pPr>
              <w:jc w:val="center"/>
              <w:rPr>
                <w:rFonts w:ascii="楷体" w:eastAsia="楷体" w:hAnsi="楷体" w:hint="eastAsia"/>
                <w:sz w:val="21"/>
                <w:szCs w:val="22"/>
              </w:rPr>
            </w:pPr>
            <w:r>
              <w:rPr>
                <w:rFonts w:ascii="楷体" w:eastAsia="楷体" w:hAnsi="楷体" w:hint="eastAsia"/>
                <w:sz w:val="21"/>
                <w:szCs w:val="22"/>
              </w:rPr>
              <w:t>北京市</w:t>
            </w:r>
          </w:p>
        </w:tc>
        <w:tc>
          <w:tcPr>
            <w:tcW w:w="5528" w:type="dxa"/>
          </w:tcPr>
          <w:p w14:paraId="5859B111" w14:textId="77777777" w:rsidR="000D0A14" w:rsidRDefault="000D0A14" w:rsidP="004670C2">
            <w:pPr>
              <w:rPr>
                <w:rFonts w:ascii="楷体" w:eastAsia="楷体" w:hAnsi="楷体" w:hint="eastAsia"/>
                <w:sz w:val="21"/>
                <w:szCs w:val="22"/>
              </w:rPr>
            </w:pPr>
            <w:r w:rsidRPr="004433B8">
              <w:rPr>
                <w:rFonts w:ascii="楷体" w:eastAsia="楷体" w:hAnsi="楷体"/>
                <w:sz w:val="21"/>
                <w:szCs w:val="22"/>
              </w:rPr>
              <w:t>改变算建建设 “小散” 局面，集中建设一批智算单一大集群，到 2025 年，本市智算供给规模达到 45EFLOPS。到 2027 年，实现智算基础设施软硬件产品全栈自主可控，整体性能达到国内领先水平，具备 100% 自主可控智算中心建设能力</w:t>
            </w:r>
          </w:p>
        </w:tc>
      </w:tr>
      <w:tr w:rsidR="000D0A14" w14:paraId="5A839790" w14:textId="77777777" w:rsidTr="004670C2">
        <w:tc>
          <w:tcPr>
            <w:tcW w:w="2268" w:type="dxa"/>
          </w:tcPr>
          <w:p w14:paraId="5F554171" w14:textId="77777777" w:rsidR="000D0A14" w:rsidRDefault="000D0A14" w:rsidP="004670C2">
            <w:pPr>
              <w:jc w:val="center"/>
              <w:rPr>
                <w:rFonts w:ascii="楷体" w:eastAsia="楷体" w:hAnsi="楷体" w:hint="eastAsia"/>
                <w:sz w:val="21"/>
                <w:szCs w:val="22"/>
              </w:rPr>
            </w:pPr>
            <w:r w:rsidRPr="004433B8">
              <w:rPr>
                <w:rFonts w:ascii="楷体" w:eastAsia="楷体" w:hAnsi="楷体"/>
                <w:sz w:val="21"/>
                <w:szCs w:val="22"/>
              </w:rPr>
              <w:t>上海市智能算力基础设施高质量发展 “算力浦江” 智算行动实施方案</w:t>
            </w:r>
          </w:p>
        </w:tc>
        <w:tc>
          <w:tcPr>
            <w:tcW w:w="2127" w:type="dxa"/>
          </w:tcPr>
          <w:p w14:paraId="64BC6AE8" w14:textId="77777777" w:rsidR="000D0A14" w:rsidRDefault="000D0A14" w:rsidP="004670C2">
            <w:pPr>
              <w:jc w:val="center"/>
              <w:rPr>
                <w:rFonts w:ascii="楷体" w:eastAsia="楷体" w:hAnsi="楷体" w:hint="eastAsia"/>
                <w:sz w:val="21"/>
                <w:szCs w:val="22"/>
              </w:rPr>
            </w:pPr>
            <w:r>
              <w:rPr>
                <w:rFonts w:ascii="楷体" w:eastAsia="楷体" w:hAnsi="楷体" w:hint="eastAsia"/>
                <w:sz w:val="21"/>
                <w:szCs w:val="22"/>
              </w:rPr>
              <w:t>上海市</w:t>
            </w:r>
          </w:p>
        </w:tc>
        <w:tc>
          <w:tcPr>
            <w:tcW w:w="5528" w:type="dxa"/>
          </w:tcPr>
          <w:p w14:paraId="2B5E44D6" w14:textId="77777777" w:rsidR="000D0A14" w:rsidRDefault="000D0A14" w:rsidP="004670C2">
            <w:pPr>
              <w:rPr>
                <w:rFonts w:ascii="楷体" w:eastAsia="楷体" w:hAnsi="楷体" w:hint="eastAsia"/>
                <w:sz w:val="21"/>
                <w:szCs w:val="22"/>
              </w:rPr>
            </w:pPr>
            <w:r w:rsidRPr="004433B8">
              <w:rPr>
                <w:rFonts w:ascii="楷体" w:eastAsia="楷体" w:hAnsi="楷体"/>
                <w:sz w:val="21"/>
                <w:szCs w:val="22"/>
              </w:rPr>
              <w:t>到 2025 年，新建智算中心国产算力芯片使用占比超过 50%，国产存储使用占比超过 50%，PUE 值将降至 1.25 以下。到 2025 年，上海市智能算力规模将超过 30EFLOPS，占比达到总算力的 50% 以上，智算中心内先进存储容量占比达到 50% 以上</w:t>
            </w:r>
          </w:p>
        </w:tc>
      </w:tr>
      <w:tr w:rsidR="000D0A14" w14:paraId="6AE485EF" w14:textId="77777777" w:rsidTr="004670C2">
        <w:tc>
          <w:tcPr>
            <w:tcW w:w="2268" w:type="dxa"/>
          </w:tcPr>
          <w:p w14:paraId="055A56A4" w14:textId="77777777" w:rsidR="000D0A14" w:rsidRDefault="000D0A14" w:rsidP="004670C2">
            <w:pPr>
              <w:jc w:val="center"/>
              <w:rPr>
                <w:rFonts w:ascii="楷体" w:eastAsia="楷体" w:hAnsi="楷体" w:hint="eastAsia"/>
                <w:sz w:val="21"/>
                <w:szCs w:val="22"/>
              </w:rPr>
            </w:pPr>
            <w:r w:rsidRPr="004433B8">
              <w:rPr>
                <w:rFonts w:ascii="楷体" w:eastAsia="楷体" w:hAnsi="楷体"/>
                <w:sz w:val="21"/>
                <w:szCs w:val="22"/>
              </w:rPr>
              <w:t>广东省算力基础设施高质量发展行动暨 “粤算” 行动计划 (2024-2025 年)</w:t>
            </w:r>
          </w:p>
        </w:tc>
        <w:tc>
          <w:tcPr>
            <w:tcW w:w="2127" w:type="dxa"/>
          </w:tcPr>
          <w:p w14:paraId="75BA978F" w14:textId="77777777" w:rsidR="000D0A14" w:rsidRDefault="000D0A14" w:rsidP="004670C2">
            <w:pPr>
              <w:jc w:val="center"/>
              <w:rPr>
                <w:rFonts w:ascii="楷体" w:eastAsia="楷体" w:hAnsi="楷体" w:hint="eastAsia"/>
                <w:sz w:val="21"/>
                <w:szCs w:val="22"/>
              </w:rPr>
            </w:pPr>
            <w:r>
              <w:rPr>
                <w:rFonts w:ascii="楷体" w:eastAsia="楷体" w:hAnsi="楷体" w:hint="eastAsia"/>
                <w:sz w:val="21"/>
                <w:szCs w:val="22"/>
              </w:rPr>
              <w:t>广东省</w:t>
            </w:r>
          </w:p>
        </w:tc>
        <w:tc>
          <w:tcPr>
            <w:tcW w:w="5528" w:type="dxa"/>
          </w:tcPr>
          <w:p w14:paraId="12553BD1" w14:textId="77777777" w:rsidR="000D0A14" w:rsidRDefault="000D0A14" w:rsidP="004670C2">
            <w:pPr>
              <w:rPr>
                <w:rFonts w:ascii="楷体" w:eastAsia="楷体" w:hAnsi="楷体" w:hint="eastAsia"/>
                <w:sz w:val="21"/>
                <w:szCs w:val="22"/>
              </w:rPr>
            </w:pPr>
            <w:r w:rsidRPr="004433B8">
              <w:rPr>
                <w:rFonts w:ascii="楷体" w:eastAsia="楷体" w:hAnsi="楷体"/>
                <w:sz w:val="21"/>
                <w:szCs w:val="22"/>
              </w:rPr>
              <w:t>到 2025 年，在计算力方面，算力规模达到 38EFLOPS，智能算力占比达到 50%。建成智能计算中心 10 个，基本形成算力规模体量与数字化发展需求相适应、算力供给结构与业务需求相匹配的发展格局</w:t>
            </w:r>
          </w:p>
        </w:tc>
      </w:tr>
      <w:tr w:rsidR="000D0A14" w14:paraId="4711A422" w14:textId="77777777" w:rsidTr="004670C2">
        <w:tc>
          <w:tcPr>
            <w:tcW w:w="2268" w:type="dxa"/>
          </w:tcPr>
          <w:p w14:paraId="5BF306D4" w14:textId="77777777" w:rsidR="000D0A14" w:rsidRDefault="000D0A14" w:rsidP="004670C2">
            <w:pPr>
              <w:jc w:val="center"/>
              <w:rPr>
                <w:rFonts w:ascii="楷体" w:eastAsia="楷体" w:hAnsi="楷体" w:hint="eastAsia"/>
                <w:sz w:val="21"/>
                <w:szCs w:val="22"/>
              </w:rPr>
            </w:pPr>
            <w:r w:rsidRPr="00134AF1">
              <w:rPr>
                <w:rFonts w:ascii="楷体" w:eastAsia="楷体" w:hAnsi="楷体"/>
                <w:sz w:val="21"/>
                <w:szCs w:val="22"/>
              </w:rPr>
              <w:t>深圳市算力基础设施高质量发展行动计划 (2024-2025)</w:t>
            </w:r>
          </w:p>
        </w:tc>
        <w:tc>
          <w:tcPr>
            <w:tcW w:w="2127" w:type="dxa"/>
          </w:tcPr>
          <w:p w14:paraId="1559C72A" w14:textId="77777777" w:rsidR="000D0A14" w:rsidRDefault="000D0A14" w:rsidP="004670C2">
            <w:pPr>
              <w:jc w:val="center"/>
              <w:rPr>
                <w:rFonts w:ascii="楷体" w:eastAsia="楷体" w:hAnsi="楷体" w:hint="eastAsia"/>
                <w:sz w:val="21"/>
                <w:szCs w:val="22"/>
              </w:rPr>
            </w:pPr>
            <w:r>
              <w:rPr>
                <w:rFonts w:ascii="楷体" w:eastAsia="楷体" w:hAnsi="楷体" w:hint="eastAsia"/>
                <w:sz w:val="21"/>
                <w:szCs w:val="22"/>
              </w:rPr>
              <w:t>深圳市</w:t>
            </w:r>
          </w:p>
        </w:tc>
        <w:tc>
          <w:tcPr>
            <w:tcW w:w="5528" w:type="dxa"/>
          </w:tcPr>
          <w:p w14:paraId="303A490F" w14:textId="77777777" w:rsidR="000D0A14" w:rsidRDefault="000D0A14" w:rsidP="004670C2">
            <w:pPr>
              <w:rPr>
                <w:rFonts w:ascii="楷体" w:eastAsia="楷体" w:hAnsi="楷体" w:hint="eastAsia"/>
                <w:sz w:val="21"/>
                <w:szCs w:val="22"/>
              </w:rPr>
            </w:pPr>
            <w:r w:rsidRPr="00134AF1">
              <w:rPr>
                <w:rFonts w:ascii="楷体" w:eastAsia="楷体" w:hAnsi="楷体"/>
                <w:sz w:val="21"/>
                <w:szCs w:val="22"/>
              </w:rPr>
              <w:t>到 2025 年，通用算力达到 14 EFLOPS (FP32)，智能算力达到 25 EFLOPS (FP16)，超算算力达到 2 EFLOPS (FP64)，存储量达到 90EB。先进存储容量占比达到 80% 以上，重点行业核心数据、重要数据灾备覆盖率达到 100%</w:t>
            </w:r>
          </w:p>
        </w:tc>
      </w:tr>
      <w:tr w:rsidR="000D0A14" w14:paraId="1FA7EDE5" w14:textId="77777777" w:rsidTr="004670C2">
        <w:tc>
          <w:tcPr>
            <w:tcW w:w="2268" w:type="dxa"/>
          </w:tcPr>
          <w:p w14:paraId="0AD28479" w14:textId="77777777" w:rsidR="000D0A14" w:rsidRDefault="000D0A14" w:rsidP="004670C2">
            <w:pPr>
              <w:jc w:val="center"/>
              <w:rPr>
                <w:rFonts w:ascii="楷体" w:eastAsia="楷体" w:hAnsi="楷体" w:hint="eastAsia"/>
                <w:sz w:val="21"/>
                <w:szCs w:val="22"/>
              </w:rPr>
            </w:pPr>
            <w:r w:rsidRPr="00134AF1">
              <w:rPr>
                <w:rFonts w:ascii="楷体" w:eastAsia="楷体" w:hAnsi="楷体"/>
                <w:sz w:val="21"/>
                <w:szCs w:val="22"/>
              </w:rPr>
              <w:t>山东省数字基础设施建设行动方案 (2024-2025 年)</w:t>
            </w:r>
          </w:p>
        </w:tc>
        <w:tc>
          <w:tcPr>
            <w:tcW w:w="2127" w:type="dxa"/>
          </w:tcPr>
          <w:p w14:paraId="4930BA72" w14:textId="77777777" w:rsidR="000D0A14" w:rsidRDefault="000D0A14" w:rsidP="004670C2">
            <w:pPr>
              <w:jc w:val="center"/>
              <w:rPr>
                <w:rFonts w:ascii="楷体" w:eastAsia="楷体" w:hAnsi="楷体" w:hint="eastAsia"/>
                <w:sz w:val="21"/>
                <w:szCs w:val="22"/>
              </w:rPr>
            </w:pPr>
            <w:r>
              <w:rPr>
                <w:rFonts w:ascii="楷体" w:eastAsia="楷体" w:hAnsi="楷体" w:hint="eastAsia"/>
                <w:sz w:val="21"/>
                <w:szCs w:val="22"/>
              </w:rPr>
              <w:t>山东省</w:t>
            </w:r>
          </w:p>
        </w:tc>
        <w:tc>
          <w:tcPr>
            <w:tcW w:w="5528" w:type="dxa"/>
          </w:tcPr>
          <w:p w14:paraId="6D6D92DC" w14:textId="77777777" w:rsidR="000D0A14" w:rsidRDefault="000D0A14" w:rsidP="004670C2">
            <w:pPr>
              <w:rPr>
                <w:rFonts w:ascii="楷体" w:eastAsia="楷体" w:hAnsi="楷体" w:hint="eastAsia"/>
                <w:sz w:val="21"/>
                <w:szCs w:val="22"/>
              </w:rPr>
            </w:pPr>
            <w:r w:rsidRPr="00134AF1">
              <w:rPr>
                <w:rFonts w:ascii="楷体" w:eastAsia="楷体" w:hAnsi="楷体"/>
                <w:sz w:val="21"/>
                <w:szCs w:val="22"/>
              </w:rPr>
              <w:t>到 2025 年，全省数据中心在用标准机架总数达到 45 万个，总算力达到 12.5EFLOPS，智能算力占比达到 35%，算力规模达 65EB，先进存储占比达到 35% 以上</w:t>
            </w:r>
          </w:p>
        </w:tc>
      </w:tr>
      <w:tr w:rsidR="000D0A14" w14:paraId="6B021565" w14:textId="77777777" w:rsidTr="004670C2">
        <w:tc>
          <w:tcPr>
            <w:tcW w:w="2268" w:type="dxa"/>
          </w:tcPr>
          <w:p w14:paraId="085E3A4B" w14:textId="77777777" w:rsidR="000D0A14" w:rsidRDefault="000D0A14" w:rsidP="004670C2">
            <w:pPr>
              <w:jc w:val="center"/>
              <w:rPr>
                <w:rFonts w:ascii="楷体" w:eastAsia="楷体" w:hAnsi="楷体" w:hint="eastAsia"/>
                <w:sz w:val="21"/>
                <w:szCs w:val="22"/>
              </w:rPr>
            </w:pPr>
            <w:r w:rsidRPr="00134AF1">
              <w:rPr>
                <w:rFonts w:ascii="楷体" w:eastAsia="楷体" w:hAnsi="楷体"/>
                <w:sz w:val="21"/>
                <w:szCs w:val="22"/>
              </w:rPr>
              <w:t>河南省重大新型基础设施建设提速行动方案 (2023-2025 年)</w:t>
            </w:r>
          </w:p>
        </w:tc>
        <w:tc>
          <w:tcPr>
            <w:tcW w:w="2127" w:type="dxa"/>
          </w:tcPr>
          <w:p w14:paraId="21EF0965" w14:textId="77777777" w:rsidR="000D0A14" w:rsidRDefault="000D0A14" w:rsidP="004670C2">
            <w:pPr>
              <w:jc w:val="center"/>
              <w:rPr>
                <w:rFonts w:ascii="楷体" w:eastAsia="楷体" w:hAnsi="楷体" w:hint="eastAsia"/>
                <w:sz w:val="21"/>
                <w:szCs w:val="22"/>
              </w:rPr>
            </w:pPr>
            <w:r>
              <w:rPr>
                <w:rFonts w:ascii="楷体" w:eastAsia="楷体" w:hAnsi="楷体" w:hint="eastAsia"/>
                <w:sz w:val="21"/>
                <w:szCs w:val="22"/>
              </w:rPr>
              <w:t>河南省</w:t>
            </w:r>
          </w:p>
        </w:tc>
        <w:tc>
          <w:tcPr>
            <w:tcW w:w="5528" w:type="dxa"/>
          </w:tcPr>
          <w:p w14:paraId="6A48195E" w14:textId="77777777" w:rsidR="000D0A14" w:rsidRDefault="000D0A14" w:rsidP="004670C2">
            <w:pPr>
              <w:rPr>
                <w:rFonts w:ascii="楷体" w:eastAsia="楷体" w:hAnsi="楷体" w:hint="eastAsia"/>
                <w:sz w:val="21"/>
                <w:szCs w:val="22"/>
              </w:rPr>
            </w:pPr>
            <w:r w:rsidRPr="00134AF1">
              <w:rPr>
                <w:rFonts w:ascii="楷体" w:eastAsia="楷体" w:hAnsi="楷体"/>
                <w:sz w:val="21"/>
                <w:szCs w:val="22"/>
              </w:rPr>
              <w:t>到 2025 年智算和超算算力规模超过 2000PFLOPS，高性能算力占比超过 30%。持续提升国家超算郑州中心超算能力，建设智算中心和郑州城市算力网调度中心，资源利用率达到 70%</w:t>
            </w:r>
          </w:p>
        </w:tc>
      </w:tr>
      <w:tr w:rsidR="000D0A14" w14:paraId="3CFAD3F3" w14:textId="77777777" w:rsidTr="004670C2">
        <w:tc>
          <w:tcPr>
            <w:tcW w:w="2268" w:type="dxa"/>
          </w:tcPr>
          <w:p w14:paraId="49FBB342" w14:textId="77777777" w:rsidR="000D0A14" w:rsidRDefault="000D0A14" w:rsidP="004670C2">
            <w:pPr>
              <w:jc w:val="center"/>
              <w:rPr>
                <w:rFonts w:ascii="楷体" w:eastAsia="楷体" w:hAnsi="楷体" w:hint="eastAsia"/>
                <w:sz w:val="21"/>
                <w:szCs w:val="22"/>
              </w:rPr>
            </w:pPr>
            <w:r w:rsidRPr="00134AF1">
              <w:rPr>
                <w:rFonts w:ascii="楷体" w:eastAsia="楷体" w:hAnsi="楷体"/>
                <w:sz w:val="21"/>
                <w:szCs w:val="22"/>
              </w:rPr>
              <w:t>临港新片区加快构建算力产业生态行动方案 (2023-2025 年)</w:t>
            </w:r>
          </w:p>
        </w:tc>
        <w:tc>
          <w:tcPr>
            <w:tcW w:w="2127" w:type="dxa"/>
          </w:tcPr>
          <w:p w14:paraId="5818D6A6" w14:textId="77777777" w:rsidR="000D0A14" w:rsidRDefault="000D0A14" w:rsidP="004670C2">
            <w:pPr>
              <w:jc w:val="center"/>
              <w:rPr>
                <w:rFonts w:ascii="楷体" w:eastAsia="楷体" w:hAnsi="楷体" w:hint="eastAsia"/>
                <w:sz w:val="21"/>
                <w:szCs w:val="22"/>
              </w:rPr>
            </w:pPr>
            <w:r>
              <w:rPr>
                <w:rFonts w:ascii="楷体" w:eastAsia="楷体" w:hAnsi="楷体" w:hint="eastAsia"/>
                <w:sz w:val="21"/>
                <w:szCs w:val="22"/>
              </w:rPr>
              <w:t>上海市</w:t>
            </w:r>
          </w:p>
        </w:tc>
        <w:tc>
          <w:tcPr>
            <w:tcW w:w="5528" w:type="dxa"/>
          </w:tcPr>
          <w:p w14:paraId="4BEF78D1" w14:textId="77777777" w:rsidR="000D0A14" w:rsidRDefault="000D0A14" w:rsidP="004670C2">
            <w:pPr>
              <w:rPr>
                <w:rFonts w:ascii="楷体" w:eastAsia="楷体" w:hAnsi="楷体" w:hint="eastAsia"/>
                <w:sz w:val="21"/>
                <w:szCs w:val="22"/>
              </w:rPr>
            </w:pPr>
            <w:r w:rsidRPr="00134AF1">
              <w:rPr>
                <w:rFonts w:ascii="楷体" w:eastAsia="楷体" w:hAnsi="楷体"/>
                <w:sz w:val="21"/>
                <w:szCs w:val="22"/>
              </w:rPr>
              <w:t>到 2025 年，新片区算力供给形成以智算算力为主、基础算力和超算算力协同的多元算力供给体系，总算力超过 5EFLOPS (FP32)，AI 算力占比达到 80%，新建数据中心 PUE 控制在 1.25 以内</w:t>
            </w:r>
          </w:p>
        </w:tc>
      </w:tr>
      <w:tr w:rsidR="000D0A14" w14:paraId="200A954A" w14:textId="77777777" w:rsidTr="004670C2">
        <w:tc>
          <w:tcPr>
            <w:tcW w:w="2268" w:type="dxa"/>
          </w:tcPr>
          <w:p w14:paraId="7DA1EBF0" w14:textId="77777777" w:rsidR="000D0A14" w:rsidRPr="00134AF1" w:rsidRDefault="000D0A14" w:rsidP="004670C2">
            <w:pPr>
              <w:jc w:val="center"/>
              <w:rPr>
                <w:rFonts w:ascii="楷体" w:eastAsia="楷体" w:hAnsi="楷体" w:hint="eastAsia"/>
                <w:sz w:val="21"/>
                <w:szCs w:val="22"/>
              </w:rPr>
            </w:pPr>
            <w:r w:rsidRPr="00134AF1">
              <w:rPr>
                <w:rFonts w:ascii="楷体" w:eastAsia="楷体" w:hAnsi="楷体"/>
                <w:sz w:val="21"/>
                <w:szCs w:val="22"/>
              </w:rPr>
              <w:t>面向全国的算力保障基地建设规划</w:t>
            </w:r>
          </w:p>
        </w:tc>
        <w:tc>
          <w:tcPr>
            <w:tcW w:w="2127" w:type="dxa"/>
          </w:tcPr>
          <w:p w14:paraId="47E54E26" w14:textId="77777777" w:rsidR="000D0A14" w:rsidRDefault="000D0A14" w:rsidP="004670C2">
            <w:pPr>
              <w:jc w:val="center"/>
              <w:rPr>
                <w:rFonts w:ascii="楷体" w:eastAsia="楷体" w:hAnsi="楷体" w:hint="eastAsia"/>
                <w:sz w:val="21"/>
                <w:szCs w:val="22"/>
              </w:rPr>
            </w:pPr>
            <w:r w:rsidRPr="00134AF1">
              <w:rPr>
                <w:rFonts w:ascii="楷体" w:eastAsia="楷体" w:hAnsi="楷体"/>
                <w:sz w:val="21"/>
                <w:szCs w:val="22"/>
              </w:rPr>
              <w:t>贵州</w:t>
            </w:r>
            <w:r>
              <w:rPr>
                <w:rFonts w:ascii="楷体" w:eastAsia="楷体" w:hAnsi="楷体" w:hint="eastAsia"/>
                <w:sz w:val="21"/>
                <w:szCs w:val="22"/>
              </w:rPr>
              <w:t>省</w:t>
            </w:r>
          </w:p>
        </w:tc>
        <w:tc>
          <w:tcPr>
            <w:tcW w:w="5528" w:type="dxa"/>
          </w:tcPr>
          <w:p w14:paraId="42F3DA4D" w14:textId="77777777" w:rsidR="000D0A14" w:rsidRDefault="000D0A14" w:rsidP="004670C2">
            <w:pPr>
              <w:rPr>
                <w:rFonts w:ascii="楷体" w:eastAsia="楷体" w:hAnsi="楷体" w:hint="eastAsia"/>
                <w:sz w:val="21"/>
                <w:szCs w:val="22"/>
              </w:rPr>
            </w:pPr>
            <w:r w:rsidRPr="00134AF1">
              <w:rPr>
                <w:rFonts w:ascii="楷体" w:eastAsia="楷体" w:hAnsi="楷体"/>
                <w:sz w:val="21"/>
                <w:szCs w:val="22"/>
              </w:rPr>
              <w:t>围绕高可靠、高可用目标，从备份中心提升为计算中心、效益中心，重点布局智算基础设施，形成低时延人工智能算力基地、全国低成本中心、高安全中心，到 2024 年通用算力、智算算力、超算算力的总规模达到 5EFLOPS</w:t>
            </w:r>
          </w:p>
        </w:tc>
      </w:tr>
    </w:tbl>
    <w:p w14:paraId="510DFF24" w14:textId="41F2CF50" w:rsidR="000D0A14" w:rsidRPr="0093680D" w:rsidRDefault="007C571C" w:rsidP="00A74B74">
      <w:pPr>
        <w:rPr>
          <w:rFonts w:ascii="楷体" w:eastAsia="楷体" w:hAnsi="楷体" w:hint="eastAsia"/>
          <w:sz w:val="21"/>
          <w:szCs w:val="22"/>
        </w:rPr>
      </w:pPr>
      <w:r>
        <w:rPr>
          <w:rFonts w:ascii="楷体" w:eastAsia="楷体" w:hAnsi="楷体" w:hint="eastAsia"/>
          <w:sz w:val="21"/>
          <w:szCs w:val="22"/>
        </w:rPr>
        <w:t>信息来源：银河证券</w:t>
      </w:r>
    </w:p>
    <w:p w14:paraId="4AD2E162" w14:textId="77777777" w:rsidR="000D0A14" w:rsidRPr="000D0A14" w:rsidRDefault="000D0A14" w:rsidP="000D0A14">
      <w:pPr>
        <w:rPr>
          <w:rFonts w:hint="eastAsia"/>
        </w:rPr>
      </w:pPr>
    </w:p>
    <w:p w14:paraId="1D542165" w14:textId="3B760489" w:rsidR="007C571C" w:rsidRPr="00B06509" w:rsidRDefault="009B0F67" w:rsidP="000D0A14">
      <w:pPr>
        <w:pStyle w:val="2"/>
        <w:rPr>
          <w:rFonts w:ascii="楷体" w:eastAsia="楷体" w:hAnsi="楷体" w:hint="eastAsia"/>
        </w:rPr>
      </w:pPr>
      <w:r w:rsidRPr="00B06509">
        <w:rPr>
          <w:rFonts w:ascii="楷体" w:eastAsia="楷体" w:hAnsi="楷体" w:hint="eastAsia"/>
        </w:rPr>
        <w:lastRenderedPageBreak/>
        <w:t>3.</w:t>
      </w:r>
      <w:r w:rsidR="00D17872" w:rsidRPr="00B06509">
        <w:rPr>
          <w:rFonts w:ascii="楷体" w:eastAsia="楷体" w:hAnsi="楷体" w:hint="eastAsia"/>
        </w:rPr>
        <w:t>4.</w:t>
      </w:r>
      <w:r w:rsidR="007C571C" w:rsidRPr="00B06509">
        <w:rPr>
          <w:rFonts w:ascii="楷体" w:eastAsia="楷体" w:hAnsi="楷体" w:hint="eastAsia"/>
        </w:rPr>
        <w:t>传统通信的良性嬗变</w:t>
      </w:r>
    </w:p>
    <w:p w14:paraId="4FCDF73B" w14:textId="2026872D" w:rsidR="00F0048F" w:rsidRPr="00B06509" w:rsidRDefault="00F0048F" w:rsidP="00F0048F">
      <w:pPr>
        <w:pStyle w:val="3"/>
        <w:rPr>
          <w:rFonts w:ascii="楷体" w:eastAsia="楷体" w:hAnsi="楷体" w:hint="eastAsia"/>
        </w:rPr>
      </w:pPr>
      <w:r w:rsidRPr="00B06509">
        <w:rPr>
          <w:rFonts w:ascii="楷体" w:eastAsia="楷体" w:hAnsi="楷体" w:hint="eastAsia"/>
        </w:rPr>
        <w:t>3.4.1 运营商</w:t>
      </w:r>
    </w:p>
    <w:p w14:paraId="372ED7C1" w14:textId="0FA972FB" w:rsidR="00202C92" w:rsidRPr="00B06509" w:rsidRDefault="007E683E" w:rsidP="007C571C">
      <w:pPr>
        <w:rPr>
          <w:rFonts w:ascii="楷体" w:eastAsia="楷体" w:hAnsi="楷体" w:hint="eastAsia"/>
        </w:rPr>
      </w:pPr>
      <w:r w:rsidRPr="00B06509">
        <w:rPr>
          <w:rFonts w:ascii="楷体" w:eastAsia="楷体" w:hAnsi="楷体"/>
        </w:rPr>
        <w:t>经营业绩层面，据工信部统计，2025 年前三季度国内电信业务累计收入为 13270 亿元，同比增长 0.9%（9M24：2.6%），电信业务总量同比增长 9%（9M24：10.7%），较去年同期收入增速有所放缓。我们认为主要系当前国内移动电话用户数总量已达 18.28 亿户，5G 移动电话用户占比也已提升至 63.9%，移动电话用户量的增长逐步触及天花板。细分来看，移动互联网流量仍然保持较快增长，1-9 月移动互联网累计流量达到 2874 亿 GB，同比增长 16.6%，5月户均移动互联网接入流量（DOU）达到 21.23GB/户·月，同比增长 15.5%；固网业务方面，固网接入用户总数达到 6.95 亿户，较2024年末净增长 2486 万，千兆宽带用户数占比提升至 33.9%，固网业务市场收入仍然具备良好的成长性。</w:t>
      </w:r>
      <w:r w:rsidR="009B7AFA" w:rsidRPr="00B06509">
        <w:rPr>
          <w:rFonts w:ascii="楷体" w:eastAsia="楷体" w:hAnsi="楷体" w:hint="eastAsia"/>
        </w:rPr>
        <w:t>传统业务基本盘仍然稳固。</w:t>
      </w:r>
    </w:p>
    <w:p w14:paraId="36187DB3" w14:textId="6D7F6A7D" w:rsidR="007E683E" w:rsidRDefault="00B519E6" w:rsidP="007C571C">
      <w:pPr>
        <w:rPr>
          <w:rFonts w:hint="eastAsia"/>
        </w:rPr>
      </w:pPr>
      <w:r>
        <w:rPr>
          <w:noProof/>
        </w:rPr>
        <w:drawing>
          <wp:inline distT="0" distB="0" distL="0" distR="0" wp14:anchorId="4C25232A" wp14:editId="39250BAA">
            <wp:extent cx="5274310" cy="2103755"/>
            <wp:effectExtent l="0" t="0" r="2540" b="0"/>
            <wp:docPr id="5238445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44596" name=""/>
                    <pic:cNvPicPr/>
                  </pic:nvPicPr>
                  <pic:blipFill>
                    <a:blip r:embed="rId22"/>
                    <a:stretch>
                      <a:fillRect/>
                    </a:stretch>
                  </pic:blipFill>
                  <pic:spPr>
                    <a:xfrm>
                      <a:off x="0" y="0"/>
                      <a:ext cx="5274310" cy="2103755"/>
                    </a:xfrm>
                    <a:prstGeom prst="rect">
                      <a:avLst/>
                    </a:prstGeom>
                  </pic:spPr>
                </pic:pic>
              </a:graphicData>
            </a:graphic>
          </wp:inline>
        </w:drawing>
      </w:r>
    </w:p>
    <w:p w14:paraId="2CC535C5" w14:textId="72EA317C" w:rsidR="007E683E" w:rsidRDefault="00B519E6" w:rsidP="007C571C">
      <w:pPr>
        <w:rPr>
          <w:rFonts w:hint="eastAsia"/>
        </w:rPr>
      </w:pPr>
      <w:r>
        <w:rPr>
          <w:noProof/>
        </w:rPr>
        <w:drawing>
          <wp:inline distT="0" distB="0" distL="0" distR="0" wp14:anchorId="1D796014" wp14:editId="08B6292E">
            <wp:extent cx="5274310" cy="1952625"/>
            <wp:effectExtent l="0" t="0" r="2540" b="9525"/>
            <wp:docPr id="1266395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95493" name=""/>
                    <pic:cNvPicPr/>
                  </pic:nvPicPr>
                  <pic:blipFill>
                    <a:blip r:embed="rId23"/>
                    <a:stretch>
                      <a:fillRect/>
                    </a:stretch>
                  </pic:blipFill>
                  <pic:spPr>
                    <a:xfrm>
                      <a:off x="0" y="0"/>
                      <a:ext cx="5274310" cy="1952625"/>
                    </a:xfrm>
                    <a:prstGeom prst="rect">
                      <a:avLst/>
                    </a:prstGeom>
                  </pic:spPr>
                </pic:pic>
              </a:graphicData>
            </a:graphic>
          </wp:inline>
        </w:drawing>
      </w:r>
    </w:p>
    <w:p w14:paraId="72DB76A2" w14:textId="77777777" w:rsidR="00823430" w:rsidRPr="00B06509" w:rsidRDefault="004B37D1" w:rsidP="004B37D1">
      <w:pPr>
        <w:rPr>
          <w:rFonts w:ascii="楷体" w:eastAsia="楷体" w:hAnsi="楷体" w:hint="eastAsia"/>
        </w:rPr>
      </w:pPr>
      <w:r w:rsidRPr="00B06509">
        <w:rPr>
          <w:rFonts w:ascii="楷体" w:eastAsia="楷体" w:hAnsi="楷体" w:hint="eastAsia"/>
        </w:rPr>
        <w:t>数字化领域，国内三大运营商作为科技央企的标杆，也在积极推进“AI+”行动的深度和广度。</w:t>
      </w:r>
    </w:p>
    <w:p w14:paraId="3CBFB0C9" w14:textId="77777777" w:rsidR="00823430" w:rsidRPr="00B06509" w:rsidRDefault="004B37D1" w:rsidP="004B37D1">
      <w:pPr>
        <w:rPr>
          <w:rFonts w:ascii="楷体" w:eastAsia="楷体" w:hAnsi="楷体" w:hint="eastAsia"/>
        </w:rPr>
      </w:pPr>
      <w:r w:rsidRPr="00B06509">
        <w:rPr>
          <w:rFonts w:ascii="楷体" w:eastAsia="楷体" w:hAnsi="楷体" w:hint="eastAsia"/>
        </w:rPr>
        <w:t>中国移动在 2025 年中报披露，AI+DICT 签约项目 1485 个，AI 化产品客户累计 2 亿户，AI 直接收入实现高速增长；</w:t>
      </w:r>
    </w:p>
    <w:p w14:paraId="5F958DEA" w14:textId="77777777" w:rsidR="00823430" w:rsidRPr="00B06509" w:rsidRDefault="004B37D1" w:rsidP="004B37D1">
      <w:pPr>
        <w:rPr>
          <w:rFonts w:ascii="楷体" w:eastAsia="楷体" w:hAnsi="楷体" w:hint="eastAsia"/>
        </w:rPr>
      </w:pPr>
      <w:r w:rsidRPr="00B06509">
        <w:rPr>
          <w:rFonts w:ascii="楷体" w:eastAsia="楷体" w:hAnsi="楷体" w:hint="eastAsia"/>
        </w:rPr>
        <w:t xml:space="preserve">中国电信则以“息壤”为核心，构建完成智能云体系，自用+接入智算规模达到 </w:t>
      </w:r>
      <w:r w:rsidRPr="00B06509">
        <w:rPr>
          <w:rFonts w:ascii="楷体" w:eastAsia="楷体" w:hAnsi="楷体" w:hint="eastAsia"/>
        </w:rPr>
        <w:lastRenderedPageBreak/>
        <w:t>77EFLOPS，以算力+平台+数据+模型+应用为代表的 AI 一体化智能服务收入达 63 亿元，同比增长 89.4%；</w:t>
      </w:r>
    </w:p>
    <w:p w14:paraId="43CA0B7E" w14:textId="77777777" w:rsidR="00823430" w:rsidRPr="00B06509" w:rsidRDefault="004B37D1" w:rsidP="004B37D1">
      <w:pPr>
        <w:rPr>
          <w:rFonts w:ascii="楷体" w:eastAsia="楷体" w:hAnsi="楷体" w:hint="eastAsia"/>
        </w:rPr>
      </w:pPr>
      <w:r w:rsidRPr="00B06509">
        <w:rPr>
          <w:rFonts w:ascii="楷体" w:eastAsia="楷体" w:hAnsi="楷体" w:hint="eastAsia"/>
        </w:rPr>
        <w:t>中国联通的数据中心业务在 AI 应用需求的带动下增速有所提升，AIDC 2025 年上半年签约额同比增长 60%，智算总规模达到 30EFLOPS。</w:t>
      </w:r>
    </w:p>
    <w:p w14:paraId="6A368591" w14:textId="0CF49C5A" w:rsidR="004B37D1" w:rsidRPr="00B06509" w:rsidRDefault="00823430" w:rsidP="004B37D1">
      <w:pPr>
        <w:rPr>
          <w:rFonts w:ascii="楷体" w:eastAsia="楷体" w:hAnsi="楷体" w:hint="eastAsia"/>
        </w:rPr>
      </w:pPr>
      <w:r w:rsidRPr="00B06509">
        <w:rPr>
          <w:rFonts w:ascii="楷体" w:eastAsia="楷体" w:hAnsi="楷体" w:hint="eastAsia"/>
        </w:rPr>
        <w:t>总的来说，</w:t>
      </w:r>
      <w:r w:rsidRPr="00B06509">
        <w:rPr>
          <w:rFonts w:ascii="楷体" w:eastAsia="楷体" w:hAnsi="楷体"/>
        </w:rPr>
        <w:t>三大运营商正加速战略重心向算力网络迁移，</w:t>
      </w:r>
      <w:r w:rsidRPr="00B06509">
        <w:rPr>
          <w:rFonts w:ascii="楷体" w:eastAsia="楷体" w:hAnsi="楷体"/>
          <w:b/>
          <w:bCs/>
        </w:rPr>
        <w:t>从“连接管道”向“算力底座”跃迁</w:t>
      </w:r>
      <w:r w:rsidRPr="00B06509">
        <w:rPr>
          <w:rFonts w:ascii="楷体" w:eastAsia="楷体" w:hAnsi="楷体"/>
        </w:rPr>
        <w:t>，以AI算力基建为第二增长曲线，开启新一轮资本开支结构的重构。</w:t>
      </w:r>
    </w:p>
    <w:p w14:paraId="5877DF74" w14:textId="4D30BF19" w:rsidR="00205912" w:rsidRPr="00B06509" w:rsidRDefault="000B5113" w:rsidP="001F2D5A">
      <w:pPr>
        <w:jc w:val="center"/>
        <w:rPr>
          <w:rFonts w:ascii="楷体" w:eastAsia="楷体" w:hAnsi="楷体" w:hint="eastAsia"/>
        </w:rPr>
      </w:pPr>
      <w:r w:rsidRPr="00B06509">
        <w:rPr>
          <w:rFonts w:ascii="楷体" w:eastAsia="楷体" w:hAnsi="楷体" w:hint="eastAsia"/>
        </w:rPr>
        <w:t>图</w:t>
      </w:r>
      <w:r w:rsidR="00205912" w:rsidRPr="00B06509">
        <w:rPr>
          <w:rFonts w:ascii="楷体" w:eastAsia="楷体" w:hAnsi="楷体" w:hint="eastAsia"/>
        </w:rPr>
        <w:t>：运营商智算投资部分展示</w:t>
      </w:r>
    </w:p>
    <w:p w14:paraId="4442678E" w14:textId="2BA13517" w:rsidR="000B5113" w:rsidRDefault="000B5113" w:rsidP="00AD701E">
      <w:pPr>
        <w:jc w:val="center"/>
        <w:rPr>
          <w:rFonts w:hint="eastAsia"/>
        </w:rPr>
      </w:pPr>
      <w:r>
        <w:rPr>
          <w:noProof/>
        </w:rPr>
        <w:drawing>
          <wp:inline distT="0" distB="0" distL="0" distR="0" wp14:anchorId="627E6DF3" wp14:editId="7A80A6B4">
            <wp:extent cx="5274310" cy="4598035"/>
            <wp:effectExtent l="0" t="0" r="2540" b="0"/>
            <wp:docPr id="3769832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83263" name=""/>
                    <pic:cNvPicPr/>
                  </pic:nvPicPr>
                  <pic:blipFill>
                    <a:blip r:embed="rId24"/>
                    <a:stretch>
                      <a:fillRect/>
                    </a:stretch>
                  </pic:blipFill>
                  <pic:spPr>
                    <a:xfrm>
                      <a:off x="0" y="0"/>
                      <a:ext cx="5274310" cy="4598035"/>
                    </a:xfrm>
                    <a:prstGeom prst="rect">
                      <a:avLst/>
                    </a:prstGeom>
                  </pic:spPr>
                </pic:pic>
              </a:graphicData>
            </a:graphic>
          </wp:inline>
        </w:drawing>
      </w:r>
    </w:p>
    <w:p w14:paraId="534FE83B" w14:textId="77C23999" w:rsidR="005655ED" w:rsidRDefault="004062E1" w:rsidP="004062E1">
      <w:pPr>
        <w:pStyle w:val="3"/>
        <w:rPr>
          <w:rFonts w:ascii="楷体" w:eastAsia="楷体" w:hAnsi="楷体"/>
        </w:rPr>
      </w:pPr>
      <w:r w:rsidRPr="00B06509">
        <w:rPr>
          <w:rFonts w:ascii="楷体" w:eastAsia="楷体" w:hAnsi="楷体" w:hint="eastAsia"/>
        </w:rPr>
        <w:t>3.4.2 传统设备厂商</w:t>
      </w:r>
    </w:p>
    <w:p w14:paraId="02CBD261" w14:textId="77777777" w:rsidR="003A336A" w:rsidRPr="003A336A" w:rsidRDefault="003A336A" w:rsidP="003A336A">
      <w:pPr>
        <w:rPr>
          <w:rFonts w:ascii="楷体" w:eastAsia="楷体" w:hAnsi="楷体" w:hint="eastAsia"/>
        </w:rPr>
      </w:pPr>
      <w:r w:rsidRPr="003A336A">
        <w:rPr>
          <w:rFonts w:ascii="楷体" w:eastAsia="楷体" w:hAnsi="楷体" w:hint="eastAsia"/>
        </w:rPr>
        <w:t>服务器上，全球AI服务器出货量（以机架为单位）预计将在2025年达到21万台，此后持续增长，到2030年有望攀升至70万台。在需求方面，微软、Meta、亚马逊等美国大型科技企业占据了全球AI服务器需求的40%以上。从中国市场来看，根据IDC报告，2024年中国人工智能算力市场规模达到190亿美元，2025年将达到259亿美元，同比增长36.2%，2028年将达到552亿美元。大模型兴起和生成式人工智能应用显著提升带动人工智能服务器市场规模持续扩大，带动光模块需求快速增长。</w:t>
      </w:r>
    </w:p>
    <w:p w14:paraId="57841FFB" w14:textId="77777777" w:rsidR="003A336A" w:rsidRPr="003A336A" w:rsidRDefault="003A336A" w:rsidP="003A336A">
      <w:pPr>
        <w:rPr>
          <w:rFonts w:hint="eastAsia"/>
        </w:rPr>
      </w:pPr>
    </w:p>
    <w:p w14:paraId="60B40506" w14:textId="77777777" w:rsidR="007716AF" w:rsidRPr="00B06509" w:rsidRDefault="004062E1" w:rsidP="004062E1">
      <w:pPr>
        <w:rPr>
          <w:rFonts w:ascii="楷体" w:eastAsia="楷体" w:hAnsi="楷体" w:hint="eastAsia"/>
        </w:rPr>
      </w:pPr>
      <w:r w:rsidRPr="00B06509">
        <w:rPr>
          <w:rFonts w:ascii="楷体" w:eastAsia="楷体" w:hAnsi="楷体"/>
        </w:rPr>
        <w:t>传统通信设备商正从"5G基站供应商"向"算力网络综合服务商"转型。以中兴通讯为例，其智算服务器业务在2024年已实现规模化出货，从单纯的CT设备（基站、传输）向IT设备（智算中心、存储）延伸。</w:t>
      </w:r>
    </w:p>
    <w:p w14:paraId="0A3BF6FE" w14:textId="3FA01050" w:rsidR="007716AF" w:rsidRPr="00B06509" w:rsidRDefault="007716AF" w:rsidP="007716AF">
      <w:pPr>
        <w:rPr>
          <w:rFonts w:ascii="楷体" w:eastAsia="楷体" w:hAnsi="楷体" w:hint="eastAsia"/>
        </w:rPr>
      </w:pPr>
      <w:r w:rsidRPr="00B06509">
        <w:rPr>
          <w:rFonts w:ascii="楷体" w:eastAsia="楷体" w:hAnsi="楷体" w:hint="eastAsia"/>
        </w:rPr>
        <w:t>2024年中兴通讯政企业务（含算力服务器、存储、数据中心交换机）实现营收185.7亿元，同比增长36.7%，其中国内政企业务增速近60%，服务器及存储收入实现翻番。至2025年第一季度，智算服务器订货在整体算力业务中占比已超60%，成为驱动增长的核心引擎。在运营商算力网络建设中，中兴通讯已拿下中国移动分布式存储集采新建项目最大份额，并以第一/第二名中标中国联通和中国电信数据中心交换机集采；在中国电信2024-2025年服务器规模集采（总规模15.6万台，其中国产化占比67.5%）中入围4个标包</w:t>
      </w:r>
    </w:p>
    <w:p w14:paraId="5BBF0AD4" w14:textId="7531955D" w:rsidR="004062E1" w:rsidRPr="00B06509" w:rsidRDefault="004062E1" w:rsidP="004062E1">
      <w:pPr>
        <w:rPr>
          <w:rFonts w:ascii="楷体" w:eastAsia="楷体" w:hAnsi="楷体" w:hint="eastAsia"/>
        </w:rPr>
      </w:pPr>
      <w:r w:rsidRPr="00B06509">
        <w:rPr>
          <w:rFonts w:ascii="楷体" w:eastAsia="楷体" w:hAnsi="楷体"/>
        </w:rPr>
        <w:t>这一转型的战略意义在于：当5G-A/6G进入平缓期，设备商通过切入算力基建市场，维持了与运营商客户的</w:t>
      </w:r>
      <w:r w:rsidR="008554AE" w:rsidRPr="00B06509">
        <w:rPr>
          <w:rFonts w:ascii="楷体" w:eastAsia="楷体" w:hAnsi="楷体" w:hint="eastAsia"/>
        </w:rPr>
        <w:t>同步</w:t>
      </w:r>
      <w:r w:rsidRPr="00B06509">
        <w:rPr>
          <w:rFonts w:ascii="楷体" w:eastAsia="楷体" w:hAnsi="楷体"/>
        </w:rPr>
        <w:t>绑定，同时为光模块需求提供了"设备-光互联"的系统性支撑</w:t>
      </w:r>
    </w:p>
    <w:p w14:paraId="5028E0F7" w14:textId="3EB21484" w:rsidR="00C35575" w:rsidRDefault="00C35575" w:rsidP="00C35575">
      <w:pPr>
        <w:pStyle w:val="3"/>
        <w:rPr>
          <w:rFonts w:hint="eastAsia"/>
        </w:rPr>
      </w:pPr>
      <w:r>
        <w:rPr>
          <w:rFonts w:hint="eastAsia"/>
        </w:rPr>
        <w:t>3.4.3 光纤</w:t>
      </w:r>
    </w:p>
    <w:p w14:paraId="165B68B8" w14:textId="77777777" w:rsidR="001223F0" w:rsidRDefault="001223F0" w:rsidP="001223F0"/>
    <w:p w14:paraId="2BF5CF88" w14:textId="77777777" w:rsidR="00B2122C" w:rsidRPr="00E6295E" w:rsidRDefault="00B2122C" w:rsidP="00B2122C">
      <w:pPr>
        <w:rPr>
          <w:rFonts w:hint="eastAsia"/>
        </w:rPr>
      </w:pPr>
    </w:p>
    <w:p w14:paraId="75569A90" w14:textId="62C03834" w:rsidR="00472F09" w:rsidRPr="00826331" w:rsidRDefault="005234D7" w:rsidP="00970978">
      <w:pPr>
        <w:pStyle w:val="1"/>
        <w:rPr>
          <w:rFonts w:hint="eastAsia"/>
        </w:rPr>
      </w:pPr>
      <w:r>
        <w:rPr>
          <w:rFonts w:hint="eastAsia"/>
        </w:rPr>
        <w:t>4.</w:t>
      </w:r>
      <w:r w:rsidR="00472F09" w:rsidRPr="00826331">
        <w:rPr>
          <w:rFonts w:hint="eastAsia"/>
        </w:rPr>
        <w:t>投资标的1：515050</w:t>
      </w:r>
    </w:p>
    <w:p w14:paraId="16746FE4" w14:textId="48C6C1FF" w:rsidR="00472F09" w:rsidRDefault="005234D7" w:rsidP="00826331">
      <w:pPr>
        <w:pStyle w:val="2"/>
        <w:rPr>
          <w:rFonts w:ascii="楷体" w:eastAsia="楷体" w:hAnsi="楷体" w:hint="eastAsia"/>
          <w:color w:val="auto"/>
        </w:rPr>
      </w:pPr>
      <w:r>
        <w:rPr>
          <w:rFonts w:ascii="楷体" w:eastAsia="楷体" w:hAnsi="楷体" w:hint="eastAsia"/>
          <w:color w:val="auto"/>
        </w:rPr>
        <w:t>4.1</w:t>
      </w:r>
      <w:r w:rsidR="00472F09" w:rsidRPr="00826331">
        <w:rPr>
          <w:rFonts w:ascii="楷体" w:eastAsia="楷体" w:hAnsi="楷体" w:hint="eastAsia"/>
          <w:color w:val="auto"/>
        </w:rPr>
        <w:t>基本信息：管理人，费率，十大持仓，估值，主题偏离，价格弹性，流动性，跟踪误差</w:t>
      </w:r>
    </w:p>
    <w:p w14:paraId="09429DB6" w14:textId="630E8C4A" w:rsidR="00D859AB" w:rsidRPr="00D859AB" w:rsidRDefault="00D859AB" w:rsidP="00D859AB">
      <w:pPr>
        <w:pStyle w:val="2"/>
        <w:rPr>
          <w:rFonts w:hint="eastAsia"/>
        </w:rPr>
      </w:pPr>
      <w:r>
        <w:rPr>
          <w:rFonts w:hint="eastAsia"/>
        </w:rPr>
        <w:t>4.2 仓内个股分析</w:t>
      </w:r>
    </w:p>
    <w:p w14:paraId="0BF52EC3" w14:textId="350BEE61" w:rsidR="00472F09" w:rsidRPr="00826331" w:rsidRDefault="005234D7" w:rsidP="00826331">
      <w:pPr>
        <w:pStyle w:val="2"/>
        <w:rPr>
          <w:rFonts w:ascii="楷体" w:eastAsia="楷体" w:hAnsi="楷体" w:hint="eastAsia"/>
          <w:color w:val="auto"/>
        </w:rPr>
      </w:pPr>
      <w:r>
        <w:rPr>
          <w:rFonts w:ascii="楷体" w:eastAsia="楷体" w:hAnsi="楷体" w:hint="eastAsia"/>
          <w:color w:val="auto"/>
        </w:rPr>
        <w:t>4.2</w:t>
      </w:r>
      <w:r w:rsidR="00472F09" w:rsidRPr="00826331">
        <w:rPr>
          <w:rFonts w:ascii="楷体" w:eastAsia="楷体" w:hAnsi="楷体" w:hint="eastAsia"/>
          <w:color w:val="auto"/>
        </w:rPr>
        <w:t>港股可</w:t>
      </w:r>
      <w:r w:rsidR="00D859AB">
        <w:rPr>
          <w:rFonts w:ascii="楷体" w:eastAsia="楷体" w:hAnsi="楷体" w:hint="eastAsia"/>
          <w:color w:val="auto"/>
        </w:rPr>
        <w:t>比</w:t>
      </w:r>
      <w:r w:rsidR="00472F09" w:rsidRPr="00826331">
        <w:rPr>
          <w:rFonts w:ascii="楷体" w:eastAsia="楷体" w:hAnsi="楷体" w:hint="eastAsia"/>
          <w:color w:val="auto"/>
        </w:rPr>
        <w:t>标的</w:t>
      </w:r>
    </w:p>
    <w:p w14:paraId="580F9367" w14:textId="37798612" w:rsidR="00472F09" w:rsidRPr="00826331" w:rsidRDefault="005234D7" w:rsidP="00472F09">
      <w:pPr>
        <w:pStyle w:val="1"/>
        <w:rPr>
          <w:rFonts w:ascii="楷体" w:eastAsia="楷体" w:hAnsi="楷体" w:hint="eastAsia"/>
          <w:color w:val="auto"/>
        </w:rPr>
      </w:pPr>
      <w:r>
        <w:rPr>
          <w:rFonts w:ascii="楷体" w:eastAsia="楷体" w:hAnsi="楷体" w:hint="eastAsia"/>
          <w:color w:val="auto"/>
        </w:rPr>
        <w:t>5.</w:t>
      </w:r>
      <w:r w:rsidR="00472F09" w:rsidRPr="00826331">
        <w:rPr>
          <w:rFonts w:ascii="楷体" w:eastAsia="楷体" w:hAnsi="楷体" w:hint="eastAsia"/>
          <w:color w:val="auto"/>
        </w:rPr>
        <w:t>投资标的2：515800</w:t>
      </w:r>
    </w:p>
    <w:p w14:paraId="6896C8D5" w14:textId="77777777" w:rsidR="00472F09" w:rsidRPr="00826331" w:rsidRDefault="00472F09" w:rsidP="00472F09">
      <w:pPr>
        <w:pStyle w:val="a9"/>
        <w:numPr>
          <w:ilvl w:val="1"/>
          <w:numId w:val="1"/>
        </w:numPr>
        <w:rPr>
          <w:rFonts w:ascii="楷体" w:eastAsia="楷体" w:hAnsi="楷体" w:hint="eastAsia"/>
        </w:rPr>
      </w:pPr>
      <w:r w:rsidRPr="00826331">
        <w:rPr>
          <w:rFonts w:ascii="楷体" w:eastAsia="楷体" w:hAnsi="楷体" w:hint="eastAsia"/>
        </w:rPr>
        <w:t>同上</w:t>
      </w:r>
    </w:p>
    <w:p w14:paraId="7BA37B3A" w14:textId="7DD8F8CE" w:rsidR="00472F09" w:rsidRPr="00826331" w:rsidRDefault="005234D7" w:rsidP="00472F09">
      <w:pPr>
        <w:pStyle w:val="1"/>
        <w:rPr>
          <w:rFonts w:ascii="楷体" w:eastAsia="楷体" w:hAnsi="楷体" w:hint="eastAsia"/>
          <w:color w:val="auto"/>
        </w:rPr>
      </w:pPr>
      <w:r>
        <w:rPr>
          <w:rFonts w:ascii="楷体" w:eastAsia="楷体" w:hAnsi="楷体" w:hint="eastAsia"/>
          <w:color w:val="auto"/>
        </w:rPr>
        <w:lastRenderedPageBreak/>
        <w:t>6.</w:t>
      </w:r>
      <w:r w:rsidR="00472F09" w:rsidRPr="00826331">
        <w:rPr>
          <w:rFonts w:ascii="楷体" w:eastAsia="楷体" w:hAnsi="楷体" w:hint="eastAsia"/>
          <w:color w:val="auto"/>
        </w:rPr>
        <w:t>投资风险</w:t>
      </w:r>
    </w:p>
    <w:p w14:paraId="5B3DA2D0" w14:textId="6B2AA272" w:rsidR="00CD480A" w:rsidRDefault="009A1C45" w:rsidP="009A1C45">
      <w:pPr>
        <w:pStyle w:val="1"/>
        <w:rPr>
          <w:rFonts w:hint="eastAsia"/>
        </w:rPr>
      </w:pPr>
      <w:r>
        <w:rPr>
          <w:rFonts w:hint="eastAsia"/>
        </w:rPr>
        <w:t>7. 素材</w:t>
      </w:r>
    </w:p>
    <w:p w14:paraId="17650FC0" w14:textId="4FF2176D" w:rsidR="00332E22" w:rsidRPr="00332E22" w:rsidRDefault="00332E22" w:rsidP="00332E22">
      <w:pPr>
        <w:pStyle w:val="2"/>
        <w:rPr>
          <w:rFonts w:hint="eastAsia"/>
        </w:rPr>
      </w:pPr>
      <w:r>
        <w:rPr>
          <w:rFonts w:hint="eastAsia"/>
        </w:rPr>
        <w:t>20251231申万</w:t>
      </w:r>
    </w:p>
    <w:p w14:paraId="6239E6EC" w14:textId="03DDA27E" w:rsidR="009A1C45" w:rsidRDefault="009A1C45" w:rsidP="009A1C45">
      <w:pPr>
        <w:rPr>
          <w:rFonts w:hint="eastAsia"/>
        </w:rPr>
      </w:pPr>
      <w:r>
        <w:rPr>
          <w:rFonts w:hint="eastAsia"/>
        </w:rPr>
        <w:t xml:space="preserve">Scale up </w:t>
      </w:r>
    </w:p>
    <w:p w14:paraId="2F11E77D" w14:textId="0F3DDA0B" w:rsidR="009A1C45" w:rsidRDefault="009A1C45" w:rsidP="009A1C45">
      <w:pPr>
        <w:rPr>
          <w:rFonts w:hint="eastAsia"/>
        </w:rPr>
      </w:pPr>
      <w:r>
        <w:rPr>
          <w:noProof/>
        </w:rPr>
        <w:drawing>
          <wp:inline distT="0" distB="0" distL="0" distR="0" wp14:anchorId="52E29B0E" wp14:editId="76826C70">
            <wp:extent cx="5274310" cy="3119755"/>
            <wp:effectExtent l="0" t="0" r="2540" b="4445"/>
            <wp:docPr id="100430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0151" name=""/>
                    <pic:cNvPicPr/>
                  </pic:nvPicPr>
                  <pic:blipFill>
                    <a:blip r:embed="rId25"/>
                    <a:stretch>
                      <a:fillRect/>
                    </a:stretch>
                  </pic:blipFill>
                  <pic:spPr>
                    <a:xfrm>
                      <a:off x="0" y="0"/>
                      <a:ext cx="5274310" cy="3119755"/>
                    </a:xfrm>
                    <a:prstGeom prst="rect">
                      <a:avLst/>
                    </a:prstGeom>
                  </pic:spPr>
                </pic:pic>
              </a:graphicData>
            </a:graphic>
          </wp:inline>
        </w:drawing>
      </w:r>
    </w:p>
    <w:p w14:paraId="061EA6C9" w14:textId="27E56A58" w:rsidR="00332E22" w:rsidRDefault="00332E22" w:rsidP="009A1C45">
      <w:pPr>
        <w:rPr>
          <w:rFonts w:hint="eastAsia"/>
        </w:rPr>
      </w:pPr>
      <w:r>
        <w:rPr>
          <w:rFonts w:hint="eastAsia"/>
        </w:rPr>
        <w:t>硅光大趋势</w:t>
      </w:r>
    </w:p>
    <w:p w14:paraId="7F88A178" w14:textId="793117AD" w:rsidR="00677340" w:rsidRDefault="00677340" w:rsidP="009A1C45">
      <w:pPr>
        <w:rPr>
          <w:rFonts w:hint="eastAsia"/>
        </w:rPr>
      </w:pPr>
      <w:r>
        <w:rPr>
          <w:noProof/>
        </w:rPr>
        <w:drawing>
          <wp:inline distT="0" distB="0" distL="0" distR="0" wp14:anchorId="6B665323" wp14:editId="464FB7CB">
            <wp:extent cx="5274310" cy="2913380"/>
            <wp:effectExtent l="0" t="0" r="2540" b="1270"/>
            <wp:docPr id="10245861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86124" name=""/>
                    <pic:cNvPicPr/>
                  </pic:nvPicPr>
                  <pic:blipFill>
                    <a:blip r:embed="rId26"/>
                    <a:stretch>
                      <a:fillRect/>
                    </a:stretch>
                  </pic:blipFill>
                  <pic:spPr>
                    <a:xfrm>
                      <a:off x="0" y="0"/>
                      <a:ext cx="5274310" cy="2913380"/>
                    </a:xfrm>
                    <a:prstGeom prst="rect">
                      <a:avLst/>
                    </a:prstGeom>
                  </pic:spPr>
                </pic:pic>
              </a:graphicData>
            </a:graphic>
          </wp:inline>
        </w:drawing>
      </w:r>
    </w:p>
    <w:p w14:paraId="387189A3" w14:textId="075571BC" w:rsidR="00677340" w:rsidRDefault="00677340" w:rsidP="009A1C45">
      <w:pPr>
        <w:rPr>
          <w:rFonts w:hint="eastAsia"/>
        </w:rPr>
      </w:pPr>
      <w:r>
        <w:rPr>
          <w:rFonts w:hint="eastAsia"/>
        </w:rPr>
        <w:lastRenderedPageBreak/>
        <w:t>算力集群</w:t>
      </w:r>
    </w:p>
    <w:p w14:paraId="2F1F9871" w14:textId="55D6A07F" w:rsidR="00677340" w:rsidRPr="009A1C45" w:rsidRDefault="00677340" w:rsidP="009A1C45">
      <w:pPr>
        <w:rPr>
          <w:rFonts w:hint="eastAsia"/>
        </w:rPr>
      </w:pPr>
      <w:r>
        <w:rPr>
          <w:noProof/>
        </w:rPr>
        <w:drawing>
          <wp:inline distT="0" distB="0" distL="0" distR="0" wp14:anchorId="25D81708" wp14:editId="79695805">
            <wp:extent cx="5274310" cy="2337435"/>
            <wp:effectExtent l="0" t="0" r="2540" b="5715"/>
            <wp:docPr id="1654042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042833" name=""/>
                    <pic:cNvPicPr/>
                  </pic:nvPicPr>
                  <pic:blipFill>
                    <a:blip r:embed="rId27"/>
                    <a:stretch>
                      <a:fillRect/>
                    </a:stretch>
                  </pic:blipFill>
                  <pic:spPr>
                    <a:xfrm>
                      <a:off x="0" y="0"/>
                      <a:ext cx="5274310" cy="2337435"/>
                    </a:xfrm>
                    <a:prstGeom prst="rect">
                      <a:avLst/>
                    </a:prstGeom>
                  </pic:spPr>
                </pic:pic>
              </a:graphicData>
            </a:graphic>
          </wp:inline>
        </w:drawing>
      </w:r>
    </w:p>
    <w:sectPr w:rsidR="00677340" w:rsidRPr="009A1C45">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张曦瑾" w:date="2026-04-17T10:12:00Z" w:initials="ZX">
    <w:p w14:paraId="22318B19" w14:textId="77777777" w:rsidR="003916AC" w:rsidRDefault="003916AC" w:rsidP="003916AC">
      <w:pPr>
        <w:pStyle w:val="af4"/>
        <w:rPr>
          <w:rFonts w:hint="eastAsia"/>
        </w:rPr>
      </w:pPr>
      <w:r>
        <w:rPr>
          <w:rStyle w:val="af3"/>
          <w:rFonts w:hint="eastAsia"/>
        </w:rPr>
        <w:annotationRef/>
      </w:r>
      <w:r>
        <w:rPr>
          <w:rFonts w:hint="eastAsia"/>
          <w:highlight w:val="black"/>
        </w:rPr>
        <w:t>改为</w:t>
      </w:r>
      <w:r>
        <w:rPr>
          <w:rFonts w:hint="eastAsia"/>
          <w:b/>
          <w:bCs/>
          <w:highlight w:val="black"/>
        </w:rPr>
        <w:t>"技术路线未收敛阶段的头部集中效应"</w:t>
      </w:r>
      <w:r>
        <w:rPr>
          <w:rFonts w:hint="eastAsia"/>
          <w:highlight w:val="black"/>
        </w:rPr>
        <w:t>——说明"由于技术路线未定（CPO vs LPO vs可插拔），只有具备多路径研发能力的头部厂商能捕获代际红利，这在指数层面体现为光模块龙头的权重提升"</w:t>
      </w:r>
      <w:r>
        <w:rPr>
          <w:rFonts w:hint="eastAsia"/>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318B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46594C" w16cex:dateUtc="2026-04-17T02: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318B19" w16cid:durableId="4C46594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19F29" w14:textId="77777777" w:rsidR="008E4E43" w:rsidRDefault="008E4E43" w:rsidP="00472F09">
      <w:pPr>
        <w:spacing w:after="0" w:line="240" w:lineRule="auto"/>
        <w:rPr>
          <w:rFonts w:hint="eastAsia"/>
        </w:rPr>
      </w:pPr>
      <w:r>
        <w:separator/>
      </w:r>
    </w:p>
  </w:endnote>
  <w:endnote w:type="continuationSeparator" w:id="0">
    <w:p w14:paraId="7ACE2330" w14:textId="77777777" w:rsidR="008E4E43" w:rsidRDefault="008E4E43" w:rsidP="00472F0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3EB9B" w14:textId="77777777" w:rsidR="008E4E43" w:rsidRDefault="008E4E43" w:rsidP="00472F09">
      <w:pPr>
        <w:spacing w:after="0" w:line="240" w:lineRule="auto"/>
        <w:rPr>
          <w:rFonts w:hint="eastAsia"/>
        </w:rPr>
      </w:pPr>
      <w:r>
        <w:separator/>
      </w:r>
    </w:p>
  </w:footnote>
  <w:footnote w:type="continuationSeparator" w:id="0">
    <w:p w14:paraId="4AC8BC74" w14:textId="77777777" w:rsidR="008E4E43" w:rsidRDefault="008E4E43" w:rsidP="00472F0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2436"/>
    <w:multiLevelType w:val="multilevel"/>
    <w:tmpl w:val="D732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D1E35"/>
    <w:multiLevelType w:val="multilevel"/>
    <w:tmpl w:val="1E54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5643B"/>
    <w:multiLevelType w:val="multilevel"/>
    <w:tmpl w:val="CE6C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23612"/>
    <w:multiLevelType w:val="multilevel"/>
    <w:tmpl w:val="18EA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F1EF7"/>
    <w:multiLevelType w:val="multilevel"/>
    <w:tmpl w:val="2F32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45E75"/>
    <w:multiLevelType w:val="multilevel"/>
    <w:tmpl w:val="0A96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2D7A5D"/>
    <w:multiLevelType w:val="multilevel"/>
    <w:tmpl w:val="4B94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EB1E56"/>
    <w:multiLevelType w:val="hybridMultilevel"/>
    <w:tmpl w:val="5A34CE14"/>
    <w:lvl w:ilvl="0" w:tplc="50FC608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7DB0B5C"/>
    <w:multiLevelType w:val="multilevel"/>
    <w:tmpl w:val="E40C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98091E"/>
    <w:multiLevelType w:val="multilevel"/>
    <w:tmpl w:val="E188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D3D0F"/>
    <w:multiLevelType w:val="multilevel"/>
    <w:tmpl w:val="53F8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B14E9C"/>
    <w:multiLevelType w:val="multilevel"/>
    <w:tmpl w:val="199C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130CDA"/>
    <w:multiLevelType w:val="hybridMultilevel"/>
    <w:tmpl w:val="D6D2C300"/>
    <w:lvl w:ilvl="0" w:tplc="56102A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16B14A2"/>
    <w:multiLevelType w:val="multilevel"/>
    <w:tmpl w:val="A16E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032863"/>
    <w:multiLevelType w:val="hybridMultilevel"/>
    <w:tmpl w:val="D44285E6"/>
    <w:lvl w:ilvl="0" w:tplc="868AD5FE">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5B184024">
      <w:start w:val="1"/>
      <w:numFmt w:val="decimal"/>
      <w:lvlText w:val="%5."/>
      <w:lvlJc w:val="left"/>
      <w:pPr>
        <w:ind w:left="2200" w:hanging="440"/>
      </w:pPr>
      <w:rPr>
        <w:rFonts w:asciiTheme="minorHAnsi" w:eastAsiaTheme="minorEastAsia" w:hAnsiTheme="minorHAnsi" w:cstheme="minorBidi"/>
      </w:r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6B950C9D"/>
    <w:multiLevelType w:val="multilevel"/>
    <w:tmpl w:val="48E8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200F9D"/>
    <w:multiLevelType w:val="hybridMultilevel"/>
    <w:tmpl w:val="ADB0D21A"/>
    <w:lvl w:ilvl="0" w:tplc="1C7060D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F0E03EF"/>
    <w:multiLevelType w:val="multilevel"/>
    <w:tmpl w:val="1E4A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018950">
    <w:abstractNumId w:val="14"/>
  </w:num>
  <w:num w:numId="2" w16cid:durableId="2118864515">
    <w:abstractNumId w:val="12"/>
  </w:num>
  <w:num w:numId="3" w16cid:durableId="2145081666">
    <w:abstractNumId w:val="16"/>
  </w:num>
  <w:num w:numId="4" w16cid:durableId="1789084530">
    <w:abstractNumId w:val="7"/>
  </w:num>
  <w:num w:numId="5" w16cid:durableId="1665817677">
    <w:abstractNumId w:val="15"/>
  </w:num>
  <w:num w:numId="6" w16cid:durableId="1105033161">
    <w:abstractNumId w:val="9"/>
  </w:num>
  <w:num w:numId="7" w16cid:durableId="207036108">
    <w:abstractNumId w:val="5"/>
  </w:num>
  <w:num w:numId="8" w16cid:durableId="915820418">
    <w:abstractNumId w:val="8"/>
  </w:num>
  <w:num w:numId="9" w16cid:durableId="1596085060">
    <w:abstractNumId w:val="17"/>
  </w:num>
  <w:num w:numId="10" w16cid:durableId="1757902569">
    <w:abstractNumId w:val="3"/>
  </w:num>
  <w:num w:numId="11" w16cid:durableId="1004239508">
    <w:abstractNumId w:val="1"/>
  </w:num>
  <w:num w:numId="12" w16cid:durableId="1531606110">
    <w:abstractNumId w:val="0"/>
  </w:num>
  <w:num w:numId="13" w16cid:durableId="70198436">
    <w:abstractNumId w:val="2"/>
  </w:num>
  <w:num w:numId="14" w16cid:durableId="1760517994">
    <w:abstractNumId w:val="13"/>
  </w:num>
  <w:num w:numId="15" w16cid:durableId="316735986">
    <w:abstractNumId w:val="6"/>
  </w:num>
  <w:num w:numId="16" w16cid:durableId="449130353">
    <w:abstractNumId w:val="11"/>
  </w:num>
  <w:num w:numId="17" w16cid:durableId="1949507576">
    <w:abstractNumId w:val="10"/>
  </w:num>
  <w:num w:numId="18" w16cid:durableId="71095800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张曦瑾">
    <w15:presenceInfo w15:providerId="None" w15:userId="张曦瑾"/>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80A"/>
    <w:rsid w:val="00004432"/>
    <w:rsid w:val="00010F1D"/>
    <w:rsid w:val="000110DB"/>
    <w:rsid w:val="00026B3D"/>
    <w:rsid w:val="000334ED"/>
    <w:rsid w:val="00055650"/>
    <w:rsid w:val="00071C8F"/>
    <w:rsid w:val="00073BDE"/>
    <w:rsid w:val="00097AB4"/>
    <w:rsid w:val="000A4F6E"/>
    <w:rsid w:val="000B5113"/>
    <w:rsid w:val="000B52A9"/>
    <w:rsid w:val="000C607A"/>
    <w:rsid w:val="000D0A14"/>
    <w:rsid w:val="000D7223"/>
    <w:rsid w:val="000E4FFC"/>
    <w:rsid w:val="000E705D"/>
    <w:rsid w:val="001223F0"/>
    <w:rsid w:val="0013016E"/>
    <w:rsid w:val="00134AF1"/>
    <w:rsid w:val="0014079A"/>
    <w:rsid w:val="00144B21"/>
    <w:rsid w:val="00147452"/>
    <w:rsid w:val="00192BDF"/>
    <w:rsid w:val="001A2EAB"/>
    <w:rsid w:val="001A4AEB"/>
    <w:rsid w:val="001A6C9B"/>
    <w:rsid w:val="001B5F26"/>
    <w:rsid w:val="001C13A0"/>
    <w:rsid w:val="001C5C90"/>
    <w:rsid w:val="001D375D"/>
    <w:rsid w:val="001D5B2B"/>
    <w:rsid w:val="001E22D6"/>
    <w:rsid w:val="001F2D5A"/>
    <w:rsid w:val="00202C92"/>
    <w:rsid w:val="00205912"/>
    <w:rsid w:val="002207FF"/>
    <w:rsid w:val="00223072"/>
    <w:rsid w:val="002235CF"/>
    <w:rsid w:val="00230F58"/>
    <w:rsid w:val="00243121"/>
    <w:rsid w:val="00253985"/>
    <w:rsid w:val="00254AC3"/>
    <w:rsid w:val="0028046D"/>
    <w:rsid w:val="00287950"/>
    <w:rsid w:val="002B7B2F"/>
    <w:rsid w:val="002B7E11"/>
    <w:rsid w:val="002E7612"/>
    <w:rsid w:val="003032DF"/>
    <w:rsid w:val="00320F20"/>
    <w:rsid w:val="00323760"/>
    <w:rsid w:val="0033116C"/>
    <w:rsid w:val="00331AFA"/>
    <w:rsid w:val="00332E22"/>
    <w:rsid w:val="003521E9"/>
    <w:rsid w:val="00365681"/>
    <w:rsid w:val="00377F56"/>
    <w:rsid w:val="0038544B"/>
    <w:rsid w:val="003916AC"/>
    <w:rsid w:val="00391854"/>
    <w:rsid w:val="003A336A"/>
    <w:rsid w:val="003D0889"/>
    <w:rsid w:val="003D6390"/>
    <w:rsid w:val="003F642F"/>
    <w:rsid w:val="004062E1"/>
    <w:rsid w:val="00414D7B"/>
    <w:rsid w:val="004433B8"/>
    <w:rsid w:val="004551D3"/>
    <w:rsid w:val="00462CF2"/>
    <w:rsid w:val="00472F09"/>
    <w:rsid w:val="004917B1"/>
    <w:rsid w:val="00496A60"/>
    <w:rsid w:val="004A6F72"/>
    <w:rsid w:val="004B37D1"/>
    <w:rsid w:val="004E6458"/>
    <w:rsid w:val="004F1186"/>
    <w:rsid w:val="004F6700"/>
    <w:rsid w:val="005066EE"/>
    <w:rsid w:val="005173CE"/>
    <w:rsid w:val="005234B2"/>
    <w:rsid w:val="005234D7"/>
    <w:rsid w:val="005267D3"/>
    <w:rsid w:val="00530A05"/>
    <w:rsid w:val="00535D53"/>
    <w:rsid w:val="00541AC5"/>
    <w:rsid w:val="0055785B"/>
    <w:rsid w:val="005655ED"/>
    <w:rsid w:val="00593063"/>
    <w:rsid w:val="006014FB"/>
    <w:rsid w:val="00611A5D"/>
    <w:rsid w:val="0062479A"/>
    <w:rsid w:val="006319A9"/>
    <w:rsid w:val="00640D63"/>
    <w:rsid w:val="00646D7A"/>
    <w:rsid w:val="0065363F"/>
    <w:rsid w:val="00677340"/>
    <w:rsid w:val="00682BBF"/>
    <w:rsid w:val="006835C2"/>
    <w:rsid w:val="006B04BA"/>
    <w:rsid w:val="006F2EE6"/>
    <w:rsid w:val="00703B24"/>
    <w:rsid w:val="00741AE2"/>
    <w:rsid w:val="007710CE"/>
    <w:rsid w:val="00771306"/>
    <w:rsid w:val="007716AF"/>
    <w:rsid w:val="00771A72"/>
    <w:rsid w:val="00775358"/>
    <w:rsid w:val="00776B4D"/>
    <w:rsid w:val="007A4294"/>
    <w:rsid w:val="007B1849"/>
    <w:rsid w:val="007B2E48"/>
    <w:rsid w:val="007C2467"/>
    <w:rsid w:val="007C311B"/>
    <w:rsid w:val="007C571C"/>
    <w:rsid w:val="007D7047"/>
    <w:rsid w:val="007D743E"/>
    <w:rsid w:val="007E683E"/>
    <w:rsid w:val="007F398B"/>
    <w:rsid w:val="008041E9"/>
    <w:rsid w:val="00806697"/>
    <w:rsid w:val="00823430"/>
    <w:rsid w:val="00826331"/>
    <w:rsid w:val="00826AB3"/>
    <w:rsid w:val="0084400D"/>
    <w:rsid w:val="008554AE"/>
    <w:rsid w:val="00855890"/>
    <w:rsid w:val="00872047"/>
    <w:rsid w:val="00886A8B"/>
    <w:rsid w:val="008A12F1"/>
    <w:rsid w:val="008A28F0"/>
    <w:rsid w:val="008C6D2D"/>
    <w:rsid w:val="008E4E43"/>
    <w:rsid w:val="008F02CF"/>
    <w:rsid w:val="008F0E2F"/>
    <w:rsid w:val="009175DA"/>
    <w:rsid w:val="009310DB"/>
    <w:rsid w:val="0093680D"/>
    <w:rsid w:val="009527E9"/>
    <w:rsid w:val="00970978"/>
    <w:rsid w:val="009750F1"/>
    <w:rsid w:val="009807DE"/>
    <w:rsid w:val="009A1C45"/>
    <w:rsid w:val="009A66ED"/>
    <w:rsid w:val="009B0F67"/>
    <w:rsid w:val="009B7AFA"/>
    <w:rsid w:val="009C5835"/>
    <w:rsid w:val="00A0015E"/>
    <w:rsid w:val="00A010EA"/>
    <w:rsid w:val="00A026E6"/>
    <w:rsid w:val="00A06F50"/>
    <w:rsid w:val="00A1645D"/>
    <w:rsid w:val="00A1702A"/>
    <w:rsid w:val="00A25FBE"/>
    <w:rsid w:val="00A73821"/>
    <w:rsid w:val="00A74B74"/>
    <w:rsid w:val="00A91545"/>
    <w:rsid w:val="00A97D62"/>
    <w:rsid w:val="00AB140F"/>
    <w:rsid w:val="00AB2271"/>
    <w:rsid w:val="00AC4E4B"/>
    <w:rsid w:val="00AD039D"/>
    <w:rsid w:val="00AD701E"/>
    <w:rsid w:val="00AF38C0"/>
    <w:rsid w:val="00AF50D7"/>
    <w:rsid w:val="00B06109"/>
    <w:rsid w:val="00B06509"/>
    <w:rsid w:val="00B2122C"/>
    <w:rsid w:val="00B263C4"/>
    <w:rsid w:val="00B34BFC"/>
    <w:rsid w:val="00B519E6"/>
    <w:rsid w:val="00B65C46"/>
    <w:rsid w:val="00B76CAA"/>
    <w:rsid w:val="00B95EA5"/>
    <w:rsid w:val="00BB10DE"/>
    <w:rsid w:val="00BC2DDF"/>
    <w:rsid w:val="00BD2663"/>
    <w:rsid w:val="00BD7180"/>
    <w:rsid w:val="00BD7437"/>
    <w:rsid w:val="00BD7482"/>
    <w:rsid w:val="00BE4CE7"/>
    <w:rsid w:val="00BE7237"/>
    <w:rsid w:val="00BF5647"/>
    <w:rsid w:val="00C053B1"/>
    <w:rsid w:val="00C30E07"/>
    <w:rsid w:val="00C35575"/>
    <w:rsid w:val="00C64626"/>
    <w:rsid w:val="00C74003"/>
    <w:rsid w:val="00C76C19"/>
    <w:rsid w:val="00C8746C"/>
    <w:rsid w:val="00C93410"/>
    <w:rsid w:val="00C940BE"/>
    <w:rsid w:val="00CA04B0"/>
    <w:rsid w:val="00CA71CA"/>
    <w:rsid w:val="00CB02E5"/>
    <w:rsid w:val="00CB5170"/>
    <w:rsid w:val="00CC1E37"/>
    <w:rsid w:val="00CC7144"/>
    <w:rsid w:val="00CD480A"/>
    <w:rsid w:val="00CF3FB6"/>
    <w:rsid w:val="00D164E3"/>
    <w:rsid w:val="00D17872"/>
    <w:rsid w:val="00D32A8D"/>
    <w:rsid w:val="00D37D95"/>
    <w:rsid w:val="00D4291C"/>
    <w:rsid w:val="00D43B84"/>
    <w:rsid w:val="00D507A6"/>
    <w:rsid w:val="00D54027"/>
    <w:rsid w:val="00D57B1D"/>
    <w:rsid w:val="00D7714A"/>
    <w:rsid w:val="00D8553F"/>
    <w:rsid w:val="00D8565A"/>
    <w:rsid w:val="00D859AB"/>
    <w:rsid w:val="00DA2302"/>
    <w:rsid w:val="00DF583E"/>
    <w:rsid w:val="00E11271"/>
    <w:rsid w:val="00E2476D"/>
    <w:rsid w:val="00E3649A"/>
    <w:rsid w:val="00E375CA"/>
    <w:rsid w:val="00E46329"/>
    <w:rsid w:val="00E46BE0"/>
    <w:rsid w:val="00E52BFD"/>
    <w:rsid w:val="00E5506E"/>
    <w:rsid w:val="00E55E04"/>
    <w:rsid w:val="00E6295E"/>
    <w:rsid w:val="00E90314"/>
    <w:rsid w:val="00EA0F1B"/>
    <w:rsid w:val="00EB1046"/>
    <w:rsid w:val="00EC3BED"/>
    <w:rsid w:val="00EE5F02"/>
    <w:rsid w:val="00EE6A0B"/>
    <w:rsid w:val="00EE7FE2"/>
    <w:rsid w:val="00EF20E3"/>
    <w:rsid w:val="00F0048F"/>
    <w:rsid w:val="00F03308"/>
    <w:rsid w:val="00F103F2"/>
    <w:rsid w:val="00F13561"/>
    <w:rsid w:val="00F13FB6"/>
    <w:rsid w:val="00F215BD"/>
    <w:rsid w:val="00F27B00"/>
    <w:rsid w:val="00F41017"/>
    <w:rsid w:val="00F41CEE"/>
    <w:rsid w:val="00F50B1A"/>
    <w:rsid w:val="00F5130F"/>
    <w:rsid w:val="00F528BF"/>
    <w:rsid w:val="00F52C3F"/>
    <w:rsid w:val="00F54B3E"/>
    <w:rsid w:val="00F579FA"/>
    <w:rsid w:val="00F60BEF"/>
    <w:rsid w:val="00F6352E"/>
    <w:rsid w:val="00F803F3"/>
    <w:rsid w:val="00F84A45"/>
    <w:rsid w:val="00FA0F5D"/>
    <w:rsid w:val="00FB5E3A"/>
    <w:rsid w:val="00FC3E5C"/>
    <w:rsid w:val="00FF001E"/>
    <w:rsid w:val="00FF12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ACD125"/>
  <w15:chartTrackingRefBased/>
  <w15:docId w15:val="{0F2D8C73-2807-4097-9833-CD5A59285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2F09"/>
    <w:pPr>
      <w:widowControl w:val="0"/>
    </w:pPr>
  </w:style>
  <w:style w:type="paragraph" w:styleId="1">
    <w:name w:val="heading 1"/>
    <w:basedOn w:val="a"/>
    <w:next w:val="a"/>
    <w:link w:val="10"/>
    <w:uiPriority w:val="9"/>
    <w:qFormat/>
    <w:rsid w:val="00CD480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CD480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CD480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CD480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D480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D480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D480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D480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D480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D480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CD480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CD480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CD480A"/>
    <w:rPr>
      <w:rFonts w:cstheme="majorBidi"/>
      <w:color w:val="2F5496" w:themeColor="accent1" w:themeShade="BF"/>
      <w:sz w:val="28"/>
      <w:szCs w:val="28"/>
    </w:rPr>
  </w:style>
  <w:style w:type="character" w:customStyle="1" w:styleId="50">
    <w:name w:val="标题 5 字符"/>
    <w:basedOn w:val="a0"/>
    <w:link w:val="5"/>
    <w:uiPriority w:val="9"/>
    <w:semiHidden/>
    <w:rsid w:val="00CD480A"/>
    <w:rPr>
      <w:rFonts w:cstheme="majorBidi"/>
      <w:color w:val="2F5496" w:themeColor="accent1" w:themeShade="BF"/>
      <w:sz w:val="24"/>
    </w:rPr>
  </w:style>
  <w:style w:type="character" w:customStyle="1" w:styleId="60">
    <w:name w:val="标题 6 字符"/>
    <w:basedOn w:val="a0"/>
    <w:link w:val="6"/>
    <w:uiPriority w:val="9"/>
    <w:semiHidden/>
    <w:rsid w:val="00CD480A"/>
    <w:rPr>
      <w:rFonts w:cstheme="majorBidi"/>
      <w:b/>
      <w:bCs/>
      <w:color w:val="2F5496" w:themeColor="accent1" w:themeShade="BF"/>
    </w:rPr>
  </w:style>
  <w:style w:type="character" w:customStyle="1" w:styleId="70">
    <w:name w:val="标题 7 字符"/>
    <w:basedOn w:val="a0"/>
    <w:link w:val="7"/>
    <w:uiPriority w:val="9"/>
    <w:semiHidden/>
    <w:rsid w:val="00CD480A"/>
    <w:rPr>
      <w:rFonts w:cstheme="majorBidi"/>
      <w:b/>
      <w:bCs/>
      <w:color w:val="595959" w:themeColor="text1" w:themeTint="A6"/>
    </w:rPr>
  </w:style>
  <w:style w:type="character" w:customStyle="1" w:styleId="80">
    <w:name w:val="标题 8 字符"/>
    <w:basedOn w:val="a0"/>
    <w:link w:val="8"/>
    <w:uiPriority w:val="9"/>
    <w:semiHidden/>
    <w:rsid w:val="00CD480A"/>
    <w:rPr>
      <w:rFonts w:cstheme="majorBidi"/>
      <w:color w:val="595959" w:themeColor="text1" w:themeTint="A6"/>
    </w:rPr>
  </w:style>
  <w:style w:type="character" w:customStyle="1" w:styleId="90">
    <w:name w:val="标题 9 字符"/>
    <w:basedOn w:val="a0"/>
    <w:link w:val="9"/>
    <w:uiPriority w:val="9"/>
    <w:semiHidden/>
    <w:rsid w:val="00CD480A"/>
    <w:rPr>
      <w:rFonts w:eastAsiaTheme="majorEastAsia" w:cstheme="majorBidi"/>
      <w:color w:val="595959" w:themeColor="text1" w:themeTint="A6"/>
    </w:rPr>
  </w:style>
  <w:style w:type="paragraph" w:styleId="a3">
    <w:name w:val="Title"/>
    <w:basedOn w:val="a"/>
    <w:next w:val="a"/>
    <w:link w:val="a4"/>
    <w:uiPriority w:val="10"/>
    <w:qFormat/>
    <w:rsid w:val="00CD480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D48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D480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D480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D480A"/>
    <w:pPr>
      <w:spacing w:before="160"/>
      <w:jc w:val="center"/>
    </w:pPr>
    <w:rPr>
      <w:i/>
      <w:iCs/>
      <w:color w:val="404040" w:themeColor="text1" w:themeTint="BF"/>
    </w:rPr>
  </w:style>
  <w:style w:type="character" w:customStyle="1" w:styleId="a8">
    <w:name w:val="引用 字符"/>
    <w:basedOn w:val="a0"/>
    <w:link w:val="a7"/>
    <w:uiPriority w:val="29"/>
    <w:rsid w:val="00CD480A"/>
    <w:rPr>
      <w:i/>
      <w:iCs/>
      <w:color w:val="404040" w:themeColor="text1" w:themeTint="BF"/>
    </w:rPr>
  </w:style>
  <w:style w:type="paragraph" w:styleId="a9">
    <w:name w:val="List Paragraph"/>
    <w:basedOn w:val="a"/>
    <w:uiPriority w:val="34"/>
    <w:qFormat/>
    <w:rsid w:val="00CD480A"/>
    <w:pPr>
      <w:ind w:left="720"/>
      <w:contextualSpacing/>
    </w:pPr>
  </w:style>
  <w:style w:type="character" w:styleId="aa">
    <w:name w:val="Intense Emphasis"/>
    <w:basedOn w:val="a0"/>
    <w:uiPriority w:val="21"/>
    <w:qFormat/>
    <w:rsid w:val="00CD480A"/>
    <w:rPr>
      <w:i/>
      <w:iCs/>
      <w:color w:val="2F5496" w:themeColor="accent1" w:themeShade="BF"/>
    </w:rPr>
  </w:style>
  <w:style w:type="paragraph" w:styleId="ab">
    <w:name w:val="Intense Quote"/>
    <w:basedOn w:val="a"/>
    <w:next w:val="a"/>
    <w:link w:val="ac"/>
    <w:uiPriority w:val="30"/>
    <w:qFormat/>
    <w:rsid w:val="00CD48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D480A"/>
    <w:rPr>
      <w:i/>
      <w:iCs/>
      <w:color w:val="2F5496" w:themeColor="accent1" w:themeShade="BF"/>
    </w:rPr>
  </w:style>
  <w:style w:type="character" w:styleId="ad">
    <w:name w:val="Intense Reference"/>
    <w:basedOn w:val="a0"/>
    <w:uiPriority w:val="32"/>
    <w:qFormat/>
    <w:rsid w:val="00CD480A"/>
    <w:rPr>
      <w:b/>
      <w:bCs/>
      <w:smallCaps/>
      <w:color w:val="2F5496" w:themeColor="accent1" w:themeShade="BF"/>
      <w:spacing w:val="5"/>
    </w:rPr>
  </w:style>
  <w:style w:type="paragraph" w:styleId="ae">
    <w:name w:val="header"/>
    <w:basedOn w:val="a"/>
    <w:link w:val="af"/>
    <w:uiPriority w:val="99"/>
    <w:unhideWhenUsed/>
    <w:rsid w:val="00472F0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72F09"/>
    <w:rPr>
      <w:sz w:val="18"/>
      <w:szCs w:val="18"/>
    </w:rPr>
  </w:style>
  <w:style w:type="paragraph" w:styleId="af0">
    <w:name w:val="footer"/>
    <w:basedOn w:val="a"/>
    <w:link w:val="af1"/>
    <w:uiPriority w:val="99"/>
    <w:unhideWhenUsed/>
    <w:rsid w:val="00472F0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72F09"/>
    <w:rPr>
      <w:sz w:val="18"/>
      <w:szCs w:val="18"/>
    </w:rPr>
  </w:style>
  <w:style w:type="table" w:styleId="af2">
    <w:name w:val="Table Grid"/>
    <w:basedOn w:val="a1"/>
    <w:uiPriority w:val="39"/>
    <w:rsid w:val="003521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annotation reference"/>
    <w:basedOn w:val="a0"/>
    <w:uiPriority w:val="99"/>
    <w:semiHidden/>
    <w:unhideWhenUsed/>
    <w:rsid w:val="003916AC"/>
    <w:rPr>
      <w:sz w:val="21"/>
      <w:szCs w:val="21"/>
    </w:rPr>
  </w:style>
  <w:style w:type="paragraph" w:styleId="af4">
    <w:name w:val="annotation text"/>
    <w:basedOn w:val="a"/>
    <w:link w:val="af5"/>
    <w:uiPriority w:val="99"/>
    <w:unhideWhenUsed/>
    <w:rsid w:val="003916AC"/>
  </w:style>
  <w:style w:type="character" w:customStyle="1" w:styleId="af5">
    <w:name w:val="批注文字 字符"/>
    <w:basedOn w:val="a0"/>
    <w:link w:val="af4"/>
    <w:uiPriority w:val="99"/>
    <w:rsid w:val="003916AC"/>
  </w:style>
  <w:style w:type="paragraph" w:styleId="af6">
    <w:name w:val="annotation subject"/>
    <w:basedOn w:val="af4"/>
    <w:next w:val="af4"/>
    <w:link w:val="af7"/>
    <w:uiPriority w:val="99"/>
    <w:semiHidden/>
    <w:unhideWhenUsed/>
    <w:rsid w:val="003916AC"/>
    <w:rPr>
      <w:b/>
      <w:bCs/>
    </w:rPr>
  </w:style>
  <w:style w:type="character" w:customStyle="1" w:styleId="af7">
    <w:name w:val="批注主题 字符"/>
    <w:basedOn w:val="af5"/>
    <w:link w:val="af6"/>
    <w:uiPriority w:val="99"/>
    <w:semiHidden/>
    <w:rsid w:val="003916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microsoft.com/office/2011/relationships/commentsExtended" Target="commentsExtended.xml"/><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comments" Target="comments.xml"/><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10.png"/><Relationship Id="rId20" Type="http://schemas.microsoft.com/office/2018/08/relationships/commentsExtensible" Target="commentsExtensible.xml"/><Relationship Id="rId29"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image" Target="media/image4.png"/><Relationship Id="rId19" Type="http://schemas.microsoft.com/office/2016/09/relationships/commentsIds" Target="commentsIds.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20</Pages>
  <Words>1471</Words>
  <Characters>8389</Characters>
  <Application>Microsoft Office Word</Application>
  <DocSecurity>0</DocSecurity>
  <Lines>69</Lines>
  <Paragraphs>19</Paragraphs>
  <ScaleCrop>false</ScaleCrop>
  <Company/>
  <LinksUpToDate>false</LinksUpToDate>
  <CharactersWithSpaces>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张曦瑾</dc:creator>
  <cp:keywords/>
  <dc:description/>
  <cp:lastModifiedBy>张曦瑾</cp:lastModifiedBy>
  <cp:revision>2</cp:revision>
  <dcterms:created xsi:type="dcterms:W3CDTF">2026-04-20T08:03:00Z</dcterms:created>
  <dcterms:modified xsi:type="dcterms:W3CDTF">2026-04-20T08:03:00Z</dcterms:modified>
</cp:coreProperties>
</file>