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05B50" w14:textId="4C9AAFAE" w:rsidR="00B563C8" w:rsidRDefault="00B563C8" w:rsidP="00B563C8">
      <w:pPr>
        <w:rPr>
          <w:rFonts w:hint="eastAsia"/>
        </w:rPr>
      </w:pPr>
      <w:r>
        <w:rPr>
          <w:rFonts w:hint="eastAsia"/>
        </w:rPr>
        <w:t>产业界定与边界划分</w:t>
      </w:r>
      <w:r>
        <w:rPr>
          <w:rFonts w:hint="eastAsia"/>
        </w:rPr>
        <w:tab/>
      </w:r>
    </w:p>
    <w:p w14:paraId="534BBFB0" w14:textId="21B66F00" w:rsidR="00B563C8" w:rsidRDefault="00B563C8" w:rsidP="00B563C8">
      <w:pPr>
        <w:rPr>
          <w:rFonts w:hint="eastAsia"/>
        </w:rPr>
      </w:pPr>
      <w:r>
        <w:rPr>
          <w:rFonts w:hint="eastAsia"/>
        </w:rPr>
        <w:t>增长动力与引擎拆解</w:t>
      </w:r>
      <w:r>
        <w:rPr>
          <w:rFonts w:hint="eastAsia"/>
        </w:rPr>
        <w:tab/>
      </w:r>
    </w:p>
    <w:p w14:paraId="1C05A28C" w14:textId="3F5D709C" w:rsidR="00B563C8" w:rsidRDefault="00B563C8" w:rsidP="00B563C8">
      <w:pPr>
        <w:rPr>
          <w:rFonts w:hint="eastAsia"/>
        </w:rPr>
      </w:pPr>
      <w:r>
        <w:rPr>
          <w:rFonts w:hint="eastAsia"/>
        </w:rPr>
        <w:t>全球市场格局与区域差异</w:t>
      </w:r>
      <w:r>
        <w:rPr>
          <w:rFonts w:hint="eastAsia"/>
        </w:rPr>
        <w:tab/>
      </w:r>
    </w:p>
    <w:p w14:paraId="1F39A602" w14:textId="27A0A38A" w:rsidR="00B563C8" w:rsidRDefault="00B563C8" w:rsidP="00B563C8">
      <w:pPr>
        <w:rPr>
          <w:rFonts w:hint="eastAsia"/>
        </w:rPr>
      </w:pPr>
      <w:r>
        <w:rPr>
          <w:rFonts w:hint="eastAsia"/>
        </w:rPr>
        <w:t>国内市场结构与演进阶段</w:t>
      </w:r>
      <w:r>
        <w:rPr>
          <w:rFonts w:hint="eastAsia"/>
        </w:rPr>
        <w:tab/>
      </w:r>
    </w:p>
    <w:p w14:paraId="01A269B5" w14:textId="6DDA3D82" w:rsidR="00B563C8" w:rsidRDefault="00B563C8" w:rsidP="00B563C8">
      <w:pPr>
        <w:rPr>
          <w:rFonts w:hint="eastAsia"/>
        </w:rPr>
      </w:pPr>
      <w:r>
        <w:rPr>
          <w:rFonts w:hint="eastAsia"/>
        </w:rPr>
        <w:t>技术路线选择与赌注</w:t>
      </w:r>
      <w:r>
        <w:rPr>
          <w:rFonts w:hint="eastAsia"/>
        </w:rPr>
        <w:tab/>
      </w:r>
    </w:p>
    <w:p w14:paraId="4EBDE319" w14:textId="25DC2E16" w:rsidR="00B563C8" w:rsidRDefault="00B563C8" w:rsidP="00B563C8">
      <w:pPr>
        <w:rPr>
          <w:rFonts w:hint="eastAsia"/>
        </w:rPr>
      </w:pPr>
      <w:r>
        <w:rPr>
          <w:rFonts w:hint="eastAsia"/>
        </w:rPr>
        <w:t>应用场景与价值链分析</w:t>
      </w:r>
      <w:r>
        <w:rPr>
          <w:rFonts w:hint="eastAsia"/>
        </w:rPr>
        <w:tab/>
      </w:r>
    </w:p>
    <w:p w14:paraId="65BE2593" w14:textId="7A5216D3" w:rsidR="00B563C8" w:rsidRDefault="00B563C8" w:rsidP="00B563C8">
      <w:pPr>
        <w:rPr>
          <w:rFonts w:hint="eastAsia"/>
        </w:rPr>
      </w:pPr>
      <w:r>
        <w:rPr>
          <w:rFonts w:hint="eastAsia"/>
        </w:rPr>
        <w:t>政策环境与合规套利空间</w:t>
      </w:r>
      <w:r>
        <w:rPr>
          <w:rFonts w:hint="eastAsia"/>
        </w:rPr>
        <w:tab/>
      </w:r>
    </w:p>
    <w:p w14:paraId="4AB4687F" w14:textId="410446FE" w:rsidR="00B563C8" w:rsidRDefault="00B563C8" w:rsidP="00B563C8">
      <w:pPr>
        <w:rPr>
          <w:rFonts w:hint="eastAsia"/>
        </w:rPr>
      </w:pPr>
      <w:r>
        <w:rPr>
          <w:rFonts w:hint="eastAsia"/>
        </w:rPr>
        <w:t>产业脆弱性与中断因子</w:t>
      </w:r>
      <w:r>
        <w:rPr>
          <w:rFonts w:hint="eastAsia"/>
        </w:rPr>
        <w:tab/>
      </w:r>
    </w:p>
    <w:p w14:paraId="17BF989B" w14:textId="08ADE76A" w:rsidR="005F537F" w:rsidRDefault="00B563C8" w:rsidP="00B563C8">
      <w:pPr>
        <w:rPr>
          <w:rFonts w:hint="eastAsia"/>
        </w:rPr>
      </w:pPr>
      <w:r>
        <w:rPr>
          <w:rFonts w:hint="eastAsia"/>
        </w:rPr>
        <w:t>战略选项与行动建议</w:t>
      </w:r>
      <w:r>
        <w:rPr>
          <w:rFonts w:hint="eastAsia"/>
        </w:rPr>
        <w:tab/>
      </w:r>
    </w:p>
    <w:p w14:paraId="367F8169" w14:textId="23A93895" w:rsidR="0003199B" w:rsidRDefault="007C59C6" w:rsidP="007C59C6">
      <w:pPr>
        <w:pStyle w:val="1"/>
        <w:rPr>
          <w:rFonts w:hint="eastAsia"/>
        </w:rPr>
      </w:pPr>
      <w:r>
        <w:rPr>
          <w:rFonts w:hint="eastAsia"/>
        </w:rPr>
        <w:t>——————分界线——————</w:t>
      </w:r>
    </w:p>
    <w:p w14:paraId="5D8D84E8" w14:textId="3EFFBABA" w:rsidR="0003199B" w:rsidRDefault="00B23F1D" w:rsidP="0003199B">
      <w:pPr>
        <w:pStyle w:val="1"/>
        <w:rPr>
          <w:rFonts w:hint="eastAsia"/>
        </w:rPr>
      </w:pPr>
      <w:r>
        <w:rPr>
          <w:rFonts w:hint="eastAsia"/>
        </w:rPr>
        <w:t>一.</w:t>
      </w:r>
      <w:r w:rsidR="0003199B">
        <w:rPr>
          <w:rFonts w:hint="eastAsia"/>
        </w:rPr>
        <w:t>行业概览</w:t>
      </w:r>
    </w:p>
    <w:p w14:paraId="09A608F3" w14:textId="0C215F50" w:rsidR="0003199B" w:rsidRDefault="00DB5844" w:rsidP="00E5628C">
      <w:pPr>
        <w:pStyle w:val="2"/>
        <w:rPr>
          <w:rFonts w:hint="eastAsia"/>
        </w:rPr>
      </w:pPr>
      <w:r>
        <w:rPr>
          <w:rFonts w:hint="eastAsia"/>
        </w:rPr>
        <w:t>.1</w:t>
      </w:r>
      <w:r w:rsidR="0003199B">
        <w:rPr>
          <w:rFonts w:hint="eastAsia"/>
        </w:rPr>
        <w:t>定义与分类</w:t>
      </w:r>
      <w:r w:rsidR="00C22F0C">
        <w:rPr>
          <w:rFonts w:hint="eastAsia"/>
        </w:rPr>
        <w:t xml:space="preserve"> √</w:t>
      </w:r>
    </w:p>
    <w:p w14:paraId="20FD36D6" w14:textId="249E167A" w:rsidR="007C59C6" w:rsidRDefault="007C59C6" w:rsidP="007C59C6">
      <w:pPr>
        <w:pStyle w:val="3"/>
        <w:rPr>
          <w:rFonts w:hint="eastAsia"/>
        </w:rPr>
      </w:pPr>
      <w:r>
        <w:rPr>
          <w:rFonts w:hint="eastAsia"/>
        </w:rPr>
        <w:t>定义</w:t>
      </w:r>
      <w:r w:rsidR="005870B1">
        <w:rPr>
          <w:rFonts w:hint="eastAsia"/>
        </w:rPr>
        <w:t xml:space="preserve"> √</w:t>
      </w:r>
    </w:p>
    <w:p w14:paraId="6F649B8E" w14:textId="77777777" w:rsidR="007C59C6" w:rsidRDefault="007C59C6" w:rsidP="007C59C6">
      <w:pPr>
        <w:rPr>
          <w:rFonts w:hint="eastAsia"/>
        </w:rPr>
      </w:pPr>
      <w:r w:rsidRPr="001577D2">
        <w:t>基础大模型，通常指通过海量多源数据训练、具备强大泛化能力的预训练模型（Pre-trained Models）。其核心特征在于参数规模巨大（通常达千亿乃至万亿级别），并能够理解和生成文本、图像、音频、视频等多种模态的内容。与传统针对特定任务的AI模型不同，基础大模型通过“预训练+微调”范式，展现出强大的通用任务处理能力和零样本/少样本学习能力，成为驱动当前人工智能浪潮的核心引擎。从技术架构演进看，行业已从早期专注于文本处理的大语言模型（LLM），快速迭代至能够原生处理并关联文本、图像、音频、视频等信息的多模态大语言模型（MLLM）</w:t>
      </w:r>
    </w:p>
    <w:p w14:paraId="1A5CA64D" w14:textId="28DE2293" w:rsidR="007C59C6" w:rsidRDefault="008D64F8" w:rsidP="008D64F8">
      <w:r>
        <w:rPr>
          <w:rFonts w:hint="eastAsia"/>
        </w:rPr>
        <w:t>大模型的核心创新在于将模型参数规模扩展至数十亿（B级）甚至万亿（TB）级别，配合海量无标注文本数据的预训练，使模型能够捕捉语言中的深层统计规律与语义关联。这种规模化的预训练方法使得模型展现出“涌现能力”（Emergent Abilities），即当模型规模突破特定阈值后，会突然表现出小模型不具备的复杂推理与泛化能力。当前主流大模型均采用decoder-only或encoder-decoder架构，通过下一个token预测任务进行自监督学习，在海量互联网文本、书籍、代码等多样化语料上完成预训练，形</w:t>
      </w:r>
      <w:r>
        <w:rPr>
          <w:rFonts w:hint="eastAsia"/>
        </w:rPr>
        <w:lastRenderedPageBreak/>
        <w:t>成通用的语言理解与生成能力基础。大模型的发展已深嵌国家战略安全、经济转型与社会治理全局，其技术突破不仅关乎科技创新，更成为国际竞争的核心焦点。</w:t>
      </w:r>
    </w:p>
    <w:p w14:paraId="13E635A8" w14:textId="77777777" w:rsidR="008D64F8" w:rsidRPr="00CF4646" w:rsidRDefault="008D64F8" w:rsidP="008D64F8">
      <w:pPr>
        <w:pStyle w:val="FirstParagraph"/>
        <w:rPr>
          <w:rFonts w:asciiTheme="minorHAnsi" w:eastAsiaTheme="minorHAnsi" w:hAnsiTheme="minorHAnsi"/>
          <w:sz w:val="22"/>
          <w:szCs w:val="22"/>
          <w:lang w:eastAsia="zh-CN"/>
        </w:rPr>
      </w:pPr>
      <w:r w:rsidRPr="00CF4646">
        <w:rPr>
          <w:rFonts w:asciiTheme="minorHAnsi" w:eastAsiaTheme="minorHAnsi" w:hAnsiTheme="minorHAnsi"/>
          <w:sz w:val="22"/>
          <w:szCs w:val="22"/>
          <w:lang w:eastAsia="zh-CN"/>
        </w:rPr>
        <w:t>大模型的核心能力体系包含四个相互关联的维度，共同构成了其强大的通用智能表现：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74"/>
        <w:gridCol w:w="2074"/>
        <w:gridCol w:w="2074"/>
        <w:gridCol w:w="2074"/>
      </w:tblGrid>
      <w:tr w:rsidR="008D64F8" w:rsidRPr="00CF4646" w14:paraId="5E137743" w14:textId="77777777" w:rsidTr="00334673">
        <w:trPr>
          <w:cnfStyle w:val="100000000000" w:firstRow="1" w:lastRow="0" w:firstColumn="0" w:lastColumn="0" w:oddVBand="0" w:evenVBand="0" w:oddHBand="0" w:evenHBand="0" w:firstRowFirstColumn="0" w:firstRowLastColumn="0" w:lastRowFirstColumn="0" w:lastRowLastColumn="0"/>
          <w:tblHeader/>
        </w:trPr>
        <w:tc>
          <w:tcPr>
            <w:tcW w:w="2074" w:type="dxa"/>
            <w:tcBorders>
              <w:bottom w:val="none" w:sz="0" w:space="0" w:color="auto"/>
            </w:tcBorders>
          </w:tcPr>
          <w:p w14:paraId="01A529AE" w14:textId="77777777" w:rsidR="008D64F8" w:rsidRPr="00CF4646" w:rsidRDefault="008D64F8" w:rsidP="003E5A53">
            <w:pPr>
              <w:pStyle w:val="Compact"/>
              <w:rPr>
                <w:rFonts w:asciiTheme="minorHAnsi" w:eastAsiaTheme="minorHAnsi" w:hAnsiTheme="minorHAnsi"/>
                <w:sz w:val="22"/>
                <w:szCs w:val="22"/>
              </w:rPr>
            </w:pPr>
            <w:r w:rsidRPr="00CF4646">
              <w:rPr>
                <w:rFonts w:asciiTheme="minorHAnsi" w:eastAsiaTheme="minorHAnsi" w:hAnsiTheme="minorHAnsi"/>
                <w:sz w:val="22"/>
                <w:szCs w:val="22"/>
              </w:rPr>
              <w:t>核心能力</w:t>
            </w:r>
          </w:p>
        </w:tc>
        <w:tc>
          <w:tcPr>
            <w:tcW w:w="2074" w:type="dxa"/>
            <w:tcBorders>
              <w:bottom w:val="none" w:sz="0" w:space="0" w:color="auto"/>
            </w:tcBorders>
          </w:tcPr>
          <w:p w14:paraId="383C9BCD" w14:textId="77777777" w:rsidR="008D64F8" w:rsidRPr="00CF4646" w:rsidRDefault="008D64F8" w:rsidP="003E5A53">
            <w:pPr>
              <w:pStyle w:val="Compact"/>
              <w:rPr>
                <w:rFonts w:asciiTheme="minorHAnsi" w:eastAsiaTheme="minorHAnsi" w:hAnsiTheme="minorHAnsi"/>
                <w:sz w:val="22"/>
                <w:szCs w:val="22"/>
              </w:rPr>
            </w:pPr>
            <w:r w:rsidRPr="00CF4646">
              <w:rPr>
                <w:rFonts w:asciiTheme="minorHAnsi" w:eastAsiaTheme="minorHAnsi" w:hAnsiTheme="minorHAnsi"/>
                <w:sz w:val="22"/>
                <w:szCs w:val="22"/>
              </w:rPr>
              <w:t>技术内涵</w:t>
            </w:r>
          </w:p>
        </w:tc>
        <w:tc>
          <w:tcPr>
            <w:tcW w:w="2074" w:type="dxa"/>
            <w:tcBorders>
              <w:bottom w:val="none" w:sz="0" w:space="0" w:color="auto"/>
            </w:tcBorders>
          </w:tcPr>
          <w:p w14:paraId="0831EC08" w14:textId="77777777" w:rsidR="008D64F8" w:rsidRPr="00CF4646" w:rsidRDefault="008D64F8" w:rsidP="003E5A53">
            <w:pPr>
              <w:pStyle w:val="Compact"/>
              <w:rPr>
                <w:rFonts w:asciiTheme="minorHAnsi" w:eastAsiaTheme="minorHAnsi" w:hAnsiTheme="minorHAnsi"/>
                <w:sz w:val="22"/>
                <w:szCs w:val="22"/>
              </w:rPr>
            </w:pPr>
            <w:r w:rsidRPr="00CF4646">
              <w:rPr>
                <w:rFonts w:asciiTheme="minorHAnsi" w:eastAsiaTheme="minorHAnsi" w:hAnsiTheme="minorHAnsi"/>
                <w:sz w:val="22"/>
                <w:szCs w:val="22"/>
              </w:rPr>
              <w:t>典型表现</w:t>
            </w:r>
          </w:p>
        </w:tc>
        <w:tc>
          <w:tcPr>
            <w:tcW w:w="2074" w:type="dxa"/>
            <w:tcBorders>
              <w:bottom w:val="none" w:sz="0" w:space="0" w:color="auto"/>
            </w:tcBorders>
          </w:tcPr>
          <w:p w14:paraId="7E38A4B4" w14:textId="77777777" w:rsidR="008D64F8" w:rsidRPr="00CF4646" w:rsidRDefault="008D64F8" w:rsidP="003E5A53">
            <w:pPr>
              <w:pStyle w:val="Compact"/>
              <w:rPr>
                <w:rFonts w:asciiTheme="minorHAnsi" w:eastAsiaTheme="minorHAnsi" w:hAnsiTheme="minorHAnsi"/>
                <w:sz w:val="22"/>
                <w:szCs w:val="22"/>
              </w:rPr>
            </w:pPr>
            <w:r w:rsidRPr="00CF4646">
              <w:rPr>
                <w:rFonts w:asciiTheme="minorHAnsi" w:eastAsiaTheme="minorHAnsi" w:hAnsiTheme="minorHAnsi"/>
                <w:sz w:val="22"/>
                <w:szCs w:val="22"/>
              </w:rPr>
              <w:t>关键突破节点</w:t>
            </w:r>
          </w:p>
        </w:tc>
      </w:tr>
      <w:tr w:rsidR="008D64F8" w:rsidRPr="00CF4646" w14:paraId="66589FF9" w14:textId="77777777" w:rsidTr="00334673">
        <w:tc>
          <w:tcPr>
            <w:tcW w:w="2074" w:type="dxa"/>
          </w:tcPr>
          <w:p w14:paraId="2BD33882" w14:textId="77777777" w:rsidR="008D64F8" w:rsidRPr="00CF4646" w:rsidRDefault="008D64F8" w:rsidP="003E5A53">
            <w:pPr>
              <w:pStyle w:val="Compact"/>
              <w:rPr>
                <w:rFonts w:asciiTheme="minorHAnsi" w:eastAsiaTheme="minorHAnsi" w:hAnsiTheme="minorHAnsi"/>
                <w:sz w:val="22"/>
                <w:szCs w:val="22"/>
              </w:rPr>
            </w:pPr>
            <w:r w:rsidRPr="00CF4646">
              <w:rPr>
                <w:rFonts w:asciiTheme="minorHAnsi" w:eastAsiaTheme="minorHAnsi" w:hAnsiTheme="minorHAnsi"/>
                <w:b/>
                <w:bCs/>
                <w:sz w:val="22"/>
                <w:szCs w:val="22"/>
              </w:rPr>
              <w:t>涌现能力</w:t>
            </w:r>
          </w:p>
        </w:tc>
        <w:tc>
          <w:tcPr>
            <w:tcW w:w="2074" w:type="dxa"/>
          </w:tcPr>
          <w:p w14:paraId="612B8DAB" w14:textId="77777777" w:rsidR="008D64F8" w:rsidRPr="00CF4646" w:rsidRDefault="008D64F8" w:rsidP="003E5A53">
            <w:pPr>
              <w:pStyle w:val="Compact"/>
              <w:rPr>
                <w:rFonts w:asciiTheme="minorHAnsi" w:eastAsiaTheme="minorHAnsi" w:hAnsiTheme="minorHAnsi"/>
                <w:sz w:val="22"/>
                <w:szCs w:val="22"/>
                <w:lang w:eastAsia="zh-CN"/>
              </w:rPr>
            </w:pPr>
            <w:r w:rsidRPr="00CF4646">
              <w:rPr>
                <w:rFonts w:asciiTheme="minorHAnsi" w:eastAsiaTheme="minorHAnsi" w:hAnsiTheme="minorHAnsi"/>
                <w:sz w:val="22"/>
                <w:szCs w:val="22"/>
                <w:lang w:eastAsia="zh-CN"/>
              </w:rPr>
              <w:t>规模达到临界点后自发出现的新能力</w:t>
            </w:r>
          </w:p>
        </w:tc>
        <w:tc>
          <w:tcPr>
            <w:tcW w:w="2074" w:type="dxa"/>
          </w:tcPr>
          <w:p w14:paraId="5EE6CD09" w14:textId="77777777" w:rsidR="008D64F8" w:rsidRPr="00CF4646" w:rsidRDefault="008D64F8" w:rsidP="003E5A53">
            <w:pPr>
              <w:pStyle w:val="Compact"/>
              <w:rPr>
                <w:rFonts w:asciiTheme="minorHAnsi" w:eastAsiaTheme="minorHAnsi" w:hAnsiTheme="minorHAnsi"/>
                <w:sz w:val="22"/>
                <w:szCs w:val="22"/>
                <w:lang w:eastAsia="zh-CN"/>
              </w:rPr>
            </w:pPr>
            <w:r w:rsidRPr="00CF4646">
              <w:rPr>
                <w:rFonts w:asciiTheme="minorHAnsi" w:eastAsiaTheme="minorHAnsi" w:hAnsiTheme="minorHAnsi"/>
                <w:sz w:val="22"/>
                <w:szCs w:val="22"/>
                <w:lang w:eastAsia="zh-CN"/>
              </w:rPr>
              <w:t>链式思维推理、少样本学习、复杂规划</w:t>
            </w:r>
          </w:p>
        </w:tc>
        <w:tc>
          <w:tcPr>
            <w:tcW w:w="2074" w:type="dxa"/>
          </w:tcPr>
          <w:p w14:paraId="5754AC08" w14:textId="77777777" w:rsidR="008D64F8" w:rsidRPr="00CF4646" w:rsidRDefault="008D64F8" w:rsidP="003E5A53">
            <w:pPr>
              <w:pStyle w:val="Compact"/>
              <w:rPr>
                <w:rFonts w:asciiTheme="minorHAnsi" w:eastAsiaTheme="minorHAnsi" w:hAnsiTheme="minorHAnsi"/>
                <w:sz w:val="22"/>
                <w:szCs w:val="22"/>
                <w:lang w:eastAsia="zh-CN"/>
              </w:rPr>
            </w:pPr>
            <w:r w:rsidRPr="00CF4646">
              <w:rPr>
                <w:rFonts w:asciiTheme="minorHAnsi" w:eastAsiaTheme="minorHAnsi" w:hAnsiTheme="minorHAnsi"/>
                <w:sz w:val="22"/>
                <w:szCs w:val="22"/>
                <w:lang w:eastAsia="zh-CN"/>
              </w:rPr>
              <w:t>GPT-3（1750亿参数）首次显著展现</w:t>
            </w:r>
          </w:p>
        </w:tc>
      </w:tr>
      <w:tr w:rsidR="008D64F8" w:rsidRPr="00CF4646" w14:paraId="2CAC40B8" w14:textId="77777777" w:rsidTr="00334673">
        <w:tc>
          <w:tcPr>
            <w:tcW w:w="2074" w:type="dxa"/>
          </w:tcPr>
          <w:p w14:paraId="70FDF0F7" w14:textId="77777777" w:rsidR="008D64F8" w:rsidRPr="00CF4646" w:rsidRDefault="008D64F8" w:rsidP="003E5A53">
            <w:pPr>
              <w:pStyle w:val="Compact"/>
              <w:rPr>
                <w:rFonts w:asciiTheme="minorHAnsi" w:eastAsiaTheme="minorHAnsi" w:hAnsiTheme="minorHAnsi"/>
                <w:sz w:val="22"/>
                <w:szCs w:val="22"/>
              </w:rPr>
            </w:pPr>
            <w:r w:rsidRPr="00CF4646">
              <w:rPr>
                <w:rFonts w:asciiTheme="minorHAnsi" w:eastAsiaTheme="minorHAnsi" w:hAnsiTheme="minorHAnsi"/>
                <w:b/>
                <w:bCs/>
                <w:sz w:val="22"/>
                <w:szCs w:val="22"/>
              </w:rPr>
              <w:t>上下文学习</w:t>
            </w:r>
          </w:p>
        </w:tc>
        <w:tc>
          <w:tcPr>
            <w:tcW w:w="2074" w:type="dxa"/>
          </w:tcPr>
          <w:p w14:paraId="591227F1" w14:textId="77777777" w:rsidR="008D64F8" w:rsidRPr="00CF4646" w:rsidRDefault="008D64F8" w:rsidP="003E5A53">
            <w:pPr>
              <w:pStyle w:val="Compact"/>
              <w:rPr>
                <w:rFonts w:asciiTheme="minorHAnsi" w:eastAsiaTheme="minorHAnsi" w:hAnsiTheme="minorHAnsi"/>
                <w:sz w:val="22"/>
                <w:szCs w:val="22"/>
                <w:lang w:eastAsia="zh-CN"/>
              </w:rPr>
            </w:pPr>
            <w:r w:rsidRPr="00CF4646">
              <w:rPr>
                <w:rFonts w:asciiTheme="minorHAnsi" w:eastAsiaTheme="minorHAnsi" w:hAnsiTheme="minorHAnsi"/>
                <w:sz w:val="22"/>
                <w:szCs w:val="22"/>
                <w:lang w:eastAsia="zh-CN"/>
              </w:rPr>
              <w:t>无需参数更新，通过提示示例快速适应新任务</w:t>
            </w:r>
          </w:p>
        </w:tc>
        <w:tc>
          <w:tcPr>
            <w:tcW w:w="2074" w:type="dxa"/>
          </w:tcPr>
          <w:p w14:paraId="28933E44" w14:textId="77777777" w:rsidR="008D64F8" w:rsidRPr="00CF4646" w:rsidRDefault="008D64F8" w:rsidP="003E5A53">
            <w:pPr>
              <w:pStyle w:val="Compact"/>
              <w:rPr>
                <w:rFonts w:asciiTheme="minorHAnsi" w:eastAsiaTheme="minorHAnsi" w:hAnsiTheme="minorHAnsi"/>
                <w:sz w:val="22"/>
                <w:szCs w:val="22"/>
                <w:lang w:eastAsia="zh-CN"/>
              </w:rPr>
            </w:pPr>
            <w:r w:rsidRPr="00CF4646">
              <w:rPr>
                <w:rFonts w:asciiTheme="minorHAnsi" w:eastAsiaTheme="minorHAnsi" w:hAnsiTheme="minorHAnsi"/>
                <w:sz w:val="22"/>
                <w:szCs w:val="22"/>
                <w:lang w:eastAsia="zh-CN"/>
              </w:rPr>
              <w:t>给定几个示例即可完成分类、翻译、摘要等</w:t>
            </w:r>
          </w:p>
        </w:tc>
        <w:tc>
          <w:tcPr>
            <w:tcW w:w="2074" w:type="dxa"/>
          </w:tcPr>
          <w:p w14:paraId="33C877E4" w14:textId="77777777" w:rsidR="008D64F8" w:rsidRPr="00CF4646" w:rsidRDefault="008D64F8" w:rsidP="003E5A53">
            <w:pPr>
              <w:pStyle w:val="Compact"/>
              <w:rPr>
                <w:rFonts w:asciiTheme="minorHAnsi" w:eastAsiaTheme="minorHAnsi" w:hAnsiTheme="minorHAnsi"/>
                <w:sz w:val="22"/>
                <w:szCs w:val="22"/>
              </w:rPr>
            </w:pPr>
            <w:r w:rsidRPr="00CF4646">
              <w:rPr>
                <w:rFonts w:asciiTheme="minorHAnsi" w:eastAsiaTheme="minorHAnsi" w:hAnsiTheme="minorHAnsi"/>
                <w:sz w:val="22"/>
                <w:szCs w:val="22"/>
              </w:rPr>
              <w:t>GPT-3的In-Context Learning机制</w:t>
            </w:r>
          </w:p>
        </w:tc>
      </w:tr>
      <w:tr w:rsidR="008D64F8" w:rsidRPr="00CF4646" w14:paraId="5E6BE2D1" w14:textId="77777777" w:rsidTr="00334673">
        <w:tc>
          <w:tcPr>
            <w:tcW w:w="2074" w:type="dxa"/>
          </w:tcPr>
          <w:p w14:paraId="673B92FB" w14:textId="77777777" w:rsidR="008D64F8" w:rsidRPr="00CF4646" w:rsidRDefault="008D64F8" w:rsidP="003E5A53">
            <w:pPr>
              <w:pStyle w:val="Compact"/>
              <w:rPr>
                <w:rFonts w:asciiTheme="minorHAnsi" w:eastAsiaTheme="minorHAnsi" w:hAnsiTheme="minorHAnsi"/>
                <w:sz w:val="22"/>
                <w:szCs w:val="22"/>
              </w:rPr>
            </w:pPr>
            <w:r w:rsidRPr="00CF4646">
              <w:rPr>
                <w:rFonts w:asciiTheme="minorHAnsi" w:eastAsiaTheme="minorHAnsi" w:hAnsiTheme="minorHAnsi"/>
                <w:b/>
                <w:bCs/>
                <w:sz w:val="22"/>
                <w:szCs w:val="22"/>
              </w:rPr>
              <w:t>指令遵循</w:t>
            </w:r>
          </w:p>
        </w:tc>
        <w:tc>
          <w:tcPr>
            <w:tcW w:w="2074" w:type="dxa"/>
          </w:tcPr>
          <w:p w14:paraId="7382939A" w14:textId="77777777" w:rsidR="008D64F8" w:rsidRPr="00CF4646" w:rsidRDefault="008D64F8" w:rsidP="003E5A53">
            <w:pPr>
              <w:pStyle w:val="Compact"/>
              <w:rPr>
                <w:rFonts w:asciiTheme="minorHAnsi" w:eastAsiaTheme="minorHAnsi" w:hAnsiTheme="minorHAnsi"/>
                <w:sz w:val="22"/>
                <w:szCs w:val="22"/>
                <w:lang w:eastAsia="zh-CN"/>
              </w:rPr>
            </w:pPr>
            <w:r w:rsidRPr="00CF4646">
              <w:rPr>
                <w:rFonts w:asciiTheme="minorHAnsi" w:eastAsiaTheme="minorHAnsi" w:hAnsiTheme="minorHAnsi"/>
                <w:sz w:val="22"/>
                <w:szCs w:val="22"/>
                <w:lang w:eastAsia="zh-CN"/>
              </w:rPr>
              <w:t>准确理解自然语言指令并按期望格式输出</w:t>
            </w:r>
          </w:p>
        </w:tc>
        <w:tc>
          <w:tcPr>
            <w:tcW w:w="2074" w:type="dxa"/>
          </w:tcPr>
          <w:p w14:paraId="736574C7" w14:textId="77777777" w:rsidR="008D64F8" w:rsidRPr="00CF4646" w:rsidRDefault="008D64F8" w:rsidP="003E5A53">
            <w:pPr>
              <w:pStyle w:val="Compact"/>
              <w:rPr>
                <w:rFonts w:asciiTheme="minorHAnsi" w:eastAsiaTheme="minorHAnsi" w:hAnsiTheme="minorHAnsi"/>
                <w:sz w:val="22"/>
                <w:szCs w:val="22"/>
                <w:lang w:eastAsia="zh-CN"/>
              </w:rPr>
            </w:pPr>
            <w:r w:rsidRPr="00CF4646">
              <w:rPr>
                <w:rFonts w:asciiTheme="minorHAnsi" w:eastAsiaTheme="minorHAnsi" w:hAnsiTheme="minorHAnsi"/>
                <w:sz w:val="22"/>
                <w:szCs w:val="22"/>
                <w:lang w:eastAsia="zh-CN"/>
              </w:rPr>
              <w:t>多轮对话、复杂任务分解、格式控制</w:t>
            </w:r>
          </w:p>
        </w:tc>
        <w:tc>
          <w:tcPr>
            <w:tcW w:w="2074" w:type="dxa"/>
          </w:tcPr>
          <w:p w14:paraId="163DDD9F" w14:textId="77777777" w:rsidR="008D64F8" w:rsidRPr="00CF4646" w:rsidRDefault="008D64F8" w:rsidP="003E5A53">
            <w:pPr>
              <w:pStyle w:val="Compact"/>
              <w:rPr>
                <w:rFonts w:asciiTheme="minorHAnsi" w:eastAsiaTheme="minorHAnsi" w:hAnsiTheme="minorHAnsi"/>
                <w:sz w:val="22"/>
                <w:szCs w:val="22"/>
              </w:rPr>
            </w:pPr>
            <w:r w:rsidRPr="00CF4646">
              <w:rPr>
                <w:rFonts w:asciiTheme="minorHAnsi" w:eastAsiaTheme="minorHAnsi" w:hAnsiTheme="minorHAnsi"/>
                <w:sz w:val="22"/>
                <w:szCs w:val="22"/>
              </w:rPr>
              <w:t>ChatGPT的RLHF对齐技术</w:t>
            </w:r>
          </w:p>
        </w:tc>
      </w:tr>
      <w:tr w:rsidR="008D64F8" w:rsidRPr="00CF4646" w14:paraId="0BE8A40A" w14:textId="77777777" w:rsidTr="00334673">
        <w:tc>
          <w:tcPr>
            <w:tcW w:w="2074" w:type="dxa"/>
          </w:tcPr>
          <w:p w14:paraId="6BE965C2" w14:textId="77777777" w:rsidR="008D64F8" w:rsidRPr="00CF4646" w:rsidRDefault="008D64F8" w:rsidP="003E5A53">
            <w:pPr>
              <w:pStyle w:val="Compact"/>
              <w:rPr>
                <w:rFonts w:asciiTheme="minorHAnsi" w:eastAsiaTheme="minorHAnsi" w:hAnsiTheme="minorHAnsi"/>
                <w:sz w:val="22"/>
                <w:szCs w:val="22"/>
              </w:rPr>
            </w:pPr>
            <w:r w:rsidRPr="00CF4646">
              <w:rPr>
                <w:rFonts w:asciiTheme="minorHAnsi" w:eastAsiaTheme="minorHAnsi" w:hAnsiTheme="minorHAnsi"/>
                <w:b/>
                <w:bCs/>
                <w:sz w:val="22"/>
                <w:szCs w:val="22"/>
              </w:rPr>
              <w:t>多任务泛化</w:t>
            </w:r>
          </w:p>
        </w:tc>
        <w:tc>
          <w:tcPr>
            <w:tcW w:w="2074" w:type="dxa"/>
          </w:tcPr>
          <w:p w14:paraId="73F1AAA6" w14:textId="77777777" w:rsidR="008D64F8" w:rsidRPr="00CF4646" w:rsidRDefault="008D64F8" w:rsidP="003E5A53">
            <w:pPr>
              <w:pStyle w:val="Compact"/>
              <w:rPr>
                <w:rFonts w:asciiTheme="minorHAnsi" w:eastAsiaTheme="minorHAnsi" w:hAnsiTheme="minorHAnsi"/>
                <w:sz w:val="22"/>
                <w:szCs w:val="22"/>
                <w:lang w:eastAsia="zh-CN"/>
              </w:rPr>
            </w:pPr>
            <w:r w:rsidRPr="00CF4646">
              <w:rPr>
                <w:rFonts w:asciiTheme="minorHAnsi" w:eastAsiaTheme="minorHAnsi" w:hAnsiTheme="minorHAnsi"/>
                <w:sz w:val="22"/>
                <w:szCs w:val="22"/>
                <w:lang w:eastAsia="zh-CN"/>
              </w:rPr>
              <w:t>单一模型处理多样化任务的能力</w:t>
            </w:r>
          </w:p>
        </w:tc>
        <w:tc>
          <w:tcPr>
            <w:tcW w:w="2074" w:type="dxa"/>
          </w:tcPr>
          <w:p w14:paraId="192CA728" w14:textId="77777777" w:rsidR="008D64F8" w:rsidRPr="00CF4646" w:rsidRDefault="008D64F8" w:rsidP="003E5A53">
            <w:pPr>
              <w:pStyle w:val="Compact"/>
              <w:rPr>
                <w:rFonts w:asciiTheme="minorHAnsi" w:eastAsiaTheme="minorHAnsi" w:hAnsiTheme="minorHAnsi"/>
                <w:sz w:val="22"/>
                <w:szCs w:val="22"/>
                <w:lang w:eastAsia="zh-CN"/>
              </w:rPr>
            </w:pPr>
            <w:r w:rsidRPr="00CF4646">
              <w:rPr>
                <w:rFonts w:asciiTheme="minorHAnsi" w:eastAsiaTheme="minorHAnsi" w:hAnsiTheme="minorHAnsi"/>
                <w:sz w:val="22"/>
                <w:szCs w:val="22"/>
                <w:lang w:eastAsia="zh-CN"/>
              </w:rPr>
              <w:t>文本生成、代码编写、逻辑推理、创意写作</w:t>
            </w:r>
          </w:p>
        </w:tc>
        <w:tc>
          <w:tcPr>
            <w:tcW w:w="2074" w:type="dxa"/>
          </w:tcPr>
          <w:p w14:paraId="61155EF4" w14:textId="77777777" w:rsidR="008D64F8" w:rsidRPr="00CF4646" w:rsidRDefault="008D64F8" w:rsidP="003E5A53">
            <w:pPr>
              <w:pStyle w:val="Compact"/>
              <w:rPr>
                <w:rFonts w:asciiTheme="minorHAnsi" w:eastAsiaTheme="minorHAnsi" w:hAnsiTheme="minorHAnsi"/>
                <w:sz w:val="22"/>
                <w:szCs w:val="22"/>
                <w:lang w:eastAsia="zh-CN"/>
              </w:rPr>
            </w:pPr>
            <w:r w:rsidRPr="00CF4646">
              <w:rPr>
                <w:rFonts w:asciiTheme="minorHAnsi" w:eastAsiaTheme="minorHAnsi" w:hAnsiTheme="minorHAnsi"/>
                <w:sz w:val="22"/>
                <w:szCs w:val="22"/>
                <w:lang w:eastAsia="zh-CN"/>
              </w:rPr>
              <w:t>GPT-4的专业考试人类水平表现</w:t>
            </w:r>
          </w:p>
        </w:tc>
      </w:tr>
    </w:tbl>
    <w:p w14:paraId="691D7EF7" w14:textId="77777777" w:rsidR="00334673" w:rsidRPr="00334673" w:rsidRDefault="00334673" w:rsidP="00334673">
      <w:pPr>
        <w:rPr>
          <w:rFonts w:eastAsiaTheme="minorHAnsi" w:hint="eastAsia"/>
          <w:szCs w:val="22"/>
        </w:rPr>
      </w:pPr>
      <w:r w:rsidRPr="00334673">
        <w:rPr>
          <w:rFonts w:eastAsiaTheme="minorHAnsi" w:hint="eastAsia"/>
          <w:szCs w:val="22"/>
        </w:rPr>
        <w:t>涌现能力是大模型最显著的特征之一。研究表明，当模型参数量突破1000亿级别时，会出现诸如链式思维推理（Chain-of-Thought Reasoning）、少样本学习（Few-Shot Learning）等高级能力，这些能力并非显式编程获得，而是从海量训练数据中”涌现”出的统计规律  。2024年底至2026年初，LLM领域经历了从规模扩展到多维度深化的范式转变，MoE架构主流化解决了参数规模与计算成本的矛盾，测试时推理扩展为专业任务提供了新的能力上限。How？</w:t>
      </w:r>
    </w:p>
    <w:p w14:paraId="5F395C60" w14:textId="2B9CA5BE" w:rsidR="00334673" w:rsidRPr="00334673" w:rsidRDefault="00334673" w:rsidP="00334673">
      <w:pPr>
        <w:rPr>
          <w:rFonts w:eastAsiaTheme="minorHAnsi"/>
          <w:szCs w:val="22"/>
        </w:rPr>
      </w:pPr>
      <w:r w:rsidRPr="00334673">
        <w:rPr>
          <w:rFonts w:eastAsiaTheme="minorHAnsi" w:hint="eastAsia"/>
          <w:szCs w:val="22"/>
        </w:rPr>
        <w:t>上下文学习能力尤其值得关注，因为它极大地降低了模型适应新任务的门槛。用户无需具备深度学习专业知识，即可通过自然语言指令引导模型完成特定任务。这一能力的基础在于预训练过程中模型对海量文本中隐含模式的学习——互联网文本中天然包含了大量”问题-答案”、“指令-响应”等形式的配对数据。</w:t>
      </w:r>
    </w:p>
    <w:p w14:paraId="17D88921" w14:textId="6F6DB804" w:rsidR="008D64F8" w:rsidRDefault="008D64F8" w:rsidP="008D64F8">
      <w:pPr>
        <w:rPr>
          <w:rFonts w:eastAsiaTheme="minorHAnsi"/>
          <w:szCs w:val="22"/>
        </w:rPr>
      </w:pPr>
      <w:r w:rsidRPr="00125EBC">
        <w:rPr>
          <w:rFonts w:eastAsiaTheme="minorHAnsi"/>
          <w:szCs w:val="22"/>
        </w:rPr>
        <w:t>指令遵循能力</w:t>
      </w:r>
      <w:r w:rsidRPr="00CF4646">
        <w:rPr>
          <w:rFonts w:eastAsiaTheme="minorHAnsi"/>
          <w:szCs w:val="22"/>
        </w:rPr>
        <w:t>的提升则得益于有监督微调（SFT）和基于人类反馈的强化学习（RLHF）等对齐技术。这一系列技术显著提升了大模型的实用性和安全性，使其从”文本补全工具”转变为”有用、诚实、无害”的智能助手</w:t>
      </w:r>
    </w:p>
    <w:p w14:paraId="0BB4BD66" w14:textId="07558271" w:rsidR="00695D4E" w:rsidRPr="00CF4646" w:rsidRDefault="00695D4E" w:rsidP="008D64F8">
      <w:pPr>
        <w:rPr>
          <w:rFonts w:eastAsiaTheme="minorHAnsi" w:hint="eastAsia"/>
          <w:szCs w:val="22"/>
        </w:rPr>
      </w:pPr>
      <w:r w:rsidRPr="00695D4E">
        <w:rPr>
          <w:rFonts w:eastAsiaTheme="minorHAnsi"/>
          <w:szCs w:val="22"/>
        </w:rPr>
        <w:t>多任务泛化能力尤其值得关注，因为它打破了“一任务一模型”的传统壁垒，使单一模型</w:t>
      </w:r>
      <w:r w:rsidRPr="00695D4E">
        <w:rPr>
          <w:rFonts w:eastAsiaTheme="minorHAnsi"/>
          <w:szCs w:val="22"/>
        </w:rPr>
        <w:lastRenderedPageBreak/>
        <w:t>得以同时处理分类、生成、推理、翻译与代码等异构任务。这一能力的基础在于预训练阶段对海量异构数据中跨域统计规律的学习——互联网文本天然融合了代码、对话、论文与表格等多种任务形式，模型在压缩这些复杂分布的过程中习得可迁移的抽象表征与通用推理框架。其显性化则得益于统一的 next-token prediction 预训练目标与大规模多任务指令微调的结合，后者通过显式的任务描述与输入-输出配对，将异构指令映射到同一语义操作空间。这一系列技术使大模型从“特定领域的专用工具”转变为“跨领域、跨模态的通用任务求解器”，为后续 Agent 架构与工具调用奠定了认知基础。</w:t>
      </w:r>
    </w:p>
    <w:p w14:paraId="69C1B752" w14:textId="2CB3CC81" w:rsidR="0003199B" w:rsidRDefault="0003199B" w:rsidP="00E5628C">
      <w:pPr>
        <w:pStyle w:val="3"/>
      </w:pPr>
      <w:r>
        <w:rPr>
          <w:rFonts w:hint="eastAsia"/>
        </w:rPr>
        <w:t>技术原理</w:t>
      </w:r>
      <w:r w:rsidR="005870B1">
        <w:rPr>
          <w:rFonts w:hint="eastAsia"/>
        </w:rPr>
        <w:t xml:space="preserve"> √</w:t>
      </w:r>
    </w:p>
    <w:p w14:paraId="702330C0" w14:textId="2EFF8928" w:rsidR="00200C80" w:rsidRDefault="003C612B" w:rsidP="00200C80">
      <w:pPr>
        <w:pStyle w:val="FirstParagraph"/>
        <w:rPr>
          <w:lang w:eastAsia="zh-CN"/>
        </w:rPr>
      </w:pPr>
      <w:r>
        <w:rPr>
          <w:rFonts w:hint="eastAsia"/>
          <w:lang w:eastAsia="zh-CN"/>
        </w:rPr>
        <w:t>起点（</w:t>
      </w:r>
      <w:r>
        <w:rPr>
          <w:rFonts w:hint="eastAsia"/>
          <w:lang w:eastAsia="zh-CN"/>
        </w:rPr>
        <w:t>2017</w:t>
      </w:r>
      <w:r>
        <w:rPr>
          <w:rFonts w:hint="eastAsia"/>
          <w:lang w:eastAsia="zh-CN"/>
        </w:rPr>
        <w:t>）</w:t>
      </w:r>
      <w:r w:rsidR="00200C80">
        <w:t>其技术本质根植于</w:t>
      </w:r>
      <w:r w:rsidR="00200C80">
        <w:rPr>
          <w:b/>
          <w:bCs/>
        </w:rPr>
        <w:t>Transformer</w:t>
      </w:r>
      <w:r w:rsidR="00200C80">
        <w:rPr>
          <w:b/>
          <w:bCs/>
        </w:rPr>
        <w:t>架构的自注意力机制</w:t>
      </w:r>
      <w:r w:rsidR="00200C80">
        <w:t>与</w:t>
      </w:r>
      <w:r w:rsidR="00200C80">
        <w:rPr>
          <w:b/>
          <w:bCs/>
        </w:rPr>
        <w:t>大规模预训练范式</w:t>
      </w:r>
      <w:r w:rsidR="00200C80">
        <w:t>。</w:t>
      </w:r>
      <w:r w:rsidR="00200C80">
        <w:t>Transformer</w:t>
      </w:r>
      <w:r w:rsidR="00200C80">
        <w:t>架构由</w:t>
      </w:r>
      <w:r w:rsidR="00200C80">
        <w:t>Vaswani</w:t>
      </w:r>
      <w:r w:rsidR="00200C80">
        <w:t>等人于</w:t>
      </w:r>
      <w:r w:rsidR="00200C80">
        <w:t>2017</w:t>
      </w:r>
      <w:r w:rsidR="00200C80">
        <w:t>年提出，通过自注意力机制（</w:t>
      </w:r>
      <w:r w:rsidR="00200C80">
        <w:t>Self-Attention</w:t>
      </w:r>
      <w:r w:rsidR="00200C80">
        <w:t>）实现了序列数据的并行处理，彻底改变了自然语言处理的技术范式。</w:t>
      </w:r>
    </w:p>
    <w:p w14:paraId="111219EF" w14:textId="77777777" w:rsidR="00200C80" w:rsidRDefault="00200C80" w:rsidP="00200C80">
      <w:pPr>
        <w:pStyle w:val="FirstParagraph"/>
        <w:jc w:val="center"/>
        <w:rPr>
          <w:lang w:eastAsia="zh-CN"/>
        </w:rPr>
      </w:pPr>
      <w:r>
        <w:rPr>
          <w:noProof/>
          <w:lang w:eastAsia="zh-CN"/>
        </w:rPr>
        <w:drawing>
          <wp:inline distT="0" distB="0" distL="0" distR="0" wp14:anchorId="19263A38" wp14:editId="6A94276B">
            <wp:extent cx="2425224" cy="3417361"/>
            <wp:effectExtent l="0" t="0" r="0" b="0"/>
            <wp:docPr id="1724998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47166" cy="3448280"/>
                    </a:xfrm>
                    <a:prstGeom prst="rect">
                      <a:avLst/>
                    </a:prstGeom>
                    <a:noFill/>
                  </pic:spPr>
                </pic:pic>
              </a:graphicData>
            </a:graphic>
          </wp:inline>
        </w:drawing>
      </w:r>
    </w:p>
    <w:p w14:paraId="7E5B2B66" w14:textId="157E4A78" w:rsidR="003C612B" w:rsidRPr="003C612B" w:rsidRDefault="003C612B" w:rsidP="003C612B">
      <w:pPr>
        <w:rPr>
          <w:rFonts w:ascii="Arial" w:eastAsia="宋体" w:hAnsi="Arial" w:cs="Times New Roman (正文 CS 字体)" w:hint="eastAsia"/>
          <w:kern w:val="0"/>
          <w:sz w:val="24"/>
          <w14:ligatures w14:val="none"/>
        </w:rPr>
      </w:pPr>
      <w:r w:rsidRPr="003C612B">
        <w:rPr>
          <w:rFonts w:ascii="Arial" w:eastAsia="宋体" w:hAnsi="Arial" w:cs="Times New Roman (正文 CS 字体)" w:hint="eastAsia"/>
          <w:kern w:val="0"/>
          <w:sz w:val="24"/>
          <w14:ligatures w14:val="none"/>
        </w:rPr>
        <w:t>根节点与范式确立（</w:t>
      </w:r>
      <w:r w:rsidRPr="003C612B">
        <w:rPr>
          <w:rFonts w:ascii="Arial" w:eastAsia="宋体" w:hAnsi="Arial" w:cs="Times New Roman (正文 CS 字体)" w:hint="eastAsia"/>
          <w:kern w:val="0"/>
          <w:sz w:val="24"/>
          <w14:ligatures w14:val="none"/>
        </w:rPr>
        <w:t>2017-2020</w:t>
      </w:r>
      <w:r w:rsidRPr="003C612B">
        <w:rPr>
          <w:rFonts w:ascii="Arial" w:eastAsia="宋体" w:hAnsi="Arial" w:cs="Times New Roman (正文 CS 字体)" w:hint="eastAsia"/>
          <w:kern w:val="0"/>
          <w:sz w:val="24"/>
          <w14:ligatures w14:val="none"/>
        </w:rPr>
        <w:t>）：</w:t>
      </w:r>
      <w:r w:rsidRPr="003C612B">
        <w:rPr>
          <w:rFonts w:ascii="Arial" w:eastAsia="宋体" w:hAnsi="Arial" w:cs="Times New Roman (正文 CS 字体)" w:hint="eastAsia"/>
          <w:kern w:val="0"/>
          <w:sz w:val="24"/>
          <w14:ligatures w14:val="none"/>
        </w:rPr>
        <w:t>Transformer</w:t>
      </w:r>
      <w:r w:rsidRPr="003C612B">
        <w:rPr>
          <w:rFonts w:ascii="Arial" w:eastAsia="宋体" w:hAnsi="Arial" w:cs="Times New Roman (正文 CS 字体)" w:hint="eastAsia"/>
          <w:kern w:val="0"/>
          <w:sz w:val="24"/>
          <w14:ligatures w14:val="none"/>
        </w:rPr>
        <w:t>架构的提出是决定性起点，其自注意力机制实现了序列数据的并行处理，为模型规模指数级扩展提供了基础，直接催生了</w:t>
      </w:r>
      <w:r w:rsidRPr="003C612B">
        <w:rPr>
          <w:rFonts w:ascii="Arial" w:eastAsia="宋体" w:hAnsi="Arial" w:cs="Times New Roman (正文 CS 字体)" w:hint="eastAsia"/>
          <w:kern w:val="0"/>
          <w:sz w:val="24"/>
          <w14:ligatures w14:val="none"/>
        </w:rPr>
        <w:t>Scaling Law</w:t>
      </w:r>
      <w:r w:rsidRPr="003C612B">
        <w:rPr>
          <w:rFonts w:ascii="Arial" w:eastAsia="宋体" w:hAnsi="Arial" w:cs="Times New Roman (正文 CS 字体)" w:hint="eastAsia"/>
          <w:kern w:val="0"/>
          <w:sz w:val="24"/>
          <w14:ligatures w14:val="none"/>
        </w:rPr>
        <w:t>（规模定律）。随后，</w:t>
      </w:r>
      <w:r w:rsidRPr="003C612B">
        <w:rPr>
          <w:rFonts w:ascii="Arial" w:eastAsia="宋体" w:hAnsi="Arial" w:cs="Times New Roman (正文 CS 字体)" w:hint="eastAsia"/>
          <w:kern w:val="0"/>
          <w:sz w:val="24"/>
          <w14:ligatures w14:val="none"/>
        </w:rPr>
        <w:t>BERT</w:t>
      </w:r>
      <w:r w:rsidRPr="003C612B">
        <w:rPr>
          <w:rFonts w:ascii="Arial" w:eastAsia="宋体" w:hAnsi="Arial" w:cs="Times New Roman (正文 CS 字体)" w:hint="eastAsia"/>
          <w:kern w:val="0"/>
          <w:sz w:val="24"/>
          <w14:ligatures w14:val="none"/>
        </w:rPr>
        <w:t>和</w:t>
      </w:r>
      <w:r w:rsidRPr="003C612B">
        <w:rPr>
          <w:rFonts w:ascii="Arial" w:eastAsia="宋体" w:hAnsi="Arial" w:cs="Times New Roman (正文 CS 字体)" w:hint="eastAsia"/>
          <w:kern w:val="0"/>
          <w:sz w:val="24"/>
          <w14:ligatures w14:val="none"/>
        </w:rPr>
        <w:t>GPT</w:t>
      </w:r>
      <w:r w:rsidRPr="003C612B">
        <w:rPr>
          <w:rFonts w:ascii="Arial" w:eastAsia="宋体" w:hAnsi="Arial" w:cs="Times New Roman (正文 CS 字体)" w:hint="eastAsia"/>
          <w:kern w:val="0"/>
          <w:sz w:val="24"/>
          <w14:ligatures w14:val="none"/>
        </w:rPr>
        <w:t>分别确立了“预训练</w:t>
      </w:r>
      <w:r w:rsidRPr="003C612B">
        <w:rPr>
          <w:rFonts w:ascii="Arial" w:eastAsia="宋体" w:hAnsi="Arial" w:cs="Times New Roman (正文 CS 字体)" w:hint="eastAsia"/>
          <w:kern w:val="0"/>
          <w:sz w:val="24"/>
          <w14:ligatures w14:val="none"/>
        </w:rPr>
        <w:t>+</w:t>
      </w:r>
      <w:r w:rsidRPr="003C612B">
        <w:rPr>
          <w:rFonts w:ascii="Arial" w:eastAsia="宋体" w:hAnsi="Arial" w:cs="Times New Roman (正文 CS 字体)" w:hint="eastAsia"/>
          <w:kern w:val="0"/>
          <w:sz w:val="24"/>
          <w14:ligatures w14:val="none"/>
        </w:rPr>
        <w:t>微调”的范式，证明了大规模预训练模型的可迁移性，降低了下游任务的应用门槛。</w:t>
      </w:r>
    </w:p>
    <w:p w14:paraId="0A9CEE54" w14:textId="28FBA59A" w:rsidR="003C612B" w:rsidRPr="003C612B" w:rsidRDefault="003C612B" w:rsidP="003C612B">
      <w:pPr>
        <w:rPr>
          <w:rFonts w:ascii="Arial" w:eastAsia="宋体" w:hAnsi="Arial" w:cs="Times New Roman (正文 CS 字体)" w:hint="eastAsia"/>
          <w:kern w:val="0"/>
          <w:sz w:val="24"/>
          <w14:ligatures w14:val="none"/>
        </w:rPr>
      </w:pPr>
      <w:r w:rsidRPr="003C612B">
        <w:rPr>
          <w:rFonts w:ascii="Arial" w:eastAsia="宋体" w:hAnsi="Arial" w:cs="Times New Roman (正文 CS 字体)" w:hint="eastAsia"/>
          <w:kern w:val="0"/>
          <w:sz w:val="24"/>
          <w14:ligatures w14:val="none"/>
        </w:rPr>
        <w:t>应用爆发与对齐技术（</w:t>
      </w:r>
      <w:r w:rsidRPr="003C612B">
        <w:rPr>
          <w:rFonts w:ascii="Arial" w:eastAsia="宋体" w:hAnsi="Arial" w:cs="Times New Roman (正文 CS 字体)" w:hint="eastAsia"/>
          <w:kern w:val="0"/>
          <w:sz w:val="24"/>
          <w14:ligatures w14:val="none"/>
        </w:rPr>
        <w:t>2021-2022</w:t>
      </w:r>
      <w:r w:rsidRPr="003C612B">
        <w:rPr>
          <w:rFonts w:ascii="Arial" w:eastAsia="宋体" w:hAnsi="Arial" w:cs="Times New Roman (正文 CS 字体)" w:hint="eastAsia"/>
          <w:kern w:val="0"/>
          <w:sz w:val="24"/>
          <w14:ligatures w14:val="none"/>
        </w:rPr>
        <w:t>）：</w:t>
      </w:r>
      <w:r w:rsidRPr="003C612B">
        <w:rPr>
          <w:rFonts w:ascii="Arial" w:eastAsia="宋体" w:hAnsi="Arial" w:cs="Times New Roman (正文 CS 字体)" w:hint="eastAsia"/>
          <w:kern w:val="0"/>
          <w:sz w:val="24"/>
          <w14:ligatures w14:val="none"/>
        </w:rPr>
        <w:t>GPT-3</w:t>
      </w:r>
      <w:r w:rsidRPr="003C612B">
        <w:rPr>
          <w:rFonts w:ascii="Arial" w:eastAsia="宋体" w:hAnsi="Arial" w:cs="Times New Roman (正文 CS 字体)" w:hint="eastAsia"/>
          <w:kern w:val="0"/>
          <w:sz w:val="24"/>
          <w14:ligatures w14:val="none"/>
        </w:rPr>
        <w:t>展示了少样本学习的潜力，而</w:t>
      </w:r>
      <w:r w:rsidRPr="003C612B">
        <w:rPr>
          <w:rFonts w:ascii="Arial" w:eastAsia="宋体" w:hAnsi="Arial" w:cs="Times New Roman (正文 CS 字体)" w:hint="eastAsia"/>
          <w:kern w:val="0"/>
          <w:sz w:val="24"/>
          <w14:ligatures w14:val="none"/>
        </w:rPr>
        <w:t>ChatGPT</w:t>
      </w:r>
      <w:r w:rsidRPr="003C612B">
        <w:rPr>
          <w:rFonts w:ascii="Arial" w:eastAsia="宋体" w:hAnsi="Arial" w:cs="Times New Roman (正文 CS 字体)" w:hint="eastAsia"/>
          <w:kern w:val="0"/>
          <w:sz w:val="24"/>
          <w14:ligatures w14:val="none"/>
        </w:rPr>
        <w:t>的推出标志着大模型进入公众视野。这一阶段的核心进展是后训练对</w:t>
      </w:r>
      <w:r w:rsidRPr="003C612B">
        <w:rPr>
          <w:rFonts w:ascii="Arial" w:eastAsia="宋体" w:hAnsi="Arial" w:cs="Times New Roman (正文 CS 字体)" w:hint="eastAsia"/>
          <w:kern w:val="0"/>
          <w:sz w:val="24"/>
          <w14:ligatures w14:val="none"/>
        </w:rPr>
        <w:lastRenderedPageBreak/>
        <w:t>齐技术的成熟，特别是监督微调（</w:t>
      </w:r>
      <w:r w:rsidRPr="003C612B">
        <w:rPr>
          <w:rFonts w:ascii="Arial" w:eastAsia="宋体" w:hAnsi="Arial" w:cs="Times New Roman (正文 CS 字体)" w:hint="eastAsia"/>
          <w:kern w:val="0"/>
          <w:sz w:val="24"/>
          <w14:ligatures w14:val="none"/>
        </w:rPr>
        <w:t>SFT</w:t>
      </w:r>
      <w:r w:rsidRPr="003C612B">
        <w:rPr>
          <w:rFonts w:ascii="Arial" w:eastAsia="宋体" w:hAnsi="Arial" w:cs="Times New Roman (正文 CS 字体)" w:hint="eastAsia"/>
          <w:kern w:val="0"/>
          <w:sz w:val="24"/>
          <w14:ligatures w14:val="none"/>
        </w:rPr>
        <w:t>）和基于人类反馈的强化学习（</w:t>
      </w:r>
      <w:r w:rsidRPr="003C612B">
        <w:rPr>
          <w:rFonts w:ascii="Arial" w:eastAsia="宋体" w:hAnsi="Arial" w:cs="Times New Roman (正文 CS 字体)" w:hint="eastAsia"/>
          <w:kern w:val="0"/>
          <w:sz w:val="24"/>
          <w14:ligatures w14:val="none"/>
        </w:rPr>
        <w:t>RLHF</w:t>
      </w:r>
      <w:r w:rsidRPr="003C612B">
        <w:rPr>
          <w:rFonts w:ascii="Arial" w:eastAsia="宋体" w:hAnsi="Arial" w:cs="Times New Roman (正文 CS 字体)" w:hint="eastAsia"/>
          <w:kern w:val="0"/>
          <w:sz w:val="24"/>
          <w14:ligatures w14:val="none"/>
        </w:rPr>
        <w:t>）的广泛应用，解决了模型输出与人类意图、安全性对齐的关键问题，大幅提升了模型的可用性和可靠性。</w:t>
      </w:r>
    </w:p>
    <w:p w14:paraId="2B599AA1" w14:textId="416FD32C" w:rsidR="00200C80" w:rsidRDefault="003C612B" w:rsidP="003C612B">
      <w:pPr>
        <w:rPr>
          <w:rFonts w:ascii="Arial" w:eastAsia="宋体" w:hAnsi="Arial" w:cs="Times New Roman (正文 CS 字体)"/>
          <w:kern w:val="0"/>
          <w:sz w:val="24"/>
          <w14:ligatures w14:val="none"/>
        </w:rPr>
      </w:pPr>
      <w:r w:rsidRPr="003C612B">
        <w:rPr>
          <w:rFonts w:ascii="Arial" w:eastAsia="宋体" w:hAnsi="Arial" w:cs="Times New Roman (正文 CS 字体)" w:hint="eastAsia"/>
          <w:kern w:val="0"/>
          <w:sz w:val="24"/>
          <w14:ligatures w14:val="none"/>
        </w:rPr>
        <w:t>多模态与推理深化（</w:t>
      </w:r>
      <w:r w:rsidRPr="003C612B">
        <w:rPr>
          <w:rFonts w:ascii="Arial" w:eastAsia="宋体" w:hAnsi="Arial" w:cs="Times New Roman (正文 CS 字体)" w:hint="eastAsia"/>
          <w:kern w:val="0"/>
          <w:sz w:val="24"/>
          <w14:ligatures w14:val="none"/>
        </w:rPr>
        <w:t>2023</w:t>
      </w:r>
      <w:r w:rsidRPr="003C612B">
        <w:rPr>
          <w:rFonts w:ascii="Arial" w:eastAsia="宋体" w:hAnsi="Arial" w:cs="Times New Roman (正文 CS 字体)" w:hint="eastAsia"/>
          <w:kern w:val="0"/>
          <w:sz w:val="24"/>
          <w14:ligatures w14:val="none"/>
        </w:rPr>
        <w:t>年至今）：技术焦点转向多模态统一（文本、图像、音频、视频）和深度推理能力。模型从单一模态生成迈向跨模态理解与生成，并出现了专门强化逻辑推理的“慢思考”模型（如</w:t>
      </w:r>
      <w:r w:rsidRPr="003C612B">
        <w:rPr>
          <w:rFonts w:ascii="Arial" w:eastAsia="宋体" w:hAnsi="Arial" w:cs="Times New Roman (正文 CS 字体)" w:hint="eastAsia"/>
          <w:kern w:val="0"/>
          <w:sz w:val="24"/>
          <w14:ligatures w14:val="none"/>
        </w:rPr>
        <w:t>OpenAI o</w:t>
      </w:r>
      <w:r w:rsidRPr="003C612B">
        <w:rPr>
          <w:rFonts w:ascii="Arial" w:eastAsia="宋体" w:hAnsi="Arial" w:cs="Times New Roman (正文 CS 字体)" w:hint="eastAsia"/>
          <w:kern w:val="0"/>
          <w:sz w:val="24"/>
          <w14:ligatures w14:val="none"/>
        </w:rPr>
        <w:t>系列、</w:t>
      </w:r>
      <w:r w:rsidRPr="003C612B">
        <w:rPr>
          <w:rFonts w:ascii="Arial" w:eastAsia="宋体" w:hAnsi="Arial" w:cs="Times New Roman (正文 CS 字体)" w:hint="eastAsia"/>
          <w:kern w:val="0"/>
          <w:sz w:val="24"/>
          <w14:ligatures w14:val="none"/>
        </w:rPr>
        <w:t>DeepSeek R1</w:t>
      </w:r>
      <w:r w:rsidRPr="003C612B">
        <w:rPr>
          <w:rFonts w:ascii="Arial" w:eastAsia="宋体" w:hAnsi="Arial" w:cs="Times New Roman (正文 CS 字体)" w:hint="eastAsia"/>
          <w:kern w:val="0"/>
          <w:sz w:val="24"/>
          <w14:ligatures w14:val="none"/>
        </w:rPr>
        <w:t>）。同时，开源生态崛起，以</w:t>
      </w:r>
      <w:r w:rsidRPr="003C612B">
        <w:rPr>
          <w:rFonts w:ascii="Arial" w:eastAsia="宋体" w:hAnsi="Arial" w:cs="Times New Roman (正文 CS 字体)" w:hint="eastAsia"/>
          <w:kern w:val="0"/>
          <w:sz w:val="24"/>
          <w14:ligatures w14:val="none"/>
        </w:rPr>
        <w:t>DeepSeek</w:t>
      </w:r>
      <w:r w:rsidRPr="003C612B">
        <w:rPr>
          <w:rFonts w:ascii="Arial" w:eastAsia="宋体" w:hAnsi="Arial" w:cs="Times New Roman (正文 CS 字体)" w:hint="eastAsia"/>
          <w:kern w:val="0"/>
          <w:sz w:val="24"/>
          <w14:ligatures w14:val="none"/>
        </w:rPr>
        <w:t>为代表的开源模型通过</w:t>
      </w:r>
      <w:r w:rsidRPr="003C612B">
        <w:rPr>
          <w:rFonts w:ascii="Arial" w:eastAsia="宋体" w:hAnsi="Arial" w:cs="Times New Roman (正文 CS 字体)" w:hint="eastAsia"/>
          <w:kern w:val="0"/>
          <w:sz w:val="24"/>
          <w14:ligatures w14:val="none"/>
        </w:rPr>
        <w:t>MoE</w:t>
      </w:r>
      <w:r w:rsidRPr="003C612B">
        <w:rPr>
          <w:rFonts w:ascii="Arial" w:eastAsia="宋体" w:hAnsi="Arial" w:cs="Times New Roman (正文 CS 字体)" w:hint="eastAsia"/>
          <w:kern w:val="0"/>
          <w:sz w:val="24"/>
          <w14:ligatures w14:val="none"/>
        </w:rPr>
        <w:t>等架构创新，在实现高性能的同时显著降低了成本，推动了技术的民主化</w:t>
      </w:r>
    </w:p>
    <w:p w14:paraId="684943A7" w14:textId="17F17FAB" w:rsidR="004D35EB" w:rsidRDefault="004D35EB" w:rsidP="003C612B">
      <w:pPr>
        <w:rPr>
          <w:rFonts w:ascii="Arial" w:eastAsia="宋体" w:hAnsi="Arial" w:cs="Times New Roman (正文 CS 字体)" w:hint="eastAsia"/>
          <w:kern w:val="0"/>
          <w:sz w:val="24"/>
          <w14:ligatures w14:val="none"/>
        </w:rPr>
      </w:pPr>
      <w:r>
        <w:rPr>
          <w:rFonts w:ascii="Arial" w:eastAsia="宋体" w:hAnsi="Arial" w:cs="Times New Roman (正文 CS 字体)" w:hint="eastAsia"/>
          <w:kern w:val="0"/>
          <w:sz w:val="24"/>
          <w14:ligatures w14:val="none"/>
        </w:rPr>
        <w:t>从工程流程上，</w:t>
      </w:r>
      <w:r w:rsidRPr="004D35EB">
        <w:rPr>
          <w:rFonts w:ascii="Arial" w:eastAsia="宋体" w:hAnsi="Arial" w:cs="Times New Roman (正文 CS 字体)"/>
          <w:kern w:val="0"/>
          <w:sz w:val="24"/>
          <w14:ligatures w14:val="none"/>
        </w:rPr>
        <w:t>现代大模型的研发是一个高度工程化、分阶段的系统性过程</w:t>
      </w:r>
      <w:r>
        <w:rPr>
          <w:rFonts w:ascii="Arial" w:eastAsia="宋体" w:hAnsi="Arial" w:cs="Times New Roman (正文 CS 字体)" w:hint="eastAsia"/>
          <w:kern w:val="0"/>
          <w:sz w:val="24"/>
          <w14:ligatures w14:val="none"/>
        </w:rPr>
        <w:t>，需要经历数据准备，架构设计，预训练，后训练，推理部署五个流程：</w:t>
      </w:r>
    </w:p>
    <w:tbl>
      <w:tblPr>
        <w:tblW w:w="935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84"/>
        <w:gridCol w:w="1357"/>
        <w:gridCol w:w="2675"/>
        <w:gridCol w:w="3740"/>
      </w:tblGrid>
      <w:tr w:rsidR="004D35EB" w:rsidRPr="004D35EB" w14:paraId="5B217569" w14:textId="77777777" w:rsidTr="004D35EB">
        <w:trPr>
          <w:tblHeader/>
        </w:trPr>
        <w:tc>
          <w:tcPr>
            <w:tcW w:w="1584" w:type="dxa"/>
            <w:shd w:val="clear" w:color="auto" w:fill="F5F5F5"/>
            <w:tcMar>
              <w:top w:w="135" w:type="dxa"/>
              <w:left w:w="180" w:type="dxa"/>
              <w:bottom w:w="135" w:type="dxa"/>
              <w:right w:w="180" w:type="dxa"/>
            </w:tcMar>
            <w:vAlign w:val="center"/>
            <w:hideMark/>
          </w:tcPr>
          <w:p w14:paraId="33025051" w14:textId="77777777" w:rsidR="004D35EB" w:rsidRPr="004D35EB" w:rsidRDefault="004D35EB" w:rsidP="004D35EB">
            <w:pPr>
              <w:rPr>
                <w:b/>
                <w:bCs/>
              </w:rPr>
            </w:pPr>
            <w:r w:rsidRPr="004D35EB">
              <w:rPr>
                <w:b/>
                <w:bCs/>
              </w:rPr>
              <w:t>阶段</w:t>
            </w:r>
          </w:p>
        </w:tc>
        <w:tc>
          <w:tcPr>
            <w:tcW w:w="0" w:type="auto"/>
            <w:shd w:val="clear" w:color="auto" w:fill="F5F5F5"/>
            <w:tcMar>
              <w:top w:w="135" w:type="dxa"/>
              <w:left w:w="180" w:type="dxa"/>
              <w:bottom w:w="135" w:type="dxa"/>
              <w:right w:w="180" w:type="dxa"/>
            </w:tcMar>
            <w:vAlign w:val="center"/>
            <w:hideMark/>
          </w:tcPr>
          <w:p w14:paraId="7AD00A1D" w14:textId="77777777" w:rsidR="004D35EB" w:rsidRPr="004D35EB" w:rsidRDefault="004D35EB" w:rsidP="004D35EB">
            <w:pPr>
              <w:rPr>
                <w:b/>
                <w:bCs/>
              </w:rPr>
            </w:pPr>
            <w:r w:rsidRPr="004D35EB">
              <w:rPr>
                <w:b/>
                <w:bCs/>
              </w:rPr>
              <w:t>核心任务</w:t>
            </w:r>
          </w:p>
        </w:tc>
        <w:tc>
          <w:tcPr>
            <w:tcW w:w="0" w:type="auto"/>
            <w:shd w:val="clear" w:color="auto" w:fill="F5F5F5"/>
            <w:tcMar>
              <w:top w:w="135" w:type="dxa"/>
              <w:left w:w="180" w:type="dxa"/>
              <w:bottom w:w="135" w:type="dxa"/>
              <w:right w:w="180" w:type="dxa"/>
            </w:tcMar>
            <w:vAlign w:val="center"/>
            <w:hideMark/>
          </w:tcPr>
          <w:p w14:paraId="1A2100CF" w14:textId="77777777" w:rsidR="004D35EB" w:rsidRPr="004D35EB" w:rsidRDefault="004D35EB" w:rsidP="004D35EB">
            <w:pPr>
              <w:rPr>
                <w:b/>
                <w:bCs/>
              </w:rPr>
            </w:pPr>
            <w:r w:rsidRPr="004D35EB">
              <w:rPr>
                <w:b/>
                <w:bCs/>
              </w:rPr>
              <w:t>关键输入</w:t>
            </w:r>
          </w:p>
        </w:tc>
        <w:tc>
          <w:tcPr>
            <w:tcW w:w="3740" w:type="dxa"/>
            <w:shd w:val="clear" w:color="auto" w:fill="F5F5F5"/>
            <w:tcMar>
              <w:top w:w="135" w:type="dxa"/>
              <w:left w:w="180" w:type="dxa"/>
              <w:bottom w:w="135" w:type="dxa"/>
              <w:right w:w="180" w:type="dxa"/>
            </w:tcMar>
            <w:vAlign w:val="center"/>
            <w:hideMark/>
          </w:tcPr>
          <w:p w14:paraId="7F28CBDA" w14:textId="77777777" w:rsidR="004D35EB" w:rsidRPr="004D35EB" w:rsidRDefault="004D35EB" w:rsidP="004D35EB">
            <w:pPr>
              <w:rPr>
                <w:b/>
                <w:bCs/>
              </w:rPr>
            </w:pPr>
            <w:r w:rsidRPr="004D35EB">
              <w:rPr>
                <w:b/>
                <w:bCs/>
              </w:rPr>
              <w:t>主要挑战与目标</w:t>
            </w:r>
          </w:p>
        </w:tc>
      </w:tr>
      <w:tr w:rsidR="004D35EB" w:rsidRPr="004D35EB" w14:paraId="1CBC776C" w14:textId="77777777" w:rsidTr="004D35EB">
        <w:tc>
          <w:tcPr>
            <w:tcW w:w="1584" w:type="dxa"/>
            <w:shd w:val="clear" w:color="auto" w:fill="FFFFFF"/>
            <w:tcMar>
              <w:top w:w="135" w:type="dxa"/>
              <w:left w:w="180" w:type="dxa"/>
              <w:bottom w:w="135" w:type="dxa"/>
              <w:right w:w="180" w:type="dxa"/>
            </w:tcMar>
            <w:vAlign w:val="center"/>
            <w:hideMark/>
          </w:tcPr>
          <w:p w14:paraId="2DA229DE" w14:textId="77777777" w:rsidR="004D35EB" w:rsidRPr="004D35EB" w:rsidRDefault="004D35EB" w:rsidP="004D35EB">
            <w:r w:rsidRPr="004D35EB">
              <w:rPr>
                <w:b/>
                <w:bCs/>
              </w:rPr>
              <w:t>数据准备</w:t>
            </w:r>
          </w:p>
        </w:tc>
        <w:tc>
          <w:tcPr>
            <w:tcW w:w="0" w:type="auto"/>
            <w:shd w:val="clear" w:color="auto" w:fill="FFFFFF"/>
            <w:tcMar>
              <w:top w:w="135" w:type="dxa"/>
              <w:left w:w="180" w:type="dxa"/>
              <w:bottom w:w="135" w:type="dxa"/>
              <w:right w:w="180" w:type="dxa"/>
            </w:tcMar>
            <w:vAlign w:val="center"/>
            <w:hideMark/>
          </w:tcPr>
          <w:p w14:paraId="412CF2A1" w14:textId="77777777" w:rsidR="004D35EB" w:rsidRPr="004D35EB" w:rsidRDefault="004D35EB" w:rsidP="004D35EB">
            <w:r w:rsidRPr="004D35EB">
              <w:t>构建高质量训练数据集</w:t>
            </w:r>
          </w:p>
        </w:tc>
        <w:tc>
          <w:tcPr>
            <w:tcW w:w="0" w:type="auto"/>
            <w:shd w:val="clear" w:color="auto" w:fill="FFFFFF"/>
            <w:tcMar>
              <w:top w:w="135" w:type="dxa"/>
              <w:left w:w="180" w:type="dxa"/>
              <w:bottom w:w="135" w:type="dxa"/>
              <w:right w:w="180" w:type="dxa"/>
            </w:tcMar>
            <w:vAlign w:val="center"/>
            <w:hideMark/>
          </w:tcPr>
          <w:p w14:paraId="7464E12D" w14:textId="77777777" w:rsidR="004D35EB" w:rsidRPr="004D35EB" w:rsidRDefault="004D35EB" w:rsidP="004D35EB">
            <w:r w:rsidRPr="004D35EB">
              <w:t>多模态、多语言原始数据</w:t>
            </w:r>
          </w:p>
        </w:tc>
        <w:tc>
          <w:tcPr>
            <w:tcW w:w="3740" w:type="dxa"/>
            <w:shd w:val="clear" w:color="auto" w:fill="FFFFFF"/>
            <w:tcMar>
              <w:top w:w="135" w:type="dxa"/>
              <w:left w:w="180" w:type="dxa"/>
              <w:bottom w:w="135" w:type="dxa"/>
              <w:right w:w="180" w:type="dxa"/>
            </w:tcMar>
            <w:vAlign w:val="center"/>
            <w:hideMark/>
          </w:tcPr>
          <w:p w14:paraId="5D1F819E" w14:textId="77777777" w:rsidR="004D35EB" w:rsidRPr="004D35EB" w:rsidRDefault="004D35EB" w:rsidP="004D35EB">
            <w:r w:rsidRPr="004D35EB">
              <w:t>数据清洗、去噪、质量评估；确保数据代表性与多样性。</w:t>
            </w:r>
          </w:p>
        </w:tc>
      </w:tr>
      <w:tr w:rsidR="004D35EB" w:rsidRPr="004D35EB" w14:paraId="561A7586" w14:textId="77777777" w:rsidTr="004D35EB">
        <w:tc>
          <w:tcPr>
            <w:tcW w:w="1584" w:type="dxa"/>
            <w:shd w:val="clear" w:color="auto" w:fill="FFFFFF"/>
            <w:tcMar>
              <w:top w:w="135" w:type="dxa"/>
              <w:left w:w="180" w:type="dxa"/>
              <w:bottom w:w="135" w:type="dxa"/>
              <w:right w:w="180" w:type="dxa"/>
            </w:tcMar>
            <w:vAlign w:val="center"/>
            <w:hideMark/>
          </w:tcPr>
          <w:p w14:paraId="053E28BA" w14:textId="77777777" w:rsidR="004D35EB" w:rsidRPr="004D35EB" w:rsidRDefault="004D35EB" w:rsidP="004D35EB">
            <w:r w:rsidRPr="004D35EB">
              <w:rPr>
                <w:b/>
                <w:bCs/>
              </w:rPr>
              <w:t>架构设计</w:t>
            </w:r>
          </w:p>
        </w:tc>
        <w:tc>
          <w:tcPr>
            <w:tcW w:w="0" w:type="auto"/>
            <w:shd w:val="clear" w:color="auto" w:fill="FFFFFF"/>
            <w:tcMar>
              <w:top w:w="135" w:type="dxa"/>
              <w:left w:w="180" w:type="dxa"/>
              <w:bottom w:w="135" w:type="dxa"/>
              <w:right w:w="180" w:type="dxa"/>
            </w:tcMar>
            <w:vAlign w:val="center"/>
            <w:hideMark/>
          </w:tcPr>
          <w:p w14:paraId="3CAD2DC7" w14:textId="77777777" w:rsidR="004D35EB" w:rsidRPr="004D35EB" w:rsidRDefault="004D35EB" w:rsidP="004D35EB">
            <w:r w:rsidRPr="004D35EB">
              <w:t>确定模型基础结构</w:t>
            </w:r>
          </w:p>
        </w:tc>
        <w:tc>
          <w:tcPr>
            <w:tcW w:w="0" w:type="auto"/>
            <w:shd w:val="clear" w:color="auto" w:fill="FFFFFF"/>
            <w:tcMar>
              <w:top w:w="135" w:type="dxa"/>
              <w:left w:w="180" w:type="dxa"/>
              <w:bottom w:w="135" w:type="dxa"/>
              <w:right w:w="180" w:type="dxa"/>
            </w:tcMar>
            <w:vAlign w:val="center"/>
            <w:hideMark/>
          </w:tcPr>
          <w:p w14:paraId="5AC20CB3" w14:textId="77777777" w:rsidR="004D35EB" w:rsidRPr="004D35EB" w:rsidRDefault="004D35EB" w:rsidP="004D35EB">
            <w:r w:rsidRPr="004D35EB">
              <w:t>Transformer及变体（MoE, 稀疏注意力）</w:t>
            </w:r>
          </w:p>
        </w:tc>
        <w:tc>
          <w:tcPr>
            <w:tcW w:w="3740" w:type="dxa"/>
            <w:shd w:val="clear" w:color="auto" w:fill="FFFFFF"/>
            <w:tcMar>
              <w:top w:w="135" w:type="dxa"/>
              <w:left w:w="180" w:type="dxa"/>
              <w:bottom w:w="135" w:type="dxa"/>
              <w:right w:w="180" w:type="dxa"/>
            </w:tcMar>
            <w:vAlign w:val="center"/>
            <w:hideMark/>
          </w:tcPr>
          <w:p w14:paraId="616E0DF6" w14:textId="77777777" w:rsidR="004D35EB" w:rsidRPr="004D35EB" w:rsidRDefault="004D35EB" w:rsidP="004D35EB">
            <w:r w:rsidRPr="004D35EB">
              <w:t>平衡参数规模、训练/推理效率与长期成本；支持长上下文与多模态。</w:t>
            </w:r>
          </w:p>
        </w:tc>
      </w:tr>
      <w:tr w:rsidR="004D35EB" w:rsidRPr="004D35EB" w14:paraId="4B9F506E" w14:textId="77777777" w:rsidTr="004D35EB">
        <w:tc>
          <w:tcPr>
            <w:tcW w:w="1584" w:type="dxa"/>
            <w:shd w:val="clear" w:color="auto" w:fill="FFFFFF"/>
            <w:tcMar>
              <w:top w:w="135" w:type="dxa"/>
              <w:left w:w="180" w:type="dxa"/>
              <w:bottom w:w="135" w:type="dxa"/>
              <w:right w:w="180" w:type="dxa"/>
            </w:tcMar>
            <w:vAlign w:val="center"/>
            <w:hideMark/>
          </w:tcPr>
          <w:p w14:paraId="501B89BE" w14:textId="77777777" w:rsidR="004D35EB" w:rsidRPr="004D35EB" w:rsidRDefault="004D35EB" w:rsidP="004D35EB">
            <w:r w:rsidRPr="004D35EB">
              <w:rPr>
                <w:b/>
                <w:bCs/>
              </w:rPr>
              <w:t>预训练</w:t>
            </w:r>
          </w:p>
        </w:tc>
        <w:tc>
          <w:tcPr>
            <w:tcW w:w="0" w:type="auto"/>
            <w:shd w:val="clear" w:color="auto" w:fill="FFFFFF"/>
            <w:tcMar>
              <w:top w:w="135" w:type="dxa"/>
              <w:left w:w="180" w:type="dxa"/>
              <w:bottom w:w="135" w:type="dxa"/>
              <w:right w:w="180" w:type="dxa"/>
            </w:tcMar>
            <w:vAlign w:val="center"/>
            <w:hideMark/>
          </w:tcPr>
          <w:p w14:paraId="4B8025B9" w14:textId="77777777" w:rsidR="004D35EB" w:rsidRPr="004D35EB" w:rsidRDefault="004D35EB" w:rsidP="004D35EB">
            <w:r w:rsidRPr="004D35EB">
              <w:t>学习通用统计规律</w:t>
            </w:r>
          </w:p>
        </w:tc>
        <w:tc>
          <w:tcPr>
            <w:tcW w:w="0" w:type="auto"/>
            <w:shd w:val="clear" w:color="auto" w:fill="FFFFFF"/>
            <w:tcMar>
              <w:top w:w="135" w:type="dxa"/>
              <w:left w:w="180" w:type="dxa"/>
              <w:bottom w:w="135" w:type="dxa"/>
              <w:right w:w="180" w:type="dxa"/>
            </w:tcMar>
            <w:vAlign w:val="center"/>
            <w:hideMark/>
          </w:tcPr>
          <w:p w14:paraId="0E341309" w14:textId="77777777" w:rsidR="004D35EB" w:rsidRPr="004D35EB" w:rsidRDefault="004D35EB" w:rsidP="004D35EB">
            <w:r w:rsidRPr="004D35EB">
              <w:t>大规模无监督/弱监督数据</w:t>
            </w:r>
          </w:p>
        </w:tc>
        <w:tc>
          <w:tcPr>
            <w:tcW w:w="3740" w:type="dxa"/>
            <w:shd w:val="clear" w:color="auto" w:fill="FFFFFF"/>
            <w:tcMar>
              <w:top w:w="135" w:type="dxa"/>
              <w:left w:w="180" w:type="dxa"/>
              <w:bottom w:w="135" w:type="dxa"/>
              <w:right w:w="180" w:type="dxa"/>
            </w:tcMar>
            <w:vAlign w:val="center"/>
            <w:hideMark/>
          </w:tcPr>
          <w:p w14:paraId="7ECAF82A" w14:textId="77777777" w:rsidR="004D35EB" w:rsidRPr="004D35EB" w:rsidRDefault="004D35EB" w:rsidP="004D35EB">
            <w:r w:rsidRPr="004D35EB">
              <w:t>极高的算力消耗与时间成本；是模型知识的主要来源。</w:t>
            </w:r>
          </w:p>
        </w:tc>
      </w:tr>
      <w:tr w:rsidR="004D35EB" w:rsidRPr="004D35EB" w14:paraId="2E570641" w14:textId="77777777" w:rsidTr="004D35EB">
        <w:tc>
          <w:tcPr>
            <w:tcW w:w="1584" w:type="dxa"/>
            <w:shd w:val="clear" w:color="auto" w:fill="FFFFFF"/>
            <w:tcMar>
              <w:top w:w="135" w:type="dxa"/>
              <w:left w:w="180" w:type="dxa"/>
              <w:bottom w:w="135" w:type="dxa"/>
              <w:right w:w="180" w:type="dxa"/>
            </w:tcMar>
            <w:vAlign w:val="center"/>
            <w:hideMark/>
          </w:tcPr>
          <w:p w14:paraId="39DD5877" w14:textId="77777777" w:rsidR="004D35EB" w:rsidRPr="004D35EB" w:rsidRDefault="004D35EB" w:rsidP="004D35EB">
            <w:r w:rsidRPr="004D35EB">
              <w:rPr>
                <w:b/>
                <w:bCs/>
              </w:rPr>
              <w:t>后训练与对齐</w:t>
            </w:r>
          </w:p>
        </w:tc>
        <w:tc>
          <w:tcPr>
            <w:tcW w:w="0" w:type="auto"/>
            <w:shd w:val="clear" w:color="auto" w:fill="FFFFFF"/>
            <w:tcMar>
              <w:top w:w="135" w:type="dxa"/>
              <w:left w:w="180" w:type="dxa"/>
              <w:bottom w:w="135" w:type="dxa"/>
              <w:right w:w="180" w:type="dxa"/>
            </w:tcMar>
            <w:vAlign w:val="center"/>
            <w:hideMark/>
          </w:tcPr>
          <w:p w14:paraId="7B979229" w14:textId="77777777" w:rsidR="004D35EB" w:rsidRPr="004D35EB" w:rsidRDefault="004D35EB" w:rsidP="004D35EB">
            <w:r w:rsidRPr="004D35EB">
              <w:t>使模型符合人类意图</w:t>
            </w:r>
          </w:p>
        </w:tc>
        <w:tc>
          <w:tcPr>
            <w:tcW w:w="0" w:type="auto"/>
            <w:shd w:val="clear" w:color="auto" w:fill="FFFFFF"/>
            <w:tcMar>
              <w:top w:w="135" w:type="dxa"/>
              <w:left w:w="180" w:type="dxa"/>
              <w:bottom w:w="135" w:type="dxa"/>
              <w:right w:w="180" w:type="dxa"/>
            </w:tcMar>
            <w:vAlign w:val="center"/>
            <w:hideMark/>
          </w:tcPr>
          <w:p w14:paraId="00CF334C" w14:textId="77777777" w:rsidR="004D35EB" w:rsidRPr="004D35EB" w:rsidRDefault="004D35EB" w:rsidP="004D35EB">
            <w:r w:rsidRPr="004D35EB">
              <w:t>人工标注数据、人类偏好反馈</w:t>
            </w:r>
          </w:p>
        </w:tc>
        <w:tc>
          <w:tcPr>
            <w:tcW w:w="3740" w:type="dxa"/>
            <w:shd w:val="clear" w:color="auto" w:fill="FFFFFF"/>
            <w:tcMar>
              <w:top w:w="135" w:type="dxa"/>
              <w:left w:w="180" w:type="dxa"/>
              <w:bottom w:w="135" w:type="dxa"/>
              <w:right w:w="180" w:type="dxa"/>
            </w:tcMar>
            <w:vAlign w:val="center"/>
            <w:hideMark/>
          </w:tcPr>
          <w:p w14:paraId="27EF9C97" w14:textId="77777777" w:rsidR="004D35EB" w:rsidRPr="004D35EB" w:rsidRDefault="004D35EB" w:rsidP="004D35EB">
            <w:r w:rsidRPr="004D35EB">
              <w:t>提升模型的安全性、可靠性与可用性；实现价值观对齐。</w:t>
            </w:r>
          </w:p>
        </w:tc>
      </w:tr>
      <w:tr w:rsidR="004D35EB" w:rsidRPr="004D35EB" w14:paraId="10C84381" w14:textId="77777777" w:rsidTr="004D35EB">
        <w:tc>
          <w:tcPr>
            <w:tcW w:w="1584" w:type="dxa"/>
            <w:shd w:val="clear" w:color="auto" w:fill="FFFFFF"/>
            <w:tcMar>
              <w:top w:w="135" w:type="dxa"/>
              <w:left w:w="180" w:type="dxa"/>
              <w:bottom w:w="135" w:type="dxa"/>
              <w:right w:w="180" w:type="dxa"/>
            </w:tcMar>
            <w:vAlign w:val="center"/>
            <w:hideMark/>
          </w:tcPr>
          <w:p w14:paraId="5B97AFD6" w14:textId="77777777" w:rsidR="004D35EB" w:rsidRPr="004D35EB" w:rsidRDefault="004D35EB" w:rsidP="004D35EB">
            <w:r w:rsidRPr="004D35EB">
              <w:rPr>
                <w:b/>
                <w:bCs/>
              </w:rPr>
              <w:t>推理部署</w:t>
            </w:r>
          </w:p>
        </w:tc>
        <w:tc>
          <w:tcPr>
            <w:tcW w:w="0" w:type="auto"/>
            <w:shd w:val="clear" w:color="auto" w:fill="FFFFFF"/>
            <w:tcMar>
              <w:top w:w="135" w:type="dxa"/>
              <w:left w:w="180" w:type="dxa"/>
              <w:bottom w:w="135" w:type="dxa"/>
              <w:right w:w="180" w:type="dxa"/>
            </w:tcMar>
            <w:vAlign w:val="center"/>
            <w:hideMark/>
          </w:tcPr>
          <w:p w14:paraId="65417A1F" w14:textId="77777777" w:rsidR="004D35EB" w:rsidRPr="004D35EB" w:rsidRDefault="004D35EB" w:rsidP="004D35EB">
            <w:r w:rsidRPr="004D35EB">
              <w:t>提供实时模型服务</w:t>
            </w:r>
          </w:p>
        </w:tc>
        <w:tc>
          <w:tcPr>
            <w:tcW w:w="0" w:type="auto"/>
            <w:shd w:val="clear" w:color="auto" w:fill="FFFFFF"/>
            <w:tcMar>
              <w:top w:w="135" w:type="dxa"/>
              <w:left w:w="180" w:type="dxa"/>
              <w:bottom w:w="135" w:type="dxa"/>
              <w:right w:w="180" w:type="dxa"/>
            </w:tcMar>
            <w:vAlign w:val="center"/>
            <w:hideMark/>
          </w:tcPr>
          <w:p w14:paraId="1BF6E376" w14:textId="77777777" w:rsidR="004D35EB" w:rsidRPr="004D35EB" w:rsidRDefault="004D35EB" w:rsidP="004D35EB">
            <w:r w:rsidRPr="004D35EB">
              <w:t>用户查询（Prompts）</w:t>
            </w:r>
          </w:p>
        </w:tc>
        <w:tc>
          <w:tcPr>
            <w:tcW w:w="3740" w:type="dxa"/>
            <w:shd w:val="clear" w:color="auto" w:fill="FFFFFF"/>
            <w:tcMar>
              <w:top w:w="135" w:type="dxa"/>
              <w:left w:w="180" w:type="dxa"/>
              <w:bottom w:w="135" w:type="dxa"/>
              <w:right w:w="180" w:type="dxa"/>
            </w:tcMar>
            <w:vAlign w:val="center"/>
            <w:hideMark/>
          </w:tcPr>
          <w:p w14:paraId="6980E46E" w14:textId="77777777" w:rsidR="004D35EB" w:rsidRPr="004D35EB" w:rsidRDefault="004D35EB" w:rsidP="004D35EB">
            <w:r w:rsidRPr="004D35EB">
              <w:t>优化延迟、并发与成本效率；是价值转化的最终环节。</w:t>
            </w:r>
          </w:p>
        </w:tc>
      </w:tr>
    </w:tbl>
    <w:p w14:paraId="52A144A1" w14:textId="77777777" w:rsidR="004D35EB" w:rsidRPr="004D35EB" w:rsidRDefault="004D35EB" w:rsidP="003C612B">
      <w:pPr>
        <w:rPr>
          <w:rFonts w:hint="eastAsia"/>
        </w:rPr>
      </w:pPr>
    </w:p>
    <w:p w14:paraId="2E1BBB84" w14:textId="2DA56C15" w:rsidR="00FA494B" w:rsidRDefault="00FA494B" w:rsidP="00FA494B">
      <w:pPr>
        <w:pStyle w:val="3"/>
        <w:rPr>
          <w:rFonts w:hint="eastAsia"/>
        </w:rPr>
      </w:pPr>
      <w:r>
        <w:rPr>
          <w:rFonts w:hint="eastAsia"/>
        </w:rPr>
        <w:t>产业特性 √</w:t>
      </w:r>
    </w:p>
    <w:p w14:paraId="1FD968E3" w14:textId="46D3D09B" w:rsidR="00FA494B" w:rsidRDefault="00FA494B" w:rsidP="00FA494B">
      <w:pPr>
        <w:rPr>
          <w:rFonts w:hint="eastAsia"/>
        </w:rPr>
      </w:pPr>
      <w:r>
        <w:rPr>
          <w:rFonts w:hint="eastAsia"/>
        </w:rPr>
        <w:t>基础大模型</w:t>
      </w:r>
      <w:r w:rsidR="00285D82">
        <w:rPr>
          <w:rFonts w:hint="eastAsia"/>
        </w:rPr>
        <w:t>具备明确的</w:t>
      </w:r>
      <w:r>
        <w:rPr>
          <w:rFonts w:hint="eastAsia"/>
        </w:rPr>
        <w:t>数据-算力-模型飞轮</w:t>
      </w:r>
      <w:r w:rsidR="00285D82">
        <w:rPr>
          <w:rFonts w:hint="eastAsia"/>
        </w:rPr>
        <w:t>特性</w:t>
      </w:r>
      <w:r>
        <w:rPr>
          <w:rFonts w:hint="eastAsia"/>
        </w:rPr>
        <w:t>。这一飞轮的启动，依赖于电力向智能的全球转化：国家以电力指标支撑算力网络，基础大模型将算力转化为可全球贸易</w:t>
      </w:r>
      <w:r>
        <w:rPr>
          <w:rFonts w:hint="eastAsia"/>
        </w:rPr>
        <w:lastRenderedPageBreak/>
        <w:t>的认知服务，而全球市场的每一次调用，又反向为飞轮注入新的数据燃料与商业能量。</w:t>
      </w:r>
    </w:p>
    <w:p w14:paraId="72999105" w14:textId="77777777" w:rsidR="00FA494B" w:rsidRDefault="00FA494B" w:rsidP="00FA494B">
      <w:pPr>
        <w:rPr>
          <w:rFonts w:hint="eastAsia"/>
        </w:rPr>
      </w:pPr>
      <w:r>
        <w:rPr>
          <w:rFonts w:hint="eastAsia"/>
        </w:rPr>
        <w:t>飞轮的结构首先建立在AI"使用即生产"的底层属性上。传统软件的用户增长与产品改进相互分离——用户越多，收入越高，但代码本身不因使用而自动优化。基础大模型则完全不同：每一次API调用、每一轮对话交互、每一个Agent任务执行，都在产生可用于后续训练或微调的真实世界数据。这些数据回流至模型迭代管线，通过RLHF、DPO、在线学习等机制，持续提升模型的对齐度与泛化能力。结果是，用户基数的扩张不仅带来收入，更直接转化为模型质量的提升；而模型质量的提升，又降低获客成本、提高用户粘性，吸引更多调用。用户增长与模型进化由此形成正反馈回路，而非简单的供需交易。</w:t>
      </w:r>
    </w:p>
    <w:p w14:paraId="085D74BD" w14:textId="77777777" w:rsidR="00FA494B" w:rsidRDefault="00FA494B" w:rsidP="00FA494B">
      <w:pPr>
        <w:jc w:val="center"/>
        <w:rPr>
          <w:rFonts w:hint="eastAsia"/>
        </w:rPr>
      </w:pPr>
      <w:r>
        <w:rPr>
          <w:rFonts w:hint="eastAsia"/>
          <w:noProof/>
        </w:rPr>
        <w:drawing>
          <wp:inline distT="0" distB="0" distL="0" distR="0" wp14:anchorId="44B628BC" wp14:editId="1B459375">
            <wp:extent cx="4413250" cy="3313099"/>
            <wp:effectExtent l="0" t="0" r="6350" b="1905"/>
            <wp:docPr id="2019186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22230" cy="3319841"/>
                    </a:xfrm>
                    <a:prstGeom prst="rect">
                      <a:avLst/>
                    </a:prstGeom>
                    <a:noFill/>
                  </pic:spPr>
                </pic:pic>
              </a:graphicData>
            </a:graphic>
          </wp:inline>
        </w:drawing>
      </w:r>
    </w:p>
    <w:p w14:paraId="04543D52" w14:textId="77777777" w:rsidR="00FA494B" w:rsidRDefault="00FA494B" w:rsidP="00FA494B">
      <w:pPr>
        <w:rPr>
          <w:rFonts w:hint="eastAsia"/>
        </w:rPr>
      </w:pPr>
      <w:r>
        <w:rPr>
          <w:rFonts w:hint="eastAsia"/>
        </w:rPr>
        <w:t>这一回路的强化机制，在于模型能力跃迁对需求价值的非线性拉动。当模型参数从百亿级向万亿级扩展，上下文窗口从4K向1M token延伸，模态从文本向图像-视频-3D融合，Agent从单步响应向多轮自主规划演进时，单次任务所需的算力投入确实在上升，但模型能够解决的问题复杂度与商业价值呈指数级跳升。这意味着基础大模型的单位算力成本虽然在增加，但其输出的认知服务的单位经济价值增长得更快。飞轮因此不会陷入"越转越慢"的产出边际递减，而是呈现"越转越快"的效能边际递增态势——每一代新模型的发布，不是对旧模型的替代，而是对应用场景的叠加：旧场景持续产生稳定推理收入，新场景（如长文档分析、多模态生成、自主Agent）打开增量定价空间。</w:t>
      </w:r>
    </w:p>
    <w:p w14:paraId="2EC13148" w14:textId="77777777" w:rsidR="00FA494B" w:rsidRDefault="00FA494B" w:rsidP="00FA494B">
      <w:pPr>
        <w:rPr>
          <w:rFonts w:hint="eastAsia"/>
        </w:rPr>
      </w:pPr>
      <w:r>
        <w:rPr>
          <w:rFonts w:hint="eastAsia"/>
        </w:rPr>
        <w:t>更为关键的是，这一飞轮并非封闭于单一企业或单一市场的内部循环，而是开环于全球API经济。中国廉价的电力与集约化的算力网络构成飞轮的输入端，基础大模型的算法创新与工程优化构成转化端，而全球范围内的SaaS厂商、金融机构、制造企业、</w:t>
      </w:r>
      <w:r>
        <w:rPr>
          <w:rFonts w:hint="eastAsia"/>
        </w:rPr>
        <w:lastRenderedPageBreak/>
        <w:t>内容平台的AI化需求构成输出端。每一次海外API调用不仅带来美元收入，更带来跨语言、跨文化、跨行业的</w:t>
      </w:r>
      <w:r w:rsidRPr="00F632BD">
        <w:rPr>
          <w:rFonts w:hint="eastAsia"/>
          <w:highlight w:val="yellow"/>
        </w:rPr>
        <w:t>异构数据</w:t>
      </w:r>
      <w:r>
        <w:rPr>
          <w:rFonts w:hint="eastAsia"/>
        </w:rPr>
        <w:t>，这些数据回流后训练出的模型，其全球适用性远超仅依赖中文语料的版本。飞轮因此脱离了本地市场规模的硬约束，其转速取决于全球智能服务贸易的扩张速度，这是一个比国内政策周期更宏大的增长坐标系。</w:t>
      </w:r>
    </w:p>
    <w:p w14:paraId="448C5D5D" w14:textId="77777777" w:rsidR="00FA494B" w:rsidRDefault="00FA494B" w:rsidP="00FA494B">
      <w:pPr>
        <w:rPr>
          <w:rFonts w:hint="eastAsia"/>
        </w:rPr>
      </w:pPr>
      <w:r>
        <w:rPr>
          <w:rFonts w:hint="eastAsia"/>
        </w:rPr>
        <w:t>在这一坐标系中，基础大模型的重要定位得以确立。算力可以由国家基建规模化供给，数据可以由行业场景分散产生，但将原始算力与碎片化数据转化为可泛化、可迭代、可全球分发的通用认知能力，需要预训练架构、对齐技术、工程优化、多模态融合的长期积累。这本质上是将存量转化为增量，将全球信息技术革命的成果转换为AI技术革命的基石。</w:t>
      </w:r>
    </w:p>
    <w:p w14:paraId="57E69A31" w14:textId="77777777" w:rsidR="00FA494B" w:rsidRPr="008D0FD5" w:rsidRDefault="00FA494B" w:rsidP="00FA494B">
      <w:pPr>
        <w:rPr>
          <w:rFonts w:hint="eastAsia"/>
        </w:rPr>
      </w:pPr>
      <w:r>
        <w:rPr>
          <w:rFonts w:hint="eastAsia"/>
        </w:rPr>
        <w:t>基础大模型不是算力的囤积者，也不是数据的仓库管理员，而是飞轮的中枢转换器——它决定了输入端的能源与无序信息有多少能被转化为可贸易，可查询，可匹配，结构化的智能，决定了输出端的Token能在多大程度，多块速度上加速人类的认知与劳动。</w:t>
      </w:r>
    </w:p>
    <w:p w14:paraId="43228F1F" w14:textId="77777777" w:rsidR="00FA494B" w:rsidRPr="00FA494B" w:rsidRDefault="00FA494B" w:rsidP="00FA494B">
      <w:pPr>
        <w:rPr>
          <w:rFonts w:hint="eastAsia"/>
        </w:rPr>
      </w:pPr>
    </w:p>
    <w:p w14:paraId="0DA280A3" w14:textId="0E6BB0B7" w:rsidR="0003199B" w:rsidRDefault="0003199B" w:rsidP="00E5628C">
      <w:pPr>
        <w:pStyle w:val="3"/>
      </w:pPr>
      <w:r>
        <w:rPr>
          <w:rFonts w:hint="eastAsia"/>
        </w:rPr>
        <w:t>应用维度</w:t>
      </w:r>
      <w:r w:rsidR="00CB4E84">
        <w:rPr>
          <w:rFonts w:hint="eastAsia"/>
        </w:rPr>
        <w:t>（不好写，尝试放弃</w:t>
      </w:r>
    </w:p>
    <w:p w14:paraId="0C1DC9F6" w14:textId="77777777" w:rsidR="00F8698F" w:rsidRDefault="00F8698F" w:rsidP="00F8698F">
      <w:r w:rsidRPr="00D030E0">
        <w:t>大模型正在从</w:t>
      </w:r>
      <w:r>
        <w:rPr>
          <w:rFonts w:hint="eastAsia"/>
        </w:rPr>
        <w:t>尝试</w:t>
      </w:r>
      <w:r w:rsidRPr="00D030E0">
        <w:t>应用向"工作流基础设施"过渡。但过渡并不均衡。当前的应用落地呈现明显的</w:t>
      </w:r>
      <w:r w:rsidRPr="00D030E0">
        <w:rPr>
          <w:b/>
          <w:bCs/>
        </w:rPr>
        <w:t>分层特征</w:t>
      </w:r>
      <w:r w:rsidRPr="00D030E0">
        <w:t>：在信息获取和内容生成领域，大模型已具备替代传统工具的雏形；在高度专业化的知识工作和流程自动化领域，它更多扮演"辅助者"而非"替代者"；在物理世界（具身智能、自动驾驶），则仍处于早期验证阶段。</w:t>
      </w:r>
    </w:p>
    <w:p w14:paraId="6DD99A56" w14:textId="77777777" w:rsidR="00F8698F" w:rsidRDefault="00F8698F" w:rsidP="00F8698F">
      <w:pPr>
        <w:rPr>
          <w:rFonts w:hint="eastAsia"/>
        </w:rPr>
      </w:pPr>
      <w:r>
        <w:rPr>
          <w:noProof/>
        </w:rPr>
        <w:drawing>
          <wp:inline distT="0" distB="0" distL="0" distR="0" wp14:anchorId="2E802D53" wp14:editId="06579D73">
            <wp:extent cx="5274310" cy="2519680"/>
            <wp:effectExtent l="0" t="0" r="2540" b="0"/>
            <wp:docPr id="762094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94381" name=""/>
                    <pic:cNvPicPr/>
                  </pic:nvPicPr>
                  <pic:blipFill>
                    <a:blip r:embed="rId9"/>
                    <a:stretch>
                      <a:fillRect/>
                    </a:stretch>
                  </pic:blipFill>
                  <pic:spPr>
                    <a:xfrm>
                      <a:off x="0" y="0"/>
                      <a:ext cx="5274310" cy="2519680"/>
                    </a:xfrm>
                    <a:prstGeom prst="rect">
                      <a:avLst/>
                    </a:prstGeom>
                  </pic:spPr>
                </pic:pic>
              </a:graphicData>
            </a:graphic>
          </wp:inline>
        </w:drawing>
      </w:r>
    </w:p>
    <w:p w14:paraId="5002C961" w14:textId="77777777" w:rsidR="00F8698F" w:rsidRDefault="00F8698F" w:rsidP="00F8698F">
      <w:pPr>
        <w:rPr>
          <w:rFonts w:hint="eastAsia"/>
        </w:rPr>
      </w:pPr>
      <w:r>
        <w:rPr>
          <w:rFonts w:hint="eastAsia"/>
        </w:rPr>
        <w:t>信息来源：中欧商学院</w:t>
      </w:r>
    </w:p>
    <w:p w14:paraId="4E199452" w14:textId="30735BEA" w:rsidR="004745AC" w:rsidRDefault="004745AC" w:rsidP="004745AC">
      <w:r>
        <w:rPr>
          <w:rFonts w:hint="eastAsia"/>
        </w:rPr>
        <w:t>从大模型落地的广度而言，对于大模型的应用几乎渗透了所有基于文字，数字，和图像的行业。</w:t>
      </w:r>
      <w:r w:rsidRPr="004745AC">
        <w:t>在金融、法律、科研等领域，类似逻辑同样成立。基础大模型通过注入领域专业知识库和经过清洗的行业数据，能够执行复杂的文档分析、合规审查、代码生</w:t>
      </w:r>
      <w:r w:rsidRPr="004745AC">
        <w:lastRenderedPageBreak/>
        <w:t>成、实验模拟等任务，将</w:t>
      </w:r>
      <w:r>
        <w:rPr>
          <w:rFonts w:hint="eastAsia"/>
        </w:rPr>
        <w:t>人们</w:t>
      </w:r>
      <w:r w:rsidRPr="004745AC">
        <w:t>从繁琐的重复性工作中解放出来</w:t>
      </w:r>
      <w:r>
        <w:rPr>
          <w:rFonts w:hint="eastAsia"/>
        </w:rPr>
        <w:t>。</w:t>
      </w:r>
    </w:p>
    <w:p w14:paraId="24B2C635" w14:textId="4EBC4381" w:rsidR="00AD7077" w:rsidRPr="00D030E0" w:rsidRDefault="00AD7077" w:rsidP="004745AC">
      <w:pPr>
        <w:rPr>
          <w:rFonts w:hint="eastAsia"/>
        </w:rPr>
      </w:pPr>
      <w:r>
        <w:rPr>
          <w:rFonts w:hint="eastAsia"/>
        </w:rPr>
        <w:t>图，文，音声，办公，</w:t>
      </w:r>
    </w:p>
    <w:p w14:paraId="15F47D0F" w14:textId="77777777" w:rsidR="00F8698F" w:rsidRPr="004745AC" w:rsidRDefault="00F8698F" w:rsidP="00F8698F">
      <w:pPr>
        <w:rPr>
          <w:rFonts w:hint="eastAsia"/>
        </w:rPr>
      </w:pPr>
    </w:p>
    <w:p w14:paraId="5F6E74BA" w14:textId="77777777" w:rsidR="00F8698F" w:rsidRDefault="00F8698F" w:rsidP="00F8698F">
      <w:pPr>
        <w:rPr>
          <w:rFonts w:hint="eastAsia"/>
        </w:rPr>
      </w:pPr>
    </w:p>
    <w:p w14:paraId="2B80D9F7" w14:textId="77777777" w:rsidR="00F8698F" w:rsidRDefault="00F8698F" w:rsidP="00F8698F">
      <w:pPr>
        <w:rPr>
          <w:rFonts w:hint="eastAsia"/>
        </w:rPr>
      </w:pPr>
    </w:p>
    <w:p w14:paraId="09369CC5" w14:textId="77777777" w:rsidR="00F8698F" w:rsidRDefault="00F8698F" w:rsidP="00F8698F">
      <w:pPr>
        <w:rPr>
          <w:rFonts w:hint="eastAsia"/>
        </w:rPr>
      </w:pPr>
      <w:r>
        <w:rPr>
          <w:rFonts w:hint="eastAsia"/>
          <w:noProof/>
        </w:rPr>
        <w:drawing>
          <wp:inline distT="0" distB="0" distL="0" distR="0" wp14:anchorId="6A400583" wp14:editId="35207065">
            <wp:extent cx="5274310" cy="3055620"/>
            <wp:effectExtent l="0" t="0" r="2540" b="0"/>
            <wp:docPr id="410389910" name="图片 1" descr="各行业AI导入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各行业AI导入率"/>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3055620"/>
                    </a:xfrm>
                    <a:prstGeom prst="rect">
                      <a:avLst/>
                    </a:prstGeom>
                    <a:noFill/>
                    <a:ln>
                      <a:noFill/>
                    </a:ln>
                  </pic:spPr>
                </pic:pic>
              </a:graphicData>
            </a:graphic>
          </wp:inline>
        </w:drawing>
      </w:r>
    </w:p>
    <w:p w14:paraId="0F28E259" w14:textId="77777777" w:rsidR="00F8698F" w:rsidRDefault="00F8698F" w:rsidP="00F8698F">
      <w:pPr>
        <w:rPr>
          <w:rFonts w:hint="eastAsia"/>
        </w:rPr>
      </w:pPr>
      <w:r>
        <w:rPr>
          <w:rFonts w:hint="eastAsia"/>
        </w:rPr>
        <w:t>信息来源：超智咨询</w:t>
      </w:r>
    </w:p>
    <w:p w14:paraId="4F8DC079" w14:textId="77777777" w:rsidR="00F8698F" w:rsidRPr="00F8698F" w:rsidRDefault="00F8698F" w:rsidP="00F8698F">
      <w:pPr>
        <w:rPr>
          <w:rFonts w:hint="eastAsia"/>
        </w:rPr>
      </w:pPr>
    </w:p>
    <w:p w14:paraId="037B32F2" w14:textId="3027AD05" w:rsidR="0003199B" w:rsidRDefault="0003199B" w:rsidP="00E5628C">
      <w:pPr>
        <w:pStyle w:val="3"/>
      </w:pPr>
      <w:r>
        <w:rPr>
          <w:rFonts w:hint="eastAsia"/>
        </w:rPr>
        <w:t>部署形态</w:t>
      </w:r>
      <w:r w:rsidR="00C22F0C">
        <w:rPr>
          <w:rFonts w:hint="eastAsia"/>
        </w:rPr>
        <w:t xml:space="preserve"> √</w:t>
      </w:r>
    </w:p>
    <w:p w14:paraId="2AD2D26F" w14:textId="14B7A87C" w:rsidR="00201B38" w:rsidRDefault="00201B38" w:rsidP="00201B38">
      <w:r w:rsidRPr="00201B38">
        <w:t>大模型的部署形态是其商业化落地的核心环节，直接决定了服务模式、成本结构、客户覆盖与收入增长曲线。当前，企业级市场已形成以云端部署和本地化部署为主流的两种形态，两者并非简单替代，而是针对不同客户需求、安全等级与成本考量下的互补性选择。随着模型能力提升与市场教育深化，部署形态正呈现动态演进趋势。</w:t>
      </w:r>
    </w:p>
    <w:p w14:paraId="4B8EA206" w14:textId="77777777" w:rsidR="00B104F9" w:rsidRDefault="004B23DD" w:rsidP="00201B38">
      <w:r w:rsidRPr="004B23DD">
        <w:t>从市场规模结构看，本地化部署目前占据主导地位。</w:t>
      </w:r>
    </w:p>
    <w:p w14:paraId="686CAF4C" w14:textId="6F8301B2" w:rsidR="0033367F" w:rsidRDefault="00283F56" w:rsidP="00201B38">
      <w:r>
        <w:rPr>
          <w:rFonts w:hint="eastAsia"/>
        </w:rPr>
        <w:t>本地部署分为两种，一种是</w:t>
      </w:r>
      <w:r w:rsidR="0094627B">
        <w:rPr>
          <w:rFonts w:hint="eastAsia"/>
        </w:rPr>
        <w:t>物理性本地部署，这类</w:t>
      </w:r>
      <w:r>
        <w:rPr>
          <w:rFonts w:hint="eastAsia"/>
        </w:rPr>
        <w:t>部署</w:t>
      </w:r>
      <w:r w:rsidR="0094627B">
        <w:rPr>
          <w:rFonts w:hint="eastAsia"/>
        </w:rPr>
        <w:t>一般布设</w:t>
      </w:r>
      <w:r>
        <w:rPr>
          <w:rFonts w:hint="eastAsia"/>
        </w:rPr>
        <w:t>在</w:t>
      </w:r>
      <w:r w:rsidR="0094627B">
        <w:rPr>
          <w:rFonts w:hint="eastAsia"/>
        </w:rPr>
        <w:t>企业或</w:t>
      </w:r>
      <w:r>
        <w:rPr>
          <w:rFonts w:hint="eastAsia"/>
        </w:rPr>
        <w:t>组织所属的物理机房内，</w:t>
      </w:r>
      <w:r w:rsidR="0033367F">
        <w:rPr>
          <w:rFonts w:hint="eastAsia"/>
        </w:rPr>
        <w:t>此</w:t>
      </w:r>
      <w:r>
        <w:rPr>
          <w:rFonts w:hint="eastAsia"/>
        </w:rPr>
        <w:t>类机房</w:t>
      </w:r>
      <w:r w:rsidR="00202714">
        <w:rPr>
          <w:rFonts w:hint="eastAsia"/>
        </w:rPr>
        <w:t>由一系列</w:t>
      </w:r>
      <w:r w:rsidR="0033367F">
        <w:rPr>
          <w:rFonts w:hint="eastAsia"/>
        </w:rPr>
        <w:t>为AI存算规划而特殊定制</w:t>
      </w:r>
      <w:r w:rsidR="00202714">
        <w:rPr>
          <w:rFonts w:hint="eastAsia"/>
        </w:rPr>
        <w:t>的算力机柜组成，</w:t>
      </w:r>
      <w:r w:rsidR="00C3234E" w:rsidRPr="00C3234E">
        <w:t>物理部署涉及四类核心模块：算力处理单元（GPU/TPU）、调度与系统平台（CPU+OS主机）、数据存储单元、机柜间高速通讯单元（光模块及光电转化设施）</w:t>
      </w:r>
      <w:r w:rsidR="0094627B">
        <w:rPr>
          <w:rFonts w:hint="eastAsia"/>
        </w:rPr>
        <w:t>。</w:t>
      </w:r>
      <w:r w:rsidR="0033367F">
        <w:rPr>
          <w:rFonts w:hint="eastAsia"/>
        </w:rPr>
        <w:t>物理部署</w:t>
      </w:r>
      <w:r w:rsidR="007433F7">
        <w:rPr>
          <w:rFonts w:hint="eastAsia"/>
        </w:rPr>
        <w:t>的设备成本根据大模型的参数规模和复杂度而定，大模型的参数越</w:t>
      </w:r>
      <w:r w:rsidR="003D13CA">
        <w:rPr>
          <w:rFonts w:hint="eastAsia"/>
        </w:rPr>
        <w:t>高</w:t>
      </w:r>
      <w:r w:rsidR="007433F7">
        <w:rPr>
          <w:rFonts w:hint="eastAsia"/>
        </w:rPr>
        <w:t>，</w:t>
      </w:r>
      <w:r w:rsidR="003D13CA">
        <w:rPr>
          <w:rFonts w:hint="eastAsia"/>
        </w:rPr>
        <w:t>并发吞吐量越大，</w:t>
      </w:r>
      <w:r w:rsidR="007433F7">
        <w:rPr>
          <w:rFonts w:hint="eastAsia"/>
        </w:rPr>
        <w:t>算法结构越复杂，物理部署设备的要求就越高。</w:t>
      </w:r>
      <w:r w:rsidR="003D13CA">
        <w:rPr>
          <w:rFonts w:hint="eastAsia"/>
        </w:rPr>
        <w:t>在前超节点时代，一个单机柜的成本可能在</w:t>
      </w:r>
      <w:r w:rsidR="003D13CA">
        <w:rPr>
          <w:rFonts w:hint="eastAsia"/>
        </w:rPr>
        <w:lastRenderedPageBreak/>
        <w:t>数百万到</w:t>
      </w:r>
      <w:r w:rsidR="007B42F1">
        <w:rPr>
          <w:rFonts w:hint="eastAsia"/>
        </w:rPr>
        <w:t>一</w:t>
      </w:r>
      <w:r w:rsidR="00D7733C">
        <w:rPr>
          <w:rFonts w:hint="eastAsia"/>
        </w:rPr>
        <w:t>千万之间不等。</w:t>
      </w:r>
      <w:r w:rsidR="007B42F1">
        <w:rPr>
          <w:rFonts w:hint="eastAsia"/>
        </w:rPr>
        <w:t>而在即将到来的超节点时代中，一个紧耦合的单机柜的成本极有可能超过数千万甚至过亿。因此一般而言，</w:t>
      </w:r>
      <w:r w:rsidR="00D72F3D">
        <w:rPr>
          <w:rFonts w:hint="eastAsia"/>
        </w:rPr>
        <w:t>只有财力雄厚的大型企业和组织才会</w:t>
      </w:r>
      <w:r w:rsidR="00BE5EC9">
        <w:rPr>
          <w:rFonts w:hint="eastAsia"/>
        </w:rPr>
        <w:t>选择进行</w:t>
      </w:r>
      <w:r w:rsidR="007B42F1">
        <w:rPr>
          <w:rFonts w:hint="eastAsia"/>
        </w:rPr>
        <w:t>物理本地部署</w:t>
      </w:r>
    </w:p>
    <w:p w14:paraId="59642137" w14:textId="1E0E6BB4" w:rsidR="00963E1A" w:rsidRDefault="00963E1A" w:rsidP="00201B38">
      <w:r w:rsidRPr="00963E1A">
        <w:t>与物理性本地部署相对的是云端私有化部署。这类部署通常向云厂商租赁GPU云服务器或裸金属实例，由客户（或模型厂商代为）将模型部署在租用的云资源上。云资源在底层仍是算力厂商自有物理机房的硬件设备，只是经虚拟化封装后，以网络服务的形态交付给客户使用</w:t>
      </w:r>
      <w:r w:rsidR="0035324D">
        <w:rPr>
          <w:rFonts w:hint="eastAsia"/>
        </w:rPr>
        <w:t>，</w:t>
      </w:r>
      <w:r w:rsidR="0035324D" w:rsidRPr="0035324D">
        <w:t>客户通过网络访问的"云实例"，在底层仍对应着物理机房中具体的机柜、服务器与加速卡</w:t>
      </w:r>
      <w:r w:rsidRPr="00963E1A">
        <w:t>。相比自建机房，云端部署无需一次性采购硬件，初始投入低、上线周期短，可根据业务负载弹性调整算力规模，但长期运行的综合成本通常</w:t>
      </w:r>
      <w:r>
        <w:rPr>
          <w:rFonts w:hint="eastAsia"/>
        </w:rPr>
        <w:t>比</w:t>
      </w:r>
      <w:r w:rsidR="0035324D">
        <w:rPr>
          <w:rFonts w:hint="eastAsia"/>
        </w:rPr>
        <w:t>物理性本地部署</w:t>
      </w:r>
      <w:r w:rsidRPr="00963E1A">
        <w:t>更高。</w:t>
      </w:r>
    </w:p>
    <w:p w14:paraId="58129CB3" w14:textId="2E5EBD95" w:rsidR="00ED7D24" w:rsidRDefault="00ED7D24" w:rsidP="00201B38">
      <w:pPr>
        <w:rPr>
          <w:rFonts w:hint="eastAsia"/>
        </w:rPr>
      </w:pPr>
      <w:r w:rsidRPr="00ED7D24">
        <w:t>除上述两种本地部署外，第三种模式是公有云API服务（亦称MaaS，模型即服务）。在这种模式下，大模型完全托管于模型厂商或云厂商的算力集群中，客户无需租赁或采购任何算力设备，也无需接触模型权重文件，仅通过标准化API接口调用模型的推理能力。服务以Token消耗量或月度订阅额度计费，客户按实际调用量付费。这种模式的本质是智能服务的消费而非资产的持有，初始门槛最低、弹性最高，但模型能力边界、数据隐私策略及定价权完全由服务提供商掌控。</w:t>
      </w:r>
    </w:p>
    <w:p w14:paraId="6E9586EE" w14:textId="0587E699" w:rsidR="004B23DD" w:rsidRDefault="004B23DD" w:rsidP="00201B38">
      <w:r w:rsidRPr="004B23DD">
        <w:t>根据Frost &amp; Sullivan的数据，2024年中国企业级大语言模型市场规模为47亿元，其中本地化部署占比高达81%，</w:t>
      </w:r>
      <w:r w:rsidR="00ED7D24" w:rsidRPr="00ED7D24">
        <w:t>公有云API服务</w:t>
      </w:r>
      <w:r w:rsidRPr="004B23DD">
        <w:t>仅占19%。这深刻反映了国内企业客户，尤其是金融、政务、大型央国企等领域，对数据主权、隐私保护和系统稳定性的极致要求。这些客户通常客单价高，合同金额可达百万甚至千万级别，且客户粘性强。</w:t>
      </w:r>
    </w:p>
    <w:p w14:paraId="1AFF94BB" w14:textId="4FB1D6CE" w:rsidR="004B23DD" w:rsidRPr="00201B38" w:rsidRDefault="00ED7D24" w:rsidP="00201B38">
      <w:pPr>
        <w:rPr>
          <w:rFonts w:hint="eastAsia"/>
        </w:rPr>
      </w:pPr>
      <w:commentRangeStart w:id="0"/>
      <w:r>
        <w:rPr>
          <w:rFonts w:hint="eastAsia"/>
        </w:rPr>
        <w:t>但</w:t>
      </w:r>
      <w:r w:rsidR="004B23DD" w:rsidRPr="004B23DD">
        <w:t>，</w:t>
      </w:r>
      <w:r w:rsidRPr="00ED7D24">
        <w:t>公有云API服务</w:t>
      </w:r>
      <w:r w:rsidR="004B23DD" w:rsidRPr="004B23DD">
        <w:t>正展现出更强的增长潜力。以行业领先的智谱公司为例，其2024年收入中本地化与云端部署占比分别为84%和16%，本地化仍是主力。但公司预计，随着模型能力提升和客户付费习惯转化，</w:t>
      </w:r>
      <w:r w:rsidR="001C0E59" w:rsidRPr="00ED7D24">
        <w:t>公有云API服务</w:t>
      </w:r>
      <w:r w:rsidR="004B23DD" w:rsidRPr="004B23DD">
        <w:t>收入增速将持续超越本地化。其核心增长驱动力来自于标准化的MaaSAPI调用。公司模型日均Token消耗量从2024年底至2025年6月半年内增长23倍达到4.6万亿，预计2025年底已超6万亿。Token消耗量的指数级增长直接支撑了API收入的扩张，预计至2026年初其API相关年度经常性收入（ARR）已接近6亿元，较去年同期实现数十倍增长。这预示着标准化、规模化的云端服务正成为下一阶段收入高增的引擎。</w:t>
      </w:r>
      <w:commentRangeEnd w:id="0"/>
      <w:r w:rsidR="001C0E59" w:rsidRPr="00201B38">
        <w:rPr>
          <w:rStyle w:val="af7"/>
          <w:rFonts w:hint="eastAsia"/>
          <w:sz w:val="22"/>
          <w:szCs w:val="24"/>
        </w:rPr>
        <w:commentReference w:id="0"/>
      </w:r>
    </w:p>
    <w:p w14:paraId="051E835E" w14:textId="137B9B3C" w:rsidR="00E5628C" w:rsidRPr="00E5628C" w:rsidRDefault="00DB5844" w:rsidP="00E5628C">
      <w:pPr>
        <w:pStyle w:val="2"/>
        <w:rPr>
          <w:rFonts w:hint="eastAsia"/>
        </w:rPr>
      </w:pPr>
      <w:r>
        <w:rPr>
          <w:rFonts w:hint="eastAsia"/>
        </w:rPr>
        <w:t>.2</w:t>
      </w:r>
      <w:r w:rsidR="00E5628C">
        <w:rPr>
          <w:rFonts w:hint="eastAsia"/>
        </w:rPr>
        <w:t>发展背景</w:t>
      </w:r>
      <w:r w:rsidR="001C0E59">
        <w:rPr>
          <w:rFonts w:hint="eastAsia"/>
        </w:rPr>
        <w:t>√</w:t>
      </w:r>
    </w:p>
    <w:p w14:paraId="6F24AB08" w14:textId="1D4CAB70" w:rsidR="00E5628C" w:rsidRDefault="00E5628C" w:rsidP="00043F4A">
      <w:pPr>
        <w:pStyle w:val="3"/>
        <w:rPr>
          <w:rFonts w:hint="eastAsia"/>
        </w:rPr>
      </w:pPr>
      <w:r>
        <w:rPr>
          <w:rFonts w:hint="eastAsia"/>
        </w:rPr>
        <w:t>政策环境</w:t>
      </w:r>
      <w:r w:rsidR="009C4AF1">
        <w:rPr>
          <w:rFonts w:hint="eastAsia"/>
        </w:rPr>
        <w:t xml:space="preserve"> √</w:t>
      </w:r>
    </w:p>
    <w:p w14:paraId="78CF6EF1" w14:textId="77777777" w:rsidR="009C4AF1" w:rsidRDefault="009C4AF1" w:rsidP="009C4AF1">
      <w:pPr>
        <w:rPr>
          <w:rFonts w:hint="eastAsia"/>
        </w:rPr>
      </w:pPr>
      <w:r>
        <w:rPr>
          <w:rFonts w:hint="eastAsia"/>
        </w:rPr>
        <w:t>人工智能的基础设施化，不是产业界的自我标榜，而是国家顶层设计的主动确认。从"新基建"到"新质生产力"，从"东数西算"到"十五五"规划单独成篇，算力基础设施的战略地位经历了三级跳：它最初数字经济的支撑要素，继而成为科技竞争的必争之地，如今已被定义为重塑生产方式的底座工程。这一升格过程，为基础大模型的投资逻辑提</w:t>
      </w:r>
      <w:r>
        <w:rPr>
          <w:rFonts w:hint="eastAsia"/>
        </w:rPr>
        <w:lastRenderedPageBreak/>
        <w:t>供了坚硬的政策锚——当国家将AI算力视为与铁路、电网同等重要的公共品时，基础大模型作为算力转化为认知，推理能力的核心环节，其发展不再是市场自发的商业冒险，而是国家战略的延伸。</w:t>
      </w:r>
    </w:p>
    <w:p w14:paraId="48E00345" w14:textId="77777777" w:rsidR="009C4AF1" w:rsidRDefault="009C4AF1" w:rsidP="009C4AF1">
      <w:pPr>
        <w:rPr>
          <w:rFonts w:hint="eastAsia"/>
        </w:rPr>
      </w:pPr>
      <w:r>
        <w:rPr>
          <w:rFonts w:hint="eastAsia"/>
        </w:rPr>
        <w:t>顶层规划的连续性构成了政策可信度的第一支柱。 2021年，"东数西算"工程启动，在京津冀、长三角、粤港澳大湾区、成渝、内蒙古、贵州、甘肃、宁夏布局八大国家算力枢纽，规划十大数据中心集群，旨在解决东西部算力供需失衡与能源错配。2023年，六部门联合印发《算力基础设施高质量发展行动计划》，提出到2025年算力规模超300 EFLOPS、智能算力占比达35%的量化目标。2025年，国务院印发《关于深入实施"人工智能+"行动的意见》，明确"强化智能算力统筹"。至2026年3月发布的"十五五"规划纲要，"提升数智化发展水平"已单独成篇，聚焦算力、算法、数据高效供给，提出"论证建设超大规模智算集群""支持通过政府购买算力服务、算力租赁等多种方式满足算力需求"。这一政策脉络的密度与连续性，在近年产业规划中极为罕见，表明AI基础设施已从"部门议题"升级为"国家意志"。</w:t>
      </w:r>
    </w:p>
    <w:p w14:paraId="54EA4150" w14:textId="77777777" w:rsidR="009C4AF1" w:rsidRDefault="009C4AF1" w:rsidP="009C4AF1">
      <w:pPr>
        <w:rPr>
          <w:rFonts w:hint="eastAsia"/>
        </w:rPr>
      </w:pPr>
      <w:r>
        <w:rPr>
          <w:rFonts w:hint="eastAsia"/>
        </w:rPr>
        <w:t>部委层面的工具箱正在全维度打开。 2025年5月，工信部印发《算力互联互通行动计划》，明确2026年建立算力标识、标准、规则体系，2028年实现全国公共算力标准化互联，形成"智能感知、实时发现、随需获取"的算力互联网。2026年3月，"算电协同"首次写入《政府工作报告》，标志着算力与电力系统的深度融合上升至国家战略——按中速增长预测，2030年全国数据中心用电量将突破4000亿千瓦时，高速增长趋势下或突破7000亿千瓦时。同期，工信部启动"普惠算力赋能中小企业发展专项行动"，通过算力券、补贴等方式降低中小企业用算成本。从枢纽布局到网络互联，从能源配套到普惠服务，政策设计覆盖了AI基础设施的全生命周期，而非单一环节的刺激性投入。</w:t>
      </w:r>
    </w:p>
    <w:p w14:paraId="39D86C56" w14:textId="77777777" w:rsidR="009C4AF1" w:rsidRDefault="009C4AF1" w:rsidP="009C4AF1">
      <w:pPr>
        <w:rPr>
          <w:rFonts w:hint="eastAsia"/>
        </w:rPr>
      </w:pPr>
      <w:r>
        <w:rPr>
          <w:rFonts w:hint="eastAsia"/>
        </w:rPr>
        <w:t>资本跟进的速度与结构，验证了政策向市场的传导效率。 三大运营商2026年资本开支向算力赛道急剧倾斜：中国电信算力基础设施投资255亿元，同比增长26%，占总投资的35%；中国移动算力网络投资增长62.4%，智能网络投资增长19.8%，两者合计占比超37%；中国联通算力投资占比亦超35%。中国移动更明确提出，力争"十五五"期末算力服务收入翻番。地方层面，深圳2025年多渠道募集45亿元资金专项用于算力、模型、语料、场景补贴，为初创企业提供最高60%的算力资助，并实施"算力飞地"战略，构建1ms城市算力网、3ms韶关算力网、10ms贵安算力网的梯度布局。甘肃庆阳2025年智算规模突破10万P，成为全国算力增速最快的标杆集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21212"/>
        <w:tblCellMar>
          <w:left w:w="0" w:type="dxa"/>
          <w:right w:w="0" w:type="dxa"/>
        </w:tblCellMar>
        <w:tblLook w:val="04A0" w:firstRow="1" w:lastRow="0" w:firstColumn="1" w:lastColumn="0" w:noHBand="0" w:noVBand="1"/>
      </w:tblPr>
      <w:tblGrid>
        <w:gridCol w:w="786"/>
        <w:gridCol w:w="2040"/>
        <w:gridCol w:w="4342"/>
        <w:gridCol w:w="1128"/>
      </w:tblGrid>
      <w:tr w:rsidR="009C4AF1" w:rsidRPr="00F02816" w14:paraId="3D86804F" w14:textId="77777777" w:rsidTr="003E5A53">
        <w:trPr>
          <w:tblHeader/>
        </w:trPr>
        <w:tc>
          <w:tcPr>
            <w:tcW w:w="0" w:type="auto"/>
            <w:tcMar>
              <w:top w:w="150" w:type="dxa"/>
              <w:left w:w="150" w:type="dxa"/>
              <w:bottom w:w="150" w:type="dxa"/>
              <w:right w:w="150" w:type="dxa"/>
            </w:tcMar>
            <w:hideMark/>
          </w:tcPr>
          <w:p w14:paraId="3EC0E3A7" w14:textId="77777777" w:rsidR="009C4AF1" w:rsidRPr="00F02816" w:rsidRDefault="009C4AF1" w:rsidP="003E5A53">
            <w:pPr>
              <w:widowControl/>
              <w:spacing w:after="0" w:line="330" w:lineRule="atLeast"/>
              <w:rPr>
                <w:rFonts w:ascii="inherit" w:eastAsia="宋体" w:hAnsi="inherit" w:cs="Segoe UI" w:hint="eastAsia"/>
                <w:b/>
                <w:bCs/>
                <w:spacing w:val="8"/>
                <w:kern w:val="0"/>
                <w:sz w:val="21"/>
                <w:szCs w:val="21"/>
                <w14:ligatures w14:val="none"/>
              </w:rPr>
            </w:pPr>
            <w:r w:rsidRPr="00F02816">
              <w:rPr>
                <w:rFonts w:ascii="inherit" w:eastAsia="宋体" w:hAnsi="inherit" w:cs="Segoe UI"/>
                <w:b/>
                <w:bCs/>
                <w:spacing w:val="8"/>
                <w:kern w:val="0"/>
                <w:sz w:val="21"/>
                <w:szCs w:val="21"/>
                <w14:ligatures w14:val="none"/>
              </w:rPr>
              <w:t>政策层级</w:t>
            </w:r>
          </w:p>
        </w:tc>
        <w:tc>
          <w:tcPr>
            <w:tcW w:w="0" w:type="auto"/>
            <w:tcMar>
              <w:top w:w="150" w:type="dxa"/>
              <w:left w:w="150" w:type="dxa"/>
              <w:bottom w:w="150" w:type="dxa"/>
              <w:right w:w="150" w:type="dxa"/>
            </w:tcMar>
            <w:hideMark/>
          </w:tcPr>
          <w:p w14:paraId="08EA514B" w14:textId="77777777" w:rsidR="009C4AF1" w:rsidRPr="00F02816" w:rsidRDefault="009C4AF1" w:rsidP="003E5A53">
            <w:pPr>
              <w:widowControl/>
              <w:spacing w:after="0" w:line="330" w:lineRule="atLeast"/>
              <w:rPr>
                <w:rFonts w:ascii="inherit" w:eastAsia="宋体" w:hAnsi="inherit" w:cs="Segoe UI" w:hint="eastAsia"/>
                <w:b/>
                <w:bCs/>
                <w:spacing w:val="8"/>
                <w:kern w:val="0"/>
                <w:sz w:val="21"/>
                <w:szCs w:val="21"/>
                <w14:ligatures w14:val="none"/>
              </w:rPr>
            </w:pPr>
            <w:r w:rsidRPr="00F02816">
              <w:rPr>
                <w:rFonts w:ascii="inherit" w:eastAsia="宋体" w:hAnsi="inherit" w:cs="Segoe UI"/>
                <w:b/>
                <w:bCs/>
                <w:spacing w:val="8"/>
                <w:kern w:val="0"/>
                <w:sz w:val="21"/>
                <w:szCs w:val="21"/>
                <w14:ligatures w14:val="none"/>
              </w:rPr>
              <w:t>关键文件</w:t>
            </w:r>
            <w:r w:rsidRPr="00F02816">
              <w:rPr>
                <w:rFonts w:ascii="inherit" w:eastAsia="宋体" w:hAnsi="inherit" w:cs="Segoe UI"/>
                <w:b/>
                <w:bCs/>
                <w:spacing w:val="8"/>
                <w:kern w:val="0"/>
                <w:sz w:val="21"/>
                <w:szCs w:val="21"/>
                <w14:ligatures w14:val="none"/>
              </w:rPr>
              <w:t>/</w:t>
            </w:r>
            <w:r w:rsidRPr="00F02816">
              <w:rPr>
                <w:rFonts w:ascii="inherit" w:eastAsia="宋体" w:hAnsi="inherit" w:cs="Segoe UI"/>
                <w:b/>
                <w:bCs/>
                <w:spacing w:val="8"/>
                <w:kern w:val="0"/>
                <w:sz w:val="21"/>
                <w:szCs w:val="21"/>
                <w14:ligatures w14:val="none"/>
              </w:rPr>
              <w:t>行动</w:t>
            </w:r>
          </w:p>
        </w:tc>
        <w:tc>
          <w:tcPr>
            <w:tcW w:w="0" w:type="auto"/>
            <w:tcMar>
              <w:top w:w="150" w:type="dxa"/>
              <w:left w:w="150" w:type="dxa"/>
              <w:bottom w:w="150" w:type="dxa"/>
              <w:right w:w="150" w:type="dxa"/>
            </w:tcMar>
            <w:hideMark/>
          </w:tcPr>
          <w:p w14:paraId="203D52A2" w14:textId="77777777" w:rsidR="009C4AF1" w:rsidRPr="00F02816" w:rsidRDefault="009C4AF1" w:rsidP="003E5A53">
            <w:pPr>
              <w:widowControl/>
              <w:spacing w:after="0" w:line="330" w:lineRule="atLeast"/>
              <w:rPr>
                <w:rFonts w:ascii="inherit" w:eastAsia="宋体" w:hAnsi="inherit" w:cs="Segoe UI" w:hint="eastAsia"/>
                <w:b/>
                <w:bCs/>
                <w:spacing w:val="8"/>
                <w:kern w:val="0"/>
                <w:sz w:val="21"/>
                <w:szCs w:val="21"/>
                <w14:ligatures w14:val="none"/>
              </w:rPr>
            </w:pPr>
            <w:r w:rsidRPr="00F02816">
              <w:rPr>
                <w:rFonts w:ascii="inherit" w:eastAsia="宋体" w:hAnsi="inherit" w:cs="Segoe UI"/>
                <w:b/>
                <w:bCs/>
                <w:spacing w:val="8"/>
                <w:kern w:val="0"/>
                <w:sz w:val="21"/>
                <w:szCs w:val="21"/>
                <w14:ligatures w14:val="none"/>
              </w:rPr>
              <w:t>核心要点</w:t>
            </w:r>
          </w:p>
        </w:tc>
        <w:tc>
          <w:tcPr>
            <w:tcW w:w="0" w:type="auto"/>
            <w:tcMar>
              <w:top w:w="150" w:type="dxa"/>
              <w:left w:w="150" w:type="dxa"/>
              <w:bottom w:w="150" w:type="dxa"/>
              <w:right w:w="150" w:type="dxa"/>
            </w:tcMar>
            <w:hideMark/>
          </w:tcPr>
          <w:p w14:paraId="6B97E704" w14:textId="77777777" w:rsidR="009C4AF1" w:rsidRPr="00F02816" w:rsidRDefault="009C4AF1" w:rsidP="003E5A53">
            <w:pPr>
              <w:widowControl/>
              <w:spacing w:after="0" w:line="330" w:lineRule="atLeast"/>
              <w:rPr>
                <w:rFonts w:ascii="inherit" w:eastAsia="宋体" w:hAnsi="inherit" w:cs="Segoe UI" w:hint="eastAsia"/>
                <w:b/>
                <w:bCs/>
                <w:spacing w:val="8"/>
                <w:kern w:val="0"/>
                <w:sz w:val="21"/>
                <w:szCs w:val="21"/>
                <w14:ligatures w14:val="none"/>
              </w:rPr>
            </w:pPr>
            <w:r w:rsidRPr="00F02816">
              <w:rPr>
                <w:rFonts w:ascii="inherit" w:eastAsia="宋体" w:hAnsi="inherit" w:cs="Segoe UI"/>
                <w:b/>
                <w:bCs/>
                <w:spacing w:val="8"/>
                <w:kern w:val="0"/>
                <w:sz w:val="21"/>
                <w:szCs w:val="21"/>
                <w14:ligatures w14:val="none"/>
              </w:rPr>
              <w:t>时间</w:t>
            </w:r>
          </w:p>
        </w:tc>
      </w:tr>
      <w:tr w:rsidR="009C4AF1" w:rsidRPr="00F02816" w14:paraId="0DF5D356" w14:textId="77777777" w:rsidTr="003E5A53">
        <w:tc>
          <w:tcPr>
            <w:tcW w:w="0" w:type="auto"/>
            <w:tcMar>
              <w:top w:w="150" w:type="dxa"/>
              <w:left w:w="150" w:type="dxa"/>
              <w:bottom w:w="150" w:type="dxa"/>
              <w:right w:w="150" w:type="dxa"/>
            </w:tcMar>
            <w:hideMark/>
          </w:tcPr>
          <w:p w14:paraId="6BF53A47"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国家战略</w:t>
            </w:r>
          </w:p>
        </w:tc>
        <w:tc>
          <w:tcPr>
            <w:tcW w:w="0" w:type="auto"/>
            <w:tcMar>
              <w:top w:w="150" w:type="dxa"/>
              <w:left w:w="150" w:type="dxa"/>
              <w:bottom w:w="150" w:type="dxa"/>
              <w:right w:w="150" w:type="dxa"/>
            </w:tcMar>
            <w:hideMark/>
          </w:tcPr>
          <w:p w14:paraId="39C99EFE"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十五五</w:t>
            </w: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规划纲要</w:t>
            </w:r>
          </w:p>
        </w:tc>
        <w:tc>
          <w:tcPr>
            <w:tcW w:w="0" w:type="auto"/>
            <w:tcMar>
              <w:top w:w="150" w:type="dxa"/>
              <w:left w:w="150" w:type="dxa"/>
              <w:bottom w:w="150" w:type="dxa"/>
              <w:right w:w="150" w:type="dxa"/>
            </w:tcMar>
            <w:hideMark/>
          </w:tcPr>
          <w:p w14:paraId="06E55104"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提升数智化发展水平</w:t>
            </w: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单独成篇；论证建设超大规模智算集群；政府购买算力服务</w:t>
            </w:r>
          </w:p>
        </w:tc>
        <w:tc>
          <w:tcPr>
            <w:tcW w:w="0" w:type="auto"/>
            <w:tcMar>
              <w:top w:w="150" w:type="dxa"/>
              <w:left w:w="150" w:type="dxa"/>
              <w:bottom w:w="150" w:type="dxa"/>
              <w:right w:w="150" w:type="dxa"/>
            </w:tcMar>
            <w:hideMark/>
          </w:tcPr>
          <w:p w14:paraId="2661B8A8"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2026</w:t>
            </w:r>
            <w:r w:rsidRPr="00F02816">
              <w:rPr>
                <w:rFonts w:ascii="inherit" w:eastAsia="宋体" w:hAnsi="inherit" w:cs="Segoe UI"/>
                <w:spacing w:val="8"/>
                <w:kern w:val="0"/>
                <w:sz w:val="21"/>
                <w:szCs w:val="21"/>
                <w14:ligatures w14:val="none"/>
              </w:rPr>
              <w:t>年</w:t>
            </w:r>
            <w:r w:rsidRPr="00F02816">
              <w:rPr>
                <w:rFonts w:ascii="inherit" w:eastAsia="宋体" w:hAnsi="inherit" w:cs="Segoe UI"/>
                <w:spacing w:val="8"/>
                <w:kern w:val="0"/>
                <w:sz w:val="21"/>
                <w:szCs w:val="21"/>
                <w14:ligatures w14:val="none"/>
              </w:rPr>
              <w:t>3</w:t>
            </w:r>
            <w:r w:rsidRPr="00F02816">
              <w:rPr>
                <w:rFonts w:ascii="inherit" w:eastAsia="宋体" w:hAnsi="inherit" w:cs="Segoe UI"/>
                <w:spacing w:val="8"/>
                <w:kern w:val="0"/>
                <w:sz w:val="21"/>
                <w:szCs w:val="21"/>
                <w14:ligatures w14:val="none"/>
              </w:rPr>
              <w:t>月</w:t>
            </w:r>
          </w:p>
        </w:tc>
      </w:tr>
      <w:tr w:rsidR="009C4AF1" w:rsidRPr="00F02816" w14:paraId="66B4CDDC" w14:textId="77777777" w:rsidTr="003E5A53">
        <w:tc>
          <w:tcPr>
            <w:tcW w:w="0" w:type="auto"/>
            <w:tcMar>
              <w:top w:w="150" w:type="dxa"/>
              <w:left w:w="150" w:type="dxa"/>
              <w:bottom w:w="150" w:type="dxa"/>
              <w:right w:w="150" w:type="dxa"/>
            </w:tcMar>
            <w:hideMark/>
          </w:tcPr>
          <w:p w14:paraId="2AB9369A"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lastRenderedPageBreak/>
              <w:t>专项工程</w:t>
            </w:r>
          </w:p>
        </w:tc>
        <w:tc>
          <w:tcPr>
            <w:tcW w:w="0" w:type="auto"/>
            <w:tcMar>
              <w:top w:w="150" w:type="dxa"/>
              <w:left w:w="150" w:type="dxa"/>
              <w:bottom w:w="150" w:type="dxa"/>
              <w:right w:w="150" w:type="dxa"/>
            </w:tcMar>
            <w:hideMark/>
          </w:tcPr>
          <w:p w14:paraId="1E7079CE"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东数西算</w:t>
            </w: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工程</w:t>
            </w:r>
          </w:p>
        </w:tc>
        <w:tc>
          <w:tcPr>
            <w:tcW w:w="0" w:type="auto"/>
            <w:tcMar>
              <w:top w:w="150" w:type="dxa"/>
              <w:left w:w="150" w:type="dxa"/>
              <w:bottom w:w="150" w:type="dxa"/>
              <w:right w:w="150" w:type="dxa"/>
            </w:tcMar>
            <w:hideMark/>
          </w:tcPr>
          <w:p w14:paraId="5BFD8EBA"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八大枢纽、十大集群；引导数据中心集约化、绿色化发展</w:t>
            </w:r>
          </w:p>
        </w:tc>
        <w:tc>
          <w:tcPr>
            <w:tcW w:w="0" w:type="auto"/>
            <w:tcMar>
              <w:top w:w="150" w:type="dxa"/>
              <w:left w:w="150" w:type="dxa"/>
              <w:bottom w:w="150" w:type="dxa"/>
              <w:right w:w="150" w:type="dxa"/>
            </w:tcMar>
            <w:hideMark/>
          </w:tcPr>
          <w:p w14:paraId="29596CEF"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2021</w:t>
            </w:r>
            <w:r w:rsidRPr="00F02816">
              <w:rPr>
                <w:rFonts w:ascii="inherit" w:eastAsia="宋体" w:hAnsi="inherit" w:cs="Segoe UI"/>
                <w:spacing w:val="8"/>
                <w:kern w:val="0"/>
                <w:sz w:val="21"/>
                <w:szCs w:val="21"/>
                <w14:ligatures w14:val="none"/>
              </w:rPr>
              <w:t>年启动</w:t>
            </w:r>
          </w:p>
        </w:tc>
      </w:tr>
      <w:tr w:rsidR="009C4AF1" w:rsidRPr="00F02816" w14:paraId="218DD65C" w14:textId="77777777" w:rsidTr="003E5A53">
        <w:tc>
          <w:tcPr>
            <w:tcW w:w="0" w:type="auto"/>
            <w:tcMar>
              <w:top w:w="150" w:type="dxa"/>
              <w:left w:w="150" w:type="dxa"/>
              <w:bottom w:w="150" w:type="dxa"/>
              <w:right w:w="150" w:type="dxa"/>
            </w:tcMar>
            <w:hideMark/>
          </w:tcPr>
          <w:p w14:paraId="414A643D"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行动计划</w:t>
            </w:r>
          </w:p>
        </w:tc>
        <w:tc>
          <w:tcPr>
            <w:tcW w:w="0" w:type="auto"/>
            <w:tcMar>
              <w:top w:w="150" w:type="dxa"/>
              <w:left w:w="150" w:type="dxa"/>
              <w:bottom w:w="150" w:type="dxa"/>
              <w:right w:w="150" w:type="dxa"/>
            </w:tcMar>
            <w:hideMark/>
          </w:tcPr>
          <w:p w14:paraId="5DF4408A"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《算力基础设施高质量发展行动计划》</w:t>
            </w:r>
          </w:p>
        </w:tc>
        <w:tc>
          <w:tcPr>
            <w:tcW w:w="0" w:type="auto"/>
            <w:tcMar>
              <w:top w:w="150" w:type="dxa"/>
              <w:left w:w="150" w:type="dxa"/>
              <w:bottom w:w="150" w:type="dxa"/>
              <w:right w:w="150" w:type="dxa"/>
            </w:tcMar>
            <w:hideMark/>
          </w:tcPr>
          <w:p w14:paraId="7E5CD9CD"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2025</w:t>
            </w:r>
            <w:r w:rsidRPr="00F02816">
              <w:rPr>
                <w:rFonts w:ascii="inherit" w:eastAsia="宋体" w:hAnsi="inherit" w:cs="Segoe UI"/>
                <w:spacing w:val="8"/>
                <w:kern w:val="0"/>
                <w:sz w:val="21"/>
                <w:szCs w:val="21"/>
                <w14:ligatures w14:val="none"/>
              </w:rPr>
              <w:t>年算力规模超</w:t>
            </w:r>
            <w:r w:rsidRPr="00F02816">
              <w:rPr>
                <w:rFonts w:ascii="inherit" w:eastAsia="宋体" w:hAnsi="inherit" w:cs="Segoe UI"/>
                <w:spacing w:val="8"/>
                <w:kern w:val="0"/>
                <w:sz w:val="21"/>
                <w:szCs w:val="21"/>
                <w14:ligatures w14:val="none"/>
              </w:rPr>
              <w:t>300 EFLOPS</w:t>
            </w:r>
            <w:r w:rsidRPr="00F02816">
              <w:rPr>
                <w:rFonts w:ascii="inherit" w:eastAsia="宋体" w:hAnsi="inherit" w:cs="Segoe UI"/>
                <w:spacing w:val="8"/>
                <w:kern w:val="0"/>
                <w:sz w:val="21"/>
                <w:szCs w:val="21"/>
                <w14:ligatures w14:val="none"/>
              </w:rPr>
              <w:t>，智能算力占比</w:t>
            </w:r>
            <w:r w:rsidRPr="00F02816">
              <w:rPr>
                <w:rFonts w:ascii="inherit" w:eastAsia="宋体" w:hAnsi="inherit" w:cs="Segoe UI"/>
                <w:spacing w:val="8"/>
                <w:kern w:val="0"/>
                <w:sz w:val="21"/>
                <w:szCs w:val="21"/>
                <w14:ligatures w14:val="none"/>
              </w:rPr>
              <w:t>35%</w:t>
            </w:r>
          </w:p>
        </w:tc>
        <w:tc>
          <w:tcPr>
            <w:tcW w:w="0" w:type="auto"/>
            <w:tcMar>
              <w:top w:w="150" w:type="dxa"/>
              <w:left w:w="150" w:type="dxa"/>
              <w:bottom w:w="150" w:type="dxa"/>
              <w:right w:w="150" w:type="dxa"/>
            </w:tcMar>
            <w:hideMark/>
          </w:tcPr>
          <w:p w14:paraId="4B1C8E59"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2023</w:t>
            </w:r>
            <w:r w:rsidRPr="00F02816">
              <w:rPr>
                <w:rFonts w:ascii="inherit" w:eastAsia="宋体" w:hAnsi="inherit" w:cs="Segoe UI"/>
                <w:spacing w:val="8"/>
                <w:kern w:val="0"/>
                <w:sz w:val="21"/>
                <w:szCs w:val="21"/>
                <w14:ligatures w14:val="none"/>
              </w:rPr>
              <w:t>年</w:t>
            </w:r>
            <w:r w:rsidRPr="00F02816">
              <w:rPr>
                <w:rFonts w:ascii="inherit" w:eastAsia="宋体" w:hAnsi="inherit" w:cs="Segoe UI"/>
                <w:spacing w:val="8"/>
                <w:kern w:val="0"/>
                <w:sz w:val="21"/>
                <w:szCs w:val="21"/>
                <w14:ligatures w14:val="none"/>
              </w:rPr>
              <w:t>10</w:t>
            </w:r>
            <w:r w:rsidRPr="00F02816">
              <w:rPr>
                <w:rFonts w:ascii="inherit" w:eastAsia="宋体" w:hAnsi="inherit" w:cs="Segoe UI"/>
                <w:spacing w:val="8"/>
                <w:kern w:val="0"/>
                <w:sz w:val="21"/>
                <w:szCs w:val="21"/>
                <w14:ligatures w14:val="none"/>
              </w:rPr>
              <w:t>月</w:t>
            </w:r>
          </w:p>
        </w:tc>
      </w:tr>
      <w:tr w:rsidR="009C4AF1" w:rsidRPr="00F02816" w14:paraId="7F552F9A" w14:textId="77777777" w:rsidTr="003E5A53">
        <w:tc>
          <w:tcPr>
            <w:tcW w:w="0" w:type="auto"/>
            <w:tcMar>
              <w:top w:w="150" w:type="dxa"/>
              <w:left w:w="150" w:type="dxa"/>
              <w:bottom w:w="150" w:type="dxa"/>
              <w:right w:w="150" w:type="dxa"/>
            </w:tcMar>
            <w:hideMark/>
          </w:tcPr>
          <w:p w14:paraId="59653BB8"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互联互通</w:t>
            </w:r>
          </w:p>
        </w:tc>
        <w:tc>
          <w:tcPr>
            <w:tcW w:w="0" w:type="auto"/>
            <w:tcMar>
              <w:top w:w="150" w:type="dxa"/>
              <w:left w:w="150" w:type="dxa"/>
              <w:bottom w:w="150" w:type="dxa"/>
              <w:right w:w="150" w:type="dxa"/>
            </w:tcMar>
            <w:hideMark/>
          </w:tcPr>
          <w:p w14:paraId="1BB0F9CE"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《算力互联互通行动计划》</w:t>
            </w:r>
          </w:p>
        </w:tc>
        <w:tc>
          <w:tcPr>
            <w:tcW w:w="0" w:type="auto"/>
            <w:tcMar>
              <w:top w:w="150" w:type="dxa"/>
              <w:left w:w="150" w:type="dxa"/>
              <w:bottom w:w="150" w:type="dxa"/>
              <w:right w:w="150" w:type="dxa"/>
            </w:tcMar>
            <w:hideMark/>
          </w:tcPr>
          <w:p w14:paraId="6F6C2641"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2026</w:t>
            </w:r>
            <w:r w:rsidRPr="00F02816">
              <w:rPr>
                <w:rFonts w:ascii="inherit" w:eastAsia="宋体" w:hAnsi="inherit" w:cs="Segoe UI"/>
                <w:spacing w:val="8"/>
                <w:kern w:val="0"/>
                <w:sz w:val="21"/>
                <w:szCs w:val="21"/>
                <w14:ligatures w14:val="none"/>
              </w:rPr>
              <w:t>年建立标准体系，</w:t>
            </w:r>
            <w:r w:rsidRPr="00F02816">
              <w:rPr>
                <w:rFonts w:ascii="inherit" w:eastAsia="宋体" w:hAnsi="inherit" w:cs="Segoe UI"/>
                <w:spacing w:val="8"/>
                <w:kern w:val="0"/>
                <w:sz w:val="21"/>
                <w:szCs w:val="21"/>
                <w14:ligatures w14:val="none"/>
              </w:rPr>
              <w:t>2028</w:t>
            </w:r>
            <w:r w:rsidRPr="00F02816">
              <w:rPr>
                <w:rFonts w:ascii="inherit" w:eastAsia="宋体" w:hAnsi="inherit" w:cs="Segoe UI"/>
                <w:spacing w:val="8"/>
                <w:kern w:val="0"/>
                <w:sz w:val="21"/>
                <w:szCs w:val="21"/>
                <w14:ligatures w14:val="none"/>
              </w:rPr>
              <w:t>年实现全国公共算力标准化互联</w:t>
            </w:r>
          </w:p>
        </w:tc>
        <w:tc>
          <w:tcPr>
            <w:tcW w:w="0" w:type="auto"/>
            <w:tcMar>
              <w:top w:w="150" w:type="dxa"/>
              <w:left w:w="150" w:type="dxa"/>
              <w:bottom w:w="150" w:type="dxa"/>
              <w:right w:w="150" w:type="dxa"/>
            </w:tcMar>
            <w:hideMark/>
          </w:tcPr>
          <w:p w14:paraId="23048453"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2025</w:t>
            </w:r>
            <w:r w:rsidRPr="00F02816">
              <w:rPr>
                <w:rFonts w:ascii="inherit" w:eastAsia="宋体" w:hAnsi="inherit" w:cs="Segoe UI"/>
                <w:spacing w:val="8"/>
                <w:kern w:val="0"/>
                <w:sz w:val="21"/>
                <w:szCs w:val="21"/>
                <w14:ligatures w14:val="none"/>
              </w:rPr>
              <w:t>年</w:t>
            </w:r>
            <w:r w:rsidRPr="00F02816">
              <w:rPr>
                <w:rFonts w:ascii="inherit" w:eastAsia="宋体" w:hAnsi="inherit" w:cs="Segoe UI"/>
                <w:spacing w:val="8"/>
                <w:kern w:val="0"/>
                <w:sz w:val="21"/>
                <w:szCs w:val="21"/>
                <w14:ligatures w14:val="none"/>
              </w:rPr>
              <w:t>5</w:t>
            </w:r>
            <w:r w:rsidRPr="00F02816">
              <w:rPr>
                <w:rFonts w:ascii="inherit" w:eastAsia="宋体" w:hAnsi="inherit" w:cs="Segoe UI"/>
                <w:spacing w:val="8"/>
                <w:kern w:val="0"/>
                <w:sz w:val="21"/>
                <w:szCs w:val="21"/>
                <w14:ligatures w14:val="none"/>
              </w:rPr>
              <w:t>月</w:t>
            </w:r>
          </w:p>
        </w:tc>
      </w:tr>
      <w:tr w:rsidR="009C4AF1" w:rsidRPr="00F02816" w14:paraId="36C9CBD2" w14:textId="77777777" w:rsidTr="003E5A53">
        <w:tc>
          <w:tcPr>
            <w:tcW w:w="0" w:type="auto"/>
            <w:tcMar>
              <w:top w:w="150" w:type="dxa"/>
              <w:left w:w="150" w:type="dxa"/>
              <w:bottom w:w="150" w:type="dxa"/>
              <w:right w:w="150" w:type="dxa"/>
            </w:tcMar>
            <w:hideMark/>
          </w:tcPr>
          <w:p w14:paraId="021023C8"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能源协同</w:t>
            </w:r>
          </w:p>
        </w:tc>
        <w:tc>
          <w:tcPr>
            <w:tcW w:w="0" w:type="auto"/>
            <w:tcMar>
              <w:top w:w="150" w:type="dxa"/>
              <w:left w:w="150" w:type="dxa"/>
              <w:bottom w:w="150" w:type="dxa"/>
              <w:right w:w="150" w:type="dxa"/>
            </w:tcMar>
            <w:hideMark/>
          </w:tcPr>
          <w:p w14:paraId="40395472"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算电协同</w:t>
            </w: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写入政府工作报告</w:t>
            </w:r>
          </w:p>
        </w:tc>
        <w:tc>
          <w:tcPr>
            <w:tcW w:w="0" w:type="auto"/>
            <w:tcMar>
              <w:top w:w="150" w:type="dxa"/>
              <w:left w:w="150" w:type="dxa"/>
              <w:bottom w:w="150" w:type="dxa"/>
              <w:right w:w="150" w:type="dxa"/>
            </w:tcMar>
            <w:hideMark/>
          </w:tcPr>
          <w:p w14:paraId="72697A5F"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算力与电力系统深度融合；应对</w:t>
            </w:r>
            <w:r w:rsidRPr="00F02816">
              <w:rPr>
                <w:rFonts w:ascii="inherit" w:eastAsia="宋体" w:hAnsi="inherit" w:cs="Segoe UI"/>
                <w:spacing w:val="8"/>
                <w:kern w:val="0"/>
                <w:sz w:val="21"/>
                <w:szCs w:val="21"/>
                <w14:ligatures w14:val="none"/>
              </w:rPr>
              <w:t>AI</w:t>
            </w:r>
            <w:r w:rsidRPr="00F02816">
              <w:rPr>
                <w:rFonts w:ascii="inherit" w:eastAsia="宋体" w:hAnsi="inherit" w:cs="Segoe UI"/>
                <w:spacing w:val="8"/>
                <w:kern w:val="0"/>
                <w:sz w:val="21"/>
                <w:szCs w:val="21"/>
                <w14:ligatures w14:val="none"/>
              </w:rPr>
              <w:t>算力能耗挑战</w:t>
            </w:r>
          </w:p>
        </w:tc>
        <w:tc>
          <w:tcPr>
            <w:tcW w:w="0" w:type="auto"/>
            <w:tcMar>
              <w:top w:w="150" w:type="dxa"/>
              <w:left w:w="150" w:type="dxa"/>
              <w:bottom w:w="150" w:type="dxa"/>
              <w:right w:w="150" w:type="dxa"/>
            </w:tcMar>
            <w:hideMark/>
          </w:tcPr>
          <w:p w14:paraId="53888100"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2026</w:t>
            </w:r>
            <w:r w:rsidRPr="00F02816">
              <w:rPr>
                <w:rFonts w:ascii="inherit" w:eastAsia="宋体" w:hAnsi="inherit" w:cs="Segoe UI"/>
                <w:spacing w:val="8"/>
                <w:kern w:val="0"/>
                <w:sz w:val="21"/>
                <w:szCs w:val="21"/>
                <w14:ligatures w14:val="none"/>
              </w:rPr>
              <w:t>年</w:t>
            </w:r>
            <w:r w:rsidRPr="00F02816">
              <w:rPr>
                <w:rFonts w:ascii="inherit" w:eastAsia="宋体" w:hAnsi="inherit" w:cs="Segoe UI"/>
                <w:spacing w:val="8"/>
                <w:kern w:val="0"/>
                <w:sz w:val="21"/>
                <w:szCs w:val="21"/>
                <w14:ligatures w14:val="none"/>
              </w:rPr>
              <w:t>3</w:t>
            </w:r>
            <w:r w:rsidRPr="00F02816">
              <w:rPr>
                <w:rFonts w:ascii="inherit" w:eastAsia="宋体" w:hAnsi="inherit" w:cs="Segoe UI"/>
                <w:spacing w:val="8"/>
                <w:kern w:val="0"/>
                <w:sz w:val="21"/>
                <w:szCs w:val="21"/>
                <w14:ligatures w14:val="none"/>
              </w:rPr>
              <w:t>月</w:t>
            </w:r>
          </w:p>
        </w:tc>
      </w:tr>
      <w:tr w:rsidR="009C4AF1" w:rsidRPr="00F02816" w14:paraId="33A1C135" w14:textId="77777777" w:rsidTr="003E5A53">
        <w:tc>
          <w:tcPr>
            <w:tcW w:w="0" w:type="auto"/>
            <w:tcMar>
              <w:top w:w="150" w:type="dxa"/>
              <w:left w:w="150" w:type="dxa"/>
              <w:bottom w:w="150" w:type="dxa"/>
              <w:right w:w="150" w:type="dxa"/>
            </w:tcMar>
            <w:hideMark/>
          </w:tcPr>
          <w:p w14:paraId="769D0390"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普惠服务</w:t>
            </w:r>
          </w:p>
        </w:tc>
        <w:tc>
          <w:tcPr>
            <w:tcW w:w="0" w:type="auto"/>
            <w:tcMar>
              <w:top w:w="150" w:type="dxa"/>
              <w:left w:w="150" w:type="dxa"/>
              <w:bottom w:w="150" w:type="dxa"/>
              <w:right w:w="150" w:type="dxa"/>
            </w:tcMar>
            <w:hideMark/>
          </w:tcPr>
          <w:p w14:paraId="009EA813"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普惠算力赋能中小企业专项行动</w:t>
            </w:r>
          </w:p>
        </w:tc>
        <w:tc>
          <w:tcPr>
            <w:tcW w:w="0" w:type="auto"/>
            <w:tcMar>
              <w:top w:w="150" w:type="dxa"/>
              <w:left w:w="150" w:type="dxa"/>
              <w:bottom w:w="150" w:type="dxa"/>
              <w:right w:w="150" w:type="dxa"/>
            </w:tcMar>
            <w:hideMark/>
          </w:tcPr>
          <w:p w14:paraId="61A27EA6"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降低中小企业用算成本，推动算力即取即用</w:t>
            </w:r>
          </w:p>
        </w:tc>
        <w:tc>
          <w:tcPr>
            <w:tcW w:w="0" w:type="auto"/>
            <w:tcMar>
              <w:top w:w="150" w:type="dxa"/>
              <w:left w:w="150" w:type="dxa"/>
              <w:bottom w:w="150" w:type="dxa"/>
              <w:right w:w="150" w:type="dxa"/>
            </w:tcMar>
            <w:hideMark/>
          </w:tcPr>
          <w:p w14:paraId="31E1846B"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2026</w:t>
            </w:r>
            <w:r w:rsidRPr="00F02816">
              <w:rPr>
                <w:rFonts w:ascii="inherit" w:eastAsia="宋体" w:hAnsi="inherit" w:cs="Segoe UI"/>
                <w:spacing w:val="8"/>
                <w:kern w:val="0"/>
                <w:sz w:val="21"/>
                <w:szCs w:val="21"/>
                <w14:ligatures w14:val="none"/>
              </w:rPr>
              <w:t>年</w:t>
            </w:r>
          </w:p>
        </w:tc>
      </w:tr>
      <w:tr w:rsidR="009C4AF1" w:rsidRPr="00F02816" w14:paraId="7EEF4137" w14:textId="77777777" w:rsidTr="003E5A53">
        <w:tc>
          <w:tcPr>
            <w:tcW w:w="0" w:type="auto"/>
            <w:tcMar>
              <w:top w:w="150" w:type="dxa"/>
              <w:left w:w="150" w:type="dxa"/>
              <w:bottom w:w="150" w:type="dxa"/>
              <w:right w:w="150" w:type="dxa"/>
            </w:tcMar>
            <w:hideMark/>
          </w:tcPr>
          <w:p w14:paraId="5F7DDAE7"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地方落地</w:t>
            </w:r>
          </w:p>
        </w:tc>
        <w:tc>
          <w:tcPr>
            <w:tcW w:w="0" w:type="auto"/>
            <w:tcMar>
              <w:top w:w="150" w:type="dxa"/>
              <w:left w:w="150" w:type="dxa"/>
              <w:bottom w:w="150" w:type="dxa"/>
              <w:right w:w="150" w:type="dxa"/>
            </w:tcMar>
            <w:hideMark/>
          </w:tcPr>
          <w:p w14:paraId="7A43C926"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深圳</w:t>
            </w: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算力飞地</w:t>
            </w: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战略</w:t>
            </w:r>
          </w:p>
        </w:tc>
        <w:tc>
          <w:tcPr>
            <w:tcW w:w="0" w:type="auto"/>
            <w:tcMar>
              <w:top w:w="150" w:type="dxa"/>
              <w:left w:w="150" w:type="dxa"/>
              <w:bottom w:w="150" w:type="dxa"/>
              <w:right w:w="150" w:type="dxa"/>
            </w:tcMar>
            <w:hideMark/>
          </w:tcPr>
          <w:p w14:paraId="1588B2F7"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45</w:t>
            </w:r>
            <w:r w:rsidRPr="00F02816">
              <w:rPr>
                <w:rFonts w:ascii="inherit" w:eastAsia="宋体" w:hAnsi="inherit" w:cs="Segoe UI"/>
                <w:spacing w:val="8"/>
                <w:kern w:val="0"/>
                <w:sz w:val="21"/>
                <w:szCs w:val="21"/>
                <w14:ligatures w14:val="none"/>
              </w:rPr>
              <w:t>亿元专项资金；</w:t>
            </w:r>
            <w:r w:rsidRPr="00F02816">
              <w:rPr>
                <w:rFonts w:ascii="inherit" w:eastAsia="宋体" w:hAnsi="inherit" w:cs="Segoe UI"/>
                <w:spacing w:val="8"/>
                <w:kern w:val="0"/>
                <w:sz w:val="21"/>
                <w:szCs w:val="21"/>
                <w14:ligatures w14:val="none"/>
              </w:rPr>
              <w:t>1ms/3ms/10ms</w:t>
            </w:r>
            <w:r w:rsidRPr="00F02816">
              <w:rPr>
                <w:rFonts w:ascii="inherit" w:eastAsia="宋体" w:hAnsi="inherit" w:cs="Segoe UI"/>
                <w:spacing w:val="8"/>
                <w:kern w:val="0"/>
                <w:sz w:val="21"/>
                <w:szCs w:val="21"/>
                <w14:ligatures w14:val="none"/>
              </w:rPr>
              <w:t>梯度算力网</w:t>
            </w:r>
          </w:p>
        </w:tc>
        <w:tc>
          <w:tcPr>
            <w:tcW w:w="0" w:type="auto"/>
            <w:tcMar>
              <w:top w:w="150" w:type="dxa"/>
              <w:left w:w="150" w:type="dxa"/>
              <w:bottom w:w="150" w:type="dxa"/>
              <w:right w:w="150" w:type="dxa"/>
            </w:tcMar>
            <w:hideMark/>
          </w:tcPr>
          <w:p w14:paraId="38466075"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2025</w:t>
            </w:r>
            <w:r w:rsidRPr="00F02816">
              <w:rPr>
                <w:rFonts w:ascii="inherit" w:eastAsia="宋体" w:hAnsi="inherit" w:cs="Segoe UI"/>
                <w:spacing w:val="8"/>
                <w:kern w:val="0"/>
                <w:sz w:val="21"/>
                <w:szCs w:val="21"/>
                <w14:ligatures w14:val="none"/>
              </w:rPr>
              <w:t>年</w:t>
            </w:r>
          </w:p>
        </w:tc>
      </w:tr>
    </w:tbl>
    <w:p w14:paraId="3BA5DD95" w14:textId="77777777" w:rsidR="009C4AF1" w:rsidRDefault="009C4AF1" w:rsidP="009C4AF1">
      <w:pPr>
        <w:rPr>
          <w:rFonts w:hint="eastAsia"/>
        </w:rPr>
      </w:pPr>
      <w:r w:rsidRPr="00F02816">
        <w:t>国家算力网络的建设目标是"普惠易用、经济高效"，而普惠化的前提是模型能力的标准化输出——没有</w:t>
      </w:r>
      <w:r>
        <w:rPr>
          <w:rFonts w:hint="eastAsia"/>
        </w:rPr>
        <w:t>基础大模型</w:t>
      </w:r>
      <w:r w:rsidRPr="00F02816">
        <w:t>将 raw compute 转化为可调用、可微调、可迭代的认知</w:t>
      </w:r>
      <w:r>
        <w:rPr>
          <w:rFonts w:hint="eastAsia"/>
        </w:rPr>
        <w:t>推理</w:t>
      </w:r>
      <w:r w:rsidRPr="00F02816">
        <w:t>服务，算力网络只是空转的电力设施。运营商的"Token经营"战略、政府的"算力租赁"模式，其商业闭环均指向</w:t>
      </w:r>
      <w:r>
        <w:t>基础大模型</w:t>
      </w:r>
      <w:r w:rsidRPr="00F02816">
        <w:t>作为算力网络的"认知转化层"。因此，投资</w:t>
      </w:r>
      <w:r>
        <w:t>基础大模型</w:t>
      </w:r>
      <w:r w:rsidRPr="00F02816">
        <w:t>不是投资"AI应用公司"，而是投资国家AI基础设施的操作系统层——这一层的垄断性、政策依附性与网络效应，远超传统基建中的硬件供应商。</w:t>
      </w:r>
    </w:p>
    <w:p w14:paraId="138A877D" w14:textId="77777777" w:rsidR="009C4AF1" w:rsidRPr="009C4AF1" w:rsidRDefault="009C4AF1" w:rsidP="009C4AF1">
      <w:pPr>
        <w:rPr>
          <w:rFonts w:hint="eastAsia"/>
        </w:rPr>
      </w:pPr>
    </w:p>
    <w:p w14:paraId="77794110" w14:textId="7E477A98" w:rsidR="00E5628C" w:rsidRDefault="00E5628C" w:rsidP="00043F4A">
      <w:pPr>
        <w:pStyle w:val="3"/>
        <w:rPr>
          <w:rFonts w:hint="eastAsia"/>
        </w:rPr>
      </w:pPr>
      <w:r>
        <w:rPr>
          <w:rFonts w:hint="eastAsia"/>
        </w:rPr>
        <w:t>市场</w:t>
      </w:r>
      <w:r w:rsidR="007C59C6">
        <w:rPr>
          <w:rFonts w:hint="eastAsia"/>
        </w:rPr>
        <w:t>规模</w:t>
      </w:r>
      <w:r w:rsidR="00B47AA5">
        <w:rPr>
          <w:rFonts w:hint="eastAsia"/>
        </w:rPr>
        <w:t>与产业阶段</w:t>
      </w:r>
      <w:r w:rsidR="00B54E1E">
        <w:rPr>
          <w:rFonts w:hint="eastAsia"/>
        </w:rPr>
        <w:t xml:space="preserve"> √</w:t>
      </w:r>
    </w:p>
    <w:p w14:paraId="72347A2E" w14:textId="761708A4" w:rsidR="00B47AA5" w:rsidRPr="00B47AA5" w:rsidRDefault="00B47AA5" w:rsidP="00B47AA5">
      <w:pPr>
        <w:pStyle w:val="4"/>
        <w:rPr>
          <w:rFonts w:hint="eastAsia"/>
        </w:rPr>
      </w:pPr>
      <w:r>
        <w:rPr>
          <w:rFonts w:hint="eastAsia"/>
        </w:rPr>
        <w:t>市场规模</w:t>
      </w:r>
    </w:p>
    <w:p w14:paraId="528D66C8" w14:textId="77777777" w:rsidR="007C59C6" w:rsidRDefault="007C59C6" w:rsidP="007C59C6">
      <w:pPr>
        <w:rPr>
          <w:rFonts w:hint="eastAsia"/>
        </w:rPr>
      </w:pPr>
      <w:r>
        <w:rPr>
          <w:rFonts w:hint="eastAsia"/>
        </w:rPr>
        <w:t>当前大模型技术仍处于快速迭代阶段。根据灼识咨询研究数据显示，伴随技术成熟度提升与付费意愿持续释放，全球大模型市场规模预计将由 2024年的107 亿美元，快速增长至 2029 年的 2,065 亿美元，2024-2029 五年复合增长率将达 80.7%。</w:t>
      </w:r>
    </w:p>
    <w:p w14:paraId="15ACF328" w14:textId="77777777" w:rsidR="007C59C6" w:rsidRDefault="007C59C6" w:rsidP="007C59C6">
      <w:pPr>
        <w:jc w:val="center"/>
        <w:rPr>
          <w:rFonts w:hint="eastAsia"/>
        </w:rPr>
      </w:pPr>
      <w:r>
        <w:rPr>
          <w:rFonts w:hint="eastAsia"/>
        </w:rPr>
        <w:t>表：2023-2029E全球大模型市场规模</w:t>
      </w:r>
    </w:p>
    <w:p w14:paraId="26F8F99C" w14:textId="77777777" w:rsidR="007C59C6" w:rsidRDefault="007C59C6" w:rsidP="007C59C6">
      <w:pPr>
        <w:jc w:val="center"/>
        <w:rPr>
          <w:rFonts w:hint="eastAsia"/>
        </w:rPr>
      </w:pPr>
      <w:r>
        <w:rPr>
          <w:noProof/>
        </w:rPr>
        <w:lastRenderedPageBreak/>
        <w:drawing>
          <wp:inline distT="0" distB="0" distL="0" distR="0" wp14:anchorId="1324FAAE" wp14:editId="0CB19FF5">
            <wp:extent cx="4204094" cy="2449773"/>
            <wp:effectExtent l="0" t="0" r="6350" b="8255"/>
            <wp:docPr id="970046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46003" name=""/>
                    <pic:cNvPicPr/>
                  </pic:nvPicPr>
                  <pic:blipFill>
                    <a:blip r:embed="rId15"/>
                    <a:stretch>
                      <a:fillRect/>
                    </a:stretch>
                  </pic:blipFill>
                  <pic:spPr>
                    <a:xfrm>
                      <a:off x="0" y="0"/>
                      <a:ext cx="4214065" cy="2455583"/>
                    </a:xfrm>
                    <a:prstGeom prst="rect">
                      <a:avLst/>
                    </a:prstGeom>
                  </pic:spPr>
                </pic:pic>
              </a:graphicData>
            </a:graphic>
          </wp:inline>
        </w:drawing>
      </w:r>
    </w:p>
    <w:p w14:paraId="388C925D" w14:textId="77777777" w:rsidR="007C59C6" w:rsidRDefault="007C59C6" w:rsidP="007C59C6">
      <w:pPr>
        <w:rPr>
          <w:rFonts w:hint="eastAsia"/>
        </w:rPr>
      </w:pPr>
    </w:p>
    <w:p w14:paraId="03D7D893" w14:textId="77777777" w:rsidR="007C59C6" w:rsidRDefault="007C59C6" w:rsidP="007C59C6">
      <w:pPr>
        <w:rPr>
          <w:rFonts w:hint="eastAsia"/>
        </w:rPr>
      </w:pPr>
      <w:r w:rsidRPr="00E33CB9">
        <w:t>中国大模型市场大致可划分为三个阶段。2020 年至 2022 年为技术积累期，以学术研究和头部企业探索为主，市场体量有限但基础能力逐步夯实，三年累计增量不足 100 亿元。2023 年至 2024 年为爆发式增长期，技术突破与资本热潮形成共振，市场进入跑马圈地阶段。2025 年起进入应用深化期，虽然增速随基数扩大而自然回落，但应用场景持续拓宽，商业模式逐步清晰。据艾媒咨询数据，2024 年中国大模型市场规模已达到人民币 294.16亿元，预计到 2026 年将增至人民币 738.57 亿元，2024 年至 2026 年预计复合年增长率为 58.5%。</w:t>
      </w:r>
    </w:p>
    <w:p w14:paraId="0A9C2A44" w14:textId="77777777" w:rsidR="007C59C6" w:rsidRDefault="007C59C6" w:rsidP="007C59C6">
      <w:pPr>
        <w:jc w:val="center"/>
        <w:rPr>
          <w:rFonts w:hint="eastAsia"/>
        </w:rPr>
      </w:pPr>
      <w:r>
        <w:rPr>
          <w:rFonts w:hint="eastAsia"/>
        </w:rPr>
        <w:t>表：2020-2026E中国大模型市场规模</w:t>
      </w:r>
    </w:p>
    <w:p w14:paraId="240E2249" w14:textId="77777777" w:rsidR="007C59C6" w:rsidRPr="00C363A7" w:rsidRDefault="007C59C6" w:rsidP="007C59C6">
      <w:pPr>
        <w:jc w:val="center"/>
        <w:rPr>
          <w:rFonts w:hint="eastAsia"/>
        </w:rPr>
      </w:pPr>
      <w:r w:rsidRPr="0056114B">
        <w:rPr>
          <w:noProof/>
        </w:rPr>
        <w:drawing>
          <wp:inline distT="0" distB="0" distL="0" distR="0" wp14:anchorId="15523D11" wp14:editId="0EFD7E75">
            <wp:extent cx="4162425" cy="2644989"/>
            <wp:effectExtent l="0" t="0" r="0" b="3175"/>
            <wp:docPr id="1838201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01053" name=""/>
                    <pic:cNvPicPr/>
                  </pic:nvPicPr>
                  <pic:blipFill>
                    <a:blip r:embed="rId16"/>
                    <a:stretch>
                      <a:fillRect/>
                    </a:stretch>
                  </pic:blipFill>
                  <pic:spPr>
                    <a:xfrm>
                      <a:off x="0" y="0"/>
                      <a:ext cx="4179062" cy="2655561"/>
                    </a:xfrm>
                    <a:prstGeom prst="rect">
                      <a:avLst/>
                    </a:prstGeom>
                  </pic:spPr>
                </pic:pic>
              </a:graphicData>
            </a:graphic>
          </wp:inline>
        </w:drawing>
      </w:r>
    </w:p>
    <w:p w14:paraId="4D460B1B" w14:textId="77777777" w:rsidR="007C59C6" w:rsidRDefault="007C59C6" w:rsidP="007C59C6">
      <w:pPr>
        <w:rPr>
          <w:rFonts w:hint="eastAsia"/>
        </w:rPr>
      </w:pPr>
    </w:p>
    <w:p w14:paraId="472ADDD7" w14:textId="77777777" w:rsidR="007C59C6" w:rsidRPr="007C59C6" w:rsidRDefault="007C59C6" w:rsidP="007C59C6">
      <w:pPr>
        <w:rPr>
          <w:rFonts w:hint="eastAsia"/>
        </w:rPr>
      </w:pPr>
    </w:p>
    <w:p w14:paraId="20555DB1" w14:textId="34B97409" w:rsidR="007C5F09" w:rsidRDefault="007C5F09" w:rsidP="00DB5844">
      <w:pPr>
        <w:pStyle w:val="4"/>
        <w:rPr>
          <w:rFonts w:hint="eastAsia"/>
        </w:rPr>
      </w:pPr>
      <w:r>
        <w:rPr>
          <w:rFonts w:hint="eastAsia"/>
        </w:rPr>
        <w:lastRenderedPageBreak/>
        <w:t>产业阶段：</w:t>
      </w:r>
    </w:p>
    <w:p w14:paraId="05F807E0" w14:textId="77777777" w:rsidR="007C5F09" w:rsidRPr="001F5B5D" w:rsidRDefault="007C5F09" w:rsidP="00DB5844">
      <w:pPr>
        <w:pStyle w:val="5"/>
        <w:rPr>
          <w:rFonts w:hint="eastAsia"/>
        </w:rPr>
      </w:pPr>
      <w:r>
        <w:rPr>
          <w:rFonts w:hint="eastAsia"/>
        </w:rPr>
        <w:t>产业属性界定</w:t>
      </w:r>
    </w:p>
    <w:p w14:paraId="1752D52C" w14:textId="77777777" w:rsidR="007C5F09" w:rsidRDefault="007C5F09" w:rsidP="007C5F09">
      <w:pPr>
        <w:rPr>
          <w:rFonts w:hint="eastAsia"/>
        </w:rPr>
      </w:pPr>
      <w:r w:rsidRPr="008C207A">
        <w:t>基础大模型产业具备典型的新兴成长行业特征，其驱动力源于颠覆性技术创新而非传统经济周期。</w:t>
      </w:r>
    </w:p>
    <w:p w14:paraId="5FC8C6AF" w14:textId="77777777" w:rsidR="007C5F09" w:rsidRDefault="007C5F09" w:rsidP="007C5F09">
      <w:pPr>
        <w:rPr>
          <w:rFonts w:hint="eastAsia"/>
        </w:rPr>
      </w:pPr>
      <w:r w:rsidRPr="008C207A">
        <w:t>首先，市场规模预测数据揭示了其高成长潜力。</w:t>
      </w:r>
      <w:r>
        <w:rPr>
          <w:rFonts w:hint="eastAsia"/>
        </w:rPr>
        <w:t>不止上文对于国内外大模型市场CAGR的乐观估计，多家大型机构也对其进行了预估。Bloomberg Intelligence给出2023-2032E期间CAGR 37%的预估，沙利文给出CAGR 50%的预估。此类高增长已有市场验证，根据智妍咨询研究，</w:t>
      </w:r>
      <w:r w:rsidRPr="00AD5736">
        <w:t>MaaS（模型即服务）作为大模型落地的核心载体，</w:t>
      </w:r>
      <w:r>
        <w:rPr>
          <w:rFonts w:hint="eastAsia"/>
        </w:rPr>
        <w:t>在</w:t>
      </w:r>
      <w:r w:rsidRPr="00AD5736">
        <w:t>2024年中国市场呈现爆发式增长，全年规模达7.1亿元，较2023年同比激增215.7%。</w:t>
      </w:r>
    </w:p>
    <w:p w14:paraId="347B0F47" w14:textId="49A558C2" w:rsidR="007C5F09" w:rsidRDefault="007C5F09" w:rsidP="007C5F09">
      <w:pPr>
        <w:rPr>
          <w:rFonts w:hint="eastAsia"/>
        </w:rPr>
      </w:pPr>
      <w:r>
        <w:rPr>
          <w:rFonts w:hint="eastAsia"/>
        </w:rPr>
        <w:t>这种指数级增长预期，和商业化早期陡峭的增长斜率，是成长期企业的特征。其</w:t>
      </w:r>
      <w:r w:rsidRPr="00191FB0">
        <w:t>产业波动主要受技术迭代节奏、监管政策及自身商业化进展影响，与传统的库存、产能周期关联性弱。尽管发展中可能因预期与现实的差距出现估值波动，但这本质上是成长过程中的修正，而非由宏观经济决定的周期性</w:t>
      </w:r>
      <w:r>
        <w:rPr>
          <w:rFonts w:hint="eastAsia"/>
        </w:rPr>
        <w:t>进</w:t>
      </w:r>
      <w:r w:rsidRPr="00191FB0">
        <w:t>退。</w:t>
      </w:r>
    </w:p>
    <w:p w14:paraId="7005D940" w14:textId="77777777" w:rsidR="007C5F09" w:rsidRPr="008C207A" w:rsidRDefault="007C5F09" w:rsidP="00DB5844">
      <w:pPr>
        <w:pStyle w:val="5"/>
        <w:rPr>
          <w:rFonts w:hint="eastAsia"/>
        </w:rPr>
      </w:pPr>
      <w:r>
        <w:rPr>
          <w:rFonts w:hint="eastAsia"/>
        </w:rPr>
        <w:t>成长阶段定位</w:t>
      </w:r>
    </w:p>
    <w:p w14:paraId="2B6C70E0" w14:textId="7A3BEAF9" w:rsidR="007C5F09" w:rsidRPr="0041670E" w:rsidRDefault="007C5F09" w:rsidP="007C5F09">
      <w:pPr>
        <w:rPr>
          <w:rFonts w:hint="eastAsia"/>
        </w:rPr>
      </w:pPr>
      <w:r w:rsidRPr="0041670E">
        <w:t>依据新兴产业从“0-1”（技术萌芽）到“1-10”（期望膨胀/规模化）再到“10-100”（稳步爬升）的发展框架分析，基础大模型产业已明确越过“0-1”的纯粹探索期，正处于“1-10”阶段的</w:t>
      </w:r>
      <w:r w:rsidR="003C28D7">
        <w:rPr>
          <w:rFonts w:hint="eastAsia"/>
        </w:rPr>
        <w:t>中</w:t>
      </w:r>
      <w:r w:rsidRPr="0041670E">
        <w:t>期。这一判断基于技术、商业化、竞争格局等多重信号。</w:t>
      </w:r>
    </w:p>
    <w:p w14:paraId="7A330854" w14:textId="77777777" w:rsidR="007C5F09" w:rsidRDefault="007C5F09" w:rsidP="007C5F09">
      <w:pPr>
        <w:rPr>
          <w:rFonts w:hint="eastAsia"/>
        </w:rPr>
      </w:pPr>
      <w:r w:rsidRPr="0041670E">
        <w:rPr>
          <w:b/>
          <w:bCs/>
        </w:rPr>
        <w:t>技术演进：从突破“可用”到追求“好用”与“普惠”</w:t>
      </w:r>
      <w:r w:rsidRPr="0041670E">
        <w:t xml:space="preserve"> 技术发展已跨越最初的“iPhone时刻”，进入“DeepSeek时刻”。</w:t>
      </w:r>
      <w:r w:rsidRPr="004C0C4B">
        <w:rPr>
          <w:rFonts w:hint="eastAsia"/>
        </w:rPr>
        <w:t xml:space="preserve"> </w:t>
      </w:r>
      <w:r>
        <w:rPr>
          <w:rFonts w:hint="eastAsia"/>
        </w:rPr>
        <w:t>技术的成本等瓶颈被打破，从稀缺、昂贵、小众，转向普惠、易用，真正具备面向千行百业大规模普及的基础条件。应用场景进一步快速渗透，商业化空间开始打开</w:t>
      </w:r>
    </w:p>
    <w:p w14:paraId="12D37F3F" w14:textId="77777777" w:rsidR="007C5F09" w:rsidRPr="004C0C4B" w:rsidRDefault="007C5F09" w:rsidP="007C5F09">
      <w:pPr>
        <w:jc w:val="center"/>
        <w:rPr>
          <w:rFonts w:hint="eastAsia"/>
        </w:rPr>
      </w:pPr>
      <w:r>
        <w:rPr>
          <w:noProof/>
        </w:rPr>
        <w:drawing>
          <wp:inline distT="0" distB="0" distL="0" distR="0" wp14:anchorId="20178B73" wp14:editId="424D7658">
            <wp:extent cx="3345246" cy="2377487"/>
            <wp:effectExtent l="0" t="0" r="7620" b="3810"/>
            <wp:docPr id="154664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4959" name=""/>
                    <pic:cNvPicPr/>
                  </pic:nvPicPr>
                  <pic:blipFill>
                    <a:blip r:embed="rId17"/>
                    <a:stretch>
                      <a:fillRect/>
                    </a:stretch>
                  </pic:blipFill>
                  <pic:spPr>
                    <a:xfrm>
                      <a:off x="0" y="0"/>
                      <a:ext cx="3360362" cy="2388230"/>
                    </a:xfrm>
                    <a:prstGeom prst="rect">
                      <a:avLst/>
                    </a:prstGeom>
                  </pic:spPr>
                </pic:pic>
              </a:graphicData>
            </a:graphic>
          </wp:inline>
        </w:drawing>
      </w:r>
    </w:p>
    <w:p w14:paraId="56C549C2" w14:textId="77777777" w:rsidR="007C5F09" w:rsidRDefault="007C5F09" w:rsidP="007C5F09">
      <w:pPr>
        <w:rPr>
          <w:rFonts w:hint="eastAsia"/>
        </w:rPr>
      </w:pPr>
      <w:r w:rsidRPr="0041670E">
        <w:lastRenderedPageBreak/>
        <w:t>行业早期通过Transformer架构等突破证明了技术的“可用性”。当前，标志性事件是高性能开源模型（如DeepSeek R1）的出现，它大幅降低了模型使用成本与技术门槛。根据API聚合平台OpenRouter数据，平台大模型Tokens处理量从2025年1月第二周的0.48TB，快速攀升至2026年1月第二周的7.68TB，规模增长16倍，这标志着算力需求和应用普及进入高速通道。</w:t>
      </w:r>
    </w:p>
    <w:p w14:paraId="69AB8851" w14:textId="77777777" w:rsidR="007C5F09" w:rsidRDefault="007C5F09" w:rsidP="007C5F09">
      <w:pPr>
        <w:rPr>
          <w:rFonts w:hint="eastAsia"/>
        </w:rPr>
      </w:pPr>
      <w:r>
        <w:rPr>
          <w:rFonts w:hint="eastAsia"/>
        </w:rPr>
        <w:t>从当前基础大模型所展现出的巨大需求弹性，我们认为大模型行业的杰文斯悖论下的最优化还远未实现。根据杰文斯悖论，““DeepSeek”时刻后，该新兴产业将会实现“价”减而“量”增。成本的大幅降低并不会带来市场的萎缩，因为需求的弹性较大，因此，市场反而会进入蓬勃发展的阶段。较为经典的例子便是在蒸汽机发明之后，虽然单位煤炭的消耗下降，但由于成本降低和应用范围扩大，煤炭的总需求反而实现了激增。</w:t>
      </w:r>
    </w:p>
    <w:p w14:paraId="74997A64" w14:textId="77777777" w:rsidR="007C5F09" w:rsidRDefault="007C5F09" w:rsidP="007C5F09">
      <w:pPr>
        <w:jc w:val="center"/>
        <w:rPr>
          <w:rFonts w:hint="eastAsia"/>
        </w:rPr>
      </w:pPr>
      <w:r>
        <w:rPr>
          <w:rFonts w:hint="eastAsia"/>
        </w:rPr>
        <w:t>图：杰文斯最优示意图</w:t>
      </w:r>
    </w:p>
    <w:p w14:paraId="3EF94EE8" w14:textId="77777777" w:rsidR="007C5F09" w:rsidRDefault="007C5F09" w:rsidP="007C5F09">
      <w:pPr>
        <w:jc w:val="center"/>
        <w:rPr>
          <w:rFonts w:hint="eastAsia"/>
        </w:rPr>
      </w:pPr>
      <w:r>
        <w:rPr>
          <w:noProof/>
        </w:rPr>
        <w:drawing>
          <wp:inline distT="0" distB="0" distL="0" distR="0" wp14:anchorId="30C1F752" wp14:editId="1C39C71A">
            <wp:extent cx="4123809" cy="3009524"/>
            <wp:effectExtent l="0" t="0" r="0" b="635"/>
            <wp:docPr id="2146544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44168" name=""/>
                    <pic:cNvPicPr/>
                  </pic:nvPicPr>
                  <pic:blipFill>
                    <a:blip r:embed="rId18"/>
                    <a:stretch>
                      <a:fillRect/>
                    </a:stretch>
                  </pic:blipFill>
                  <pic:spPr>
                    <a:xfrm>
                      <a:off x="0" y="0"/>
                      <a:ext cx="4123809" cy="3009524"/>
                    </a:xfrm>
                    <a:prstGeom prst="rect">
                      <a:avLst/>
                    </a:prstGeom>
                  </pic:spPr>
                </pic:pic>
              </a:graphicData>
            </a:graphic>
          </wp:inline>
        </w:drawing>
      </w:r>
    </w:p>
    <w:p w14:paraId="7D54E86E" w14:textId="77777777" w:rsidR="007C5F09" w:rsidRDefault="007C5F09" w:rsidP="007C5F09">
      <w:pPr>
        <w:rPr>
          <w:rFonts w:hint="eastAsia"/>
        </w:rPr>
      </w:pPr>
      <w:r>
        <w:rPr>
          <w:rFonts w:hint="eastAsia"/>
        </w:rPr>
        <w:t>以 DeepSeek 为例，其发布后算力用量大幅提升。其推动了 AI 应用真正走向普及，算力需求进入高速增长通道，也标志着大模型产业正式迈入规模化落地、普惠化应用的新阶段。</w:t>
      </w:r>
    </w:p>
    <w:p w14:paraId="3D65AF1C" w14:textId="77777777" w:rsidR="007C5F09" w:rsidRDefault="007C5F09" w:rsidP="007C5F09">
      <w:pPr>
        <w:jc w:val="center"/>
        <w:rPr>
          <w:rFonts w:hint="eastAsia"/>
        </w:rPr>
      </w:pPr>
      <w:r>
        <w:rPr>
          <w:rFonts w:hint="eastAsia"/>
        </w:rPr>
        <w:t>图：2024年以来算力变化情况一览</w:t>
      </w:r>
    </w:p>
    <w:p w14:paraId="00FB956D" w14:textId="77777777" w:rsidR="007C5F09" w:rsidRDefault="007C5F09" w:rsidP="007C5F09">
      <w:pPr>
        <w:rPr>
          <w:rFonts w:hint="eastAsia"/>
        </w:rPr>
      </w:pPr>
      <w:r>
        <w:rPr>
          <w:noProof/>
        </w:rPr>
        <w:lastRenderedPageBreak/>
        <w:drawing>
          <wp:inline distT="0" distB="0" distL="0" distR="0" wp14:anchorId="6F9800C4" wp14:editId="3562549E">
            <wp:extent cx="5274310" cy="2657475"/>
            <wp:effectExtent l="0" t="0" r="2540" b="9525"/>
            <wp:docPr id="365476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76604" name=""/>
                    <pic:cNvPicPr/>
                  </pic:nvPicPr>
                  <pic:blipFill>
                    <a:blip r:embed="rId19"/>
                    <a:stretch>
                      <a:fillRect/>
                    </a:stretch>
                  </pic:blipFill>
                  <pic:spPr>
                    <a:xfrm>
                      <a:off x="0" y="0"/>
                      <a:ext cx="5274310" cy="2657475"/>
                    </a:xfrm>
                    <a:prstGeom prst="rect">
                      <a:avLst/>
                    </a:prstGeom>
                  </pic:spPr>
                </pic:pic>
              </a:graphicData>
            </a:graphic>
          </wp:inline>
        </w:drawing>
      </w:r>
    </w:p>
    <w:p w14:paraId="4EA01851" w14:textId="77777777" w:rsidR="007C5F09" w:rsidRDefault="007C5F09" w:rsidP="007C5F09">
      <w:pPr>
        <w:rPr>
          <w:rFonts w:hint="eastAsia"/>
        </w:rPr>
      </w:pPr>
      <w:r>
        <w:rPr>
          <w:rFonts w:hint="eastAsia"/>
        </w:rPr>
        <w:t>注：不同颜色为不同大模型所占比例</w:t>
      </w:r>
    </w:p>
    <w:p w14:paraId="6ED1AB39" w14:textId="77777777" w:rsidR="007C5F09" w:rsidRDefault="007C5F09" w:rsidP="007C5F09">
      <w:pPr>
        <w:jc w:val="center"/>
        <w:rPr>
          <w:rFonts w:hint="eastAsia"/>
        </w:rPr>
      </w:pPr>
      <w:r>
        <w:rPr>
          <w:rFonts w:hint="eastAsia"/>
        </w:rPr>
        <w:t>图：近期开源模型引用一览</w:t>
      </w:r>
    </w:p>
    <w:p w14:paraId="7CA2A02A" w14:textId="77777777" w:rsidR="007C5F09" w:rsidRDefault="007C5F09" w:rsidP="007C5F09">
      <w:pPr>
        <w:rPr>
          <w:rFonts w:hint="eastAsia"/>
        </w:rPr>
      </w:pPr>
      <w:r>
        <w:rPr>
          <w:noProof/>
        </w:rPr>
        <w:drawing>
          <wp:inline distT="0" distB="0" distL="0" distR="0" wp14:anchorId="1854FD27" wp14:editId="0F808D26">
            <wp:extent cx="5274310" cy="4053205"/>
            <wp:effectExtent l="0" t="0" r="2540" b="4445"/>
            <wp:docPr id="157110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0773" name=""/>
                    <pic:cNvPicPr/>
                  </pic:nvPicPr>
                  <pic:blipFill>
                    <a:blip r:embed="rId20"/>
                    <a:stretch>
                      <a:fillRect/>
                    </a:stretch>
                  </pic:blipFill>
                  <pic:spPr>
                    <a:xfrm>
                      <a:off x="0" y="0"/>
                      <a:ext cx="5274310" cy="4053205"/>
                    </a:xfrm>
                    <a:prstGeom prst="rect">
                      <a:avLst/>
                    </a:prstGeom>
                  </pic:spPr>
                </pic:pic>
              </a:graphicData>
            </a:graphic>
          </wp:inline>
        </w:drawing>
      </w:r>
    </w:p>
    <w:p w14:paraId="05E77235" w14:textId="77777777" w:rsidR="007C5F09" w:rsidRDefault="007C5F09" w:rsidP="007C5F09">
      <w:pPr>
        <w:rPr>
          <w:rFonts w:hint="eastAsia"/>
        </w:rPr>
      </w:pPr>
      <w:r>
        <w:rPr>
          <w:rFonts w:hint="eastAsia"/>
        </w:rPr>
        <w:t>数据来源：openrouter</w:t>
      </w:r>
    </w:p>
    <w:p w14:paraId="1B1513FA" w14:textId="77777777" w:rsidR="007C5F09" w:rsidRDefault="007C5F09" w:rsidP="007C5F09">
      <w:pPr>
        <w:rPr>
          <w:rFonts w:hint="eastAsia"/>
        </w:rPr>
      </w:pPr>
      <w:r>
        <w:rPr>
          <w:rFonts w:hint="eastAsia"/>
        </w:rPr>
        <w:t>注：moonshot，即月之暗面，kimi母公司；z-ai，即智谱。</w:t>
      </w:r>
    </w:p>
    <w:p w14:paraId="12AC248E" w14:textId="77777777" w:rsidR="007C5F09" w:rsidRPr="00640E09" w:rsidRDefault="007C5F09" w:rsidP="007C5F09">
      <w:pPr>
        <w:rPr>
          <w:rFonts w:hint="eastAsia"/>
        </w:rPr>
      </w:pPr>
    </w:p>
    <w:p w14:paraId="1FEC2894" w14:textId="72C35FC2" w:rsidR="00043F4A" w:rsidRDefault="007C5F09" w:rsidP="00043F4A">
      <w:pPr>
        <w:rPr>
          <w:rFonts w:hint="eastAsia"/>
        </w:rPr>
      </w:pPr>
      <w:r w:rsidRPr="0041670E">
        <w:lastRenderedPageBreak/>
        <w:t>同时，技术竞争焦点已从通用能力追赶转向推理能力强化、多模态融合以及Agent（智能体）等成为模型基础标配，标志着技术向“好用”和“能干实事”演进。3中美技术差距已压缩至3-6个月，中国前沿模型综合智能分数逼近海外顶级模型的87%。10</w:t>
      </w:r>
    </w:p>
    <w:p w14:paraId="660FC1B6" w14:textId="54314F5E" w:rsidR="00043F4A" w:rsidRDefault="00B23F1D" w:rsidP="00E0149C">
      <w:pPr>
        <w:pStyle w:val="1"/>
      </w:pPr>
      <w:r>
        <w:rPr>
          <w:rFonts w:hint="eastAsia"/>
        </w:rPr>
        <w:t>二.</w:t>
      </w:r>
      <w:r w:rsidR="00043F4A">
        <w:rPr>
          <w:rFonts w:hint="eastAsia"/>
        </w:rPr>
        <w:t>产业链与商业模式深度解析</w:t>
      </w:r>
    </w:p>
    <w:p w14:paraId="579861D5" w14:textId="5C83301F" w:rsidR="007331D0" w:rsidRDefault="007331D0" w:rsidP="007331D0">
      <w:pPr>
        <w:pStyle w:val="2"/>
        <w:rPr>
          <w:rFonts w:hint="eastAsia"/>
        </w:rPr>
      </w:pPr>
      <w:r>
        <w:rPr>
          <w:rFonts w:hint="eastAsia"/>
        </w:rPr>
        <w:t>上中下游产业链图谱</w:t>
      </w:r>
      <w:r w:rsidR="00E2535F">
        <w:rPr>
          <w:rFonts w:hint="eastAsia"/>
        </w:rPr>
        <w:t xml:space="preserve"> 半√没细看</w:t>
      </w:r>
    </w:p>
    <w:p w14:paraId="67E5D36A" w14:textId="1A8E5854" w:rsidR="00DD3AD6" w:rsidRDefault="00F23CFB" w:rsidP="00DD3AD6">
      <w:r w:rsidRPr="00F23CFB">
        <w:t>当前，大模型产业已形成层次分明、联动紧密的产业链结构。上游是支撑产业发展的算力与数据基石，中游是决定产业高度的模型与平台核心，下游则是实现商业价值的多元化应用场景。三者共同构成了从硬件基础设施到智能应用服务的完整价值链条。</w:t>
      </w:r>
    </w:p>
    <w:p w14:paraId="50CD7296" w14:textId="3AA32309" w:rsidR="00F23CFB" w:rsidRDefault="00F23CFB" w:rsidP="00F23CFB">
      <w:pPr>
        <w:pStyle w:val="3"/>
      </w:pPr>
      <w:r w:rsidRPr="00F23CFB">
        <w:t>上游：算力与数据基石</w:t>
      </w:r>
    </w:p>
    <w:p w14:paraId="218739BE" w14:textId="47AC5904" w:rsidR="00DC3515" w:rsidRDefault="00DC3515" w:rsidP="00DC3515">
      <w:pPr>
        <w:rPr>
          <w:rFonts w:hint="eastAsia"/>
        </w:rPr>
      </w:pPr>
      <w:r>
        <w:rPr>
          <w:rFonts w:hint="eastAsia"/>
        </w:rPr>
        <w:t>上游产业链是整个人工智能与大模型产业的物理和数字基础，其核心是提供模型训练与推理所必需的算力硬件、云计算服务以及高质量数据。这一层的稳定性和先进性直接决定了中游模型研发的效率和成本，是产业发展的先决条件。</w:t>
      </w:r>
    </w:p>
    <w:p w14:paraId="5BBEE325" w14:textId="77777777" w:rsidR="00DC3515" w:rsidRDefault="00DC3515" w:rsidP="00DC3515">
      <w:pPr>
        <w:pStyle w:val="4"/>
        <w:rPr>
          <w:rFonts w:hint="eastAsia"/>
        </w:rPr>
      </w:pPr>
      <w:r>
        <w:rPr>
          <w:rFonts w:hint="eastAsia"/>
        </w:rPr>
        <w:t>1. 核心构成与竞争格局</w:t>
      </w:r>
    </w:p>
    <w:p w14:paraId="03BC33F9" w14:textId="76AF8C75" w:rsidR="00DC3515" w:rsidRDefault="00DC3515" w:rsidP="00DC3515">
      <w:pPr>
        <w:rPr>
          <w:rFonts w:hint="eastAsia"/>
        </w:rPr>
      </w:pPr>
      <w:r>
        <w:rPr>
          <w:rFonts w:hint="eastAsia"/>
        </w:rPr>
        <w:t>上游产业链呈现高度技术密集和资本密集的特征，主要由以下几个关键环节构成：</w:t>
      </w:r>
    </w:p>
    <w:p w14:paraId="6622878F" w14:textId="4F128C2D" w:rsidR="00DC3515" w:rsidRDefault="00DC3515" w:rsidP="00DC3515">
      <w:pPr>
        <w:rPr>
          <w:rFonts w:hint="eastAsia"/>
        </w:rPr>
      </w:pPr>
      <w:r>
        <w:rPr>
          <w:rFonts w:hint="eastAsia"/>
        </w:rPr>
        <w:t>算力芯片与硬件：这是最核心的环节，包括GPU、AI专用芯片（ASIC）、高带宽内存（HBM）、光模块、交换设备以及液冷、电力等数据中心基础设施。全球市场由英伟达主导，其凭借CUDA生态占据了超过80%的高性能AI芯片市场份额。国内华为昇腾、寒武纪、壁仞科技等厂商正加快自研步伐，致力于构建自主可控的算力底座。</w:t>
      </w:r>
    </w:p>
    <w:p w14:paraId="55B76A51" w14:textId="15987FA7" w:rsidR="00DC3515" w:rsidRDefault="00DC3515" w:rsidP="00DC3515">
      <w:pPr>
        <w:rPr>
          <w:rFonts w:hint="eastAsia"/>
        </w:rPr>
      </w:pPr>
      <w:r>
        <w:rPr>
          <w:rFonts w:hint="eastAsia"/>
        </w:rPr>
        <w:t>云计算平台：为模型训练和部署提供弹性算力服务。全球市场由AWS、Azure、谷歌云主导，合计占据超70%份额。国内阿里云、华为云、腾讯云是主要参与者，正持续加大AI算力投入，例如阿里云计划未来三年投入524亿美元扩充AI算力。</w:t>
      </w:r>
    </w:p>
    <w:p w14:paraId="78767871" w14:textId="77777777" w:rsidR="00DC3515" w:rsidRDefault="00DC3515" w:rsidP="00DC3515">
      <w:pPr>
        <w:rPr>
          <w:rFonts w:hint="eastAsia"/>
        </w:rPr>
      </w:pPr>
      <w:r>
        <w:rPr>
          <w:rFonts w:hint="eastAsia"/>
        </w:rPr>
        <w:t>数据服务：涵盖数据采集、清洗、标注及治理。高质量、大规模、多模态的数据是训练高性能模型的“燃料”。数据质量直接决定模型效果，研究表明约90%的模型问题源于数据而非架构。</w:t>
      </w:r>
    </w:p>
    <w:p w14:paraId="73F79124" w14:textId="77777777" w:rsidR="00DC3515" w:rsidRDefault="00DC3515" w:rsidP="00DC3515">
      <w:pPr>
        <w:pStyle w:val="4"/>
        <w:rPr>
          <w:rFonts w:hint="eastAsia"/>
        </w:rPr>
      </w:pPr>
      <w:r>
        <w:rPr>
          <w:rFonts w:hint="eastAsia"/>
        </w:rPr>
        <w:t>2. 发展趋势与投资逻辑</w:t>
      </w:r>
    </w:p>
    <w:p w14:paraId="2CD9356C" w14:textId="4C3D8C9D" w:rsidR="00DC3515" w:rsidRDefault="00DC3515" w:rsidP="00DC3515">
      <w:pPr>
        <w:rPr>
          <w:rFonts w:hint="eastAsia"/>
        </w:rPr>
      </w:pPr>
      <w:r>
        <w:rPr>
          <w:rFonts w:hint="eastAsia"/>
        </w:rPr>
        <w:t>上游产业正经历深刻变革，投资逻辑从单纯的“囤积算力”转向“核算单位产出成本”。</w:t>
      </w:r>
    </w:p>
    <w:p w14:paraId="23E34C79" w14:textId="5CBAD07C" w:rsidR="00DC3515" w:rsidRDefault="00DC3515" w:rsidP="00DC3515">
      <w:pPr>
        <w:rPr>
          <w:rFonts w:hint="eastAsia"/>
        </w:rPr>
      </w:pPr>
      <w:r>
        <w:rPr>
          <w:rFonts w:hint="eastAsia"/>
        </w:rPr>
        <w:t>需求结构转变</w:t>
      </w:r>
      <w:r>
        <w:rPr>
          <w:rFonts w:hint="eastAsia"/>
        </w:rPr>
        <w:t>上，</w:t>
      </w:r>
      <w:r>
        <w:rPr>
          <w:rFonts w:hint="eastAsia"/>
        </w:rPr>
        <w:t>随着大模型进入规模化应用阶段，推理算力需求正历史性地超越训练算力。根据行业预测，2026年推理型AI服务器在整体出货结构中的比重有望提升至</w:t>
      </w:r>
      <w:r>
        <w:rPr>
          <w:rFonts w:hint="eastAsia"/>
        </w:rPr>
        <w:lastRenderedPageBreak/>
        <w:t>44%。推理任务更关注能耗、稳定性和总拥有成本（TCO），这为在能效比上有优势的国产芯片提供了切入窗口。</w:t>
      </w:r>
    </w:p>
    <w:p w14:paraId="61F9886F" w14:textId="7196C770" w:rsidR="00DC3515" w:rsidRDefault="00DC3515" w:rsidP="00DC3515">
      <w:pPr>
        <w:rPr>
          <w:rFonts w:hint="eastAsia"/>
        </w:rPr>
      </w:pPr>
      <w:r>
        <w:rPr>
          <w:rFonts w:hint="eastAsia"/>
        </w:rPr>
        <w:t>采购标准变化</w:t>
      </w:r>
      <w:r>
        <w:rPr>
          <w:rFonts w:hint="eastAsia"/>
        </w:rPr>
        <w:t>上，</w:t>
      </w:r>
      <w:r>
        <w:rPr>
          <w:rFonts w:hint="eastAsia"/>
        </w:rPr>
        <w:t>客户不再只追求单卡算力峰值，而是开始计算“每元投入能换取多少Token吞吐量”、“每瓦电能处理多少Token”。这种转变使得具备性价比和供应安全优势的国产算力方案吸引力增强。</w:t>
      </w:r>
    </w:p>
    <w:p w14:paraId="29766190" w14:textId="54A5135F" w:rsidR="00F23CFB" w:rsidRDefault="00DC3515" w:rsidP="00DC3515">
      <w:r>
        <w:rPr>
          <w:rFonts w:hint="eastAsia"/>
        </w:rPr>
        <w:t>技术迭代驱动</w:t>
      </w:r>
      <w:r>
        <w:rPr>
          <w:rFonts w:hint="eastAsia"/>
        </w:rPr>
        <w:t>上，</w:t>
      </w:r>
      <w:r>
        <w:rPr>
          <w:rFonts w:hint="eastAsia"/>
        </w:rPr>
        <w:t>稀疏化、模型蒸馏、量化等模型压缩技术能有效降低训练和推理成本，缓解算力压力。同时，AI自动数据优化与标注技术也在发展，以降低数据准备阶段的人工成本。</w:t>
      </w:r>
    </w:p>
    <w:p w14:paraId="4D895FF7" w14:textId="15BF9BA9" w:rsidR="00C42458" w:rsidRDefault="00C42458" w:rsidP="00C42458">
      <w:pPr>
        <w:jc w:val="center"/>
        <w:rPr>
          <w:rFonts w:hint="eastAsia"/>
        </w:rPr>
      </w:pPr>
      <w:r>
        <w:rPr>
          <w:rFonts w:hint="eastAsia"/>
        </w:rPr>
        <w:t>表：大模型上游产业核心一览</w:t>
      </w:r>
    </w:p>
    <w:tbl>
      <w:tblPr>
        <w:tblW w:w="949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73"/>
        <w:gridCol w:w="1503"/>
        <w:gridCol w:w="3292"/>
        <w:gridCol w:w="3130"/>
      </w:tblGrid>
      <w:tr w:rsidR="00670567" w:rsidRPr="00670567" w14:paraId="3F9BB346" w14:textId="77777777" w:rsidTr="00670567">
        <w:trPr>
          <w:tblHeader/>
        </w:trPr>
        <w:tc>
          <w:tcPr>
            <w:tcW w:w="1573" w:type="dxa"/>
            <w:shd w:val="clear" w:color="auto" w:fill="F5F5F5"/>
            <w:tcMar>
              <w:top w:w="135" w:type="dxa"/>
              <w:left w:w="180" w:type="dxa"/>
              <w:bottom w:w="135" w:type="dxa"/>
              <w:right w:w="180" w:type="dxa"/>
            </w:tcMar>
            <w:vAlign w:val="center"/>
            <w:hideMark/>
          </w:tcPr>
          <w:p w14:paraId="1688768D" w14:textId="77777777" w:rsidR="00670567" w:rsidRPr="00C42458" w:rsidRDefault="00670567" w:rsidP="00670567">
            <w:pPr>
              <w:rPr>
                <w:b/>
                <w:bCs/>
                <w:sz w:val="21"/>
                <w:szCs w:val="22"/>
              </w:rPr>
            </w:pPr>
            <w:r w:rsidRPr="00C42458">
              <w:rPr>
                <w:b/>
                <w:bCs/>
                <w:sz w:val="21"/>
                <w:szCs w:val="22"/>
              </w:rPr>
              <w:t>环节</w:t>
            </w:r>
          </w:p>
        </w:tc>
        <w:tc>
          <w:tcPr>
            <w:tcW w:w="0" w:type="auto"/>
            <w:shd w:val="clear" w:color="auto" w:fill="F5F5F5"/>
            <w:tcMar>
              <w:top w:w="135" w:type="dxa"/>
              <w:left w:w="180" w:type="dxa"/>
              <w:bottom w:w="135" w:type="dxa"/>
              <w:right w:w="180" w:type="dxa"/>
            </w:tcMar>
            <w:vAlign w:val="center"/>
            <w:hideMark/>
          </w:tcPr>
          <w:p w14:paraId="0C38CB21" w14:textId="77777777" w:rsidR="00670567" w:rsidRPr="00C42458" w:rsidRDefault="00670567" w:rsidP="00670567">
            <w:pPr>
              <w:rPr>
                <w:b/>
                <w:bCs/>
                <w:sz w:val="21"/>
                <w:szCs w:val="22"/>
              </w:rPr>
            </w:pPr>
            <w:r w:rsidRPr="00C42458">
              <w:rPr>
                <w:b/>
                <w:bCs/>
                <w:sz w:val="21"/>
                <w:szCs w:val="22"/>
              </w:rPr>
              <w:t>核心内容</w:t>
            </w:r>
          </w:p>
        </w:tc>
        <w:tc>
          <w:tcPr>
            <w:tcW w:w="0" w:type="auto"/>
            <w:shd w:val="clear" w:color="auto" w:fill="F5F5F5"/>
            <w:tcMar>
              <w:top w:w="135" w:type="dxa"/>
              <w:left w:w="180" w:type="dxa"/>
              <w:bottom w:w="135" w:type="dxa"/>
              <w:right w:w="180" w:type="dxa"/>
            </w:tcMar>
            <w:vAlign w:val="center"/>
            <w:hideMark/>
          </w:tcPr>
          <w:p w14:paraId="79D56489" w14:textId="77777777" w:rsidR="00670567" w:rsidRPr="00C42458" w:rsidRDefault="00670567" w:rsidP="00670567">
            <w:pPr>
              <w:rPr>
                <w:b/>
                <w:bCs/>
                <w:sz w:val="21"/>
                <w:szCs w:val="22"/>
              </w:rPr>
            </w:pPr>
            <w:r w:rsidRPr="00C42458">
              <w:rPr>
                <w:b/>
                <w:bCs/>
                <w:sz w:val="21"/>
                <w:szCs w:val="22"/>
              </w:rPr>
              <w:t>代表厂商/技术</w:t>
            </w:r>
          </w:p>
        </w:tc>
        <w:tc>
          <w:tcPr>
            <w:tcW w:w="3130" w:type="dxa"/>
            <w:shd w:val="clear" w:color="auto" w:fill="F5F5F5"/>
            <w:tcMar>
              <w:top w:w="135" w:type="dxa"/>
              <w:left w:w="180" w:type="dxa"/>
              <w:bottom w:w="135" w:type="dxa"/>
              <w:right w:w="180" w:type="dxa"/>
            </w:tcMar>
            <w:vAlign w:val="center"/>
            <w:hideMark/>
          </w:tcPr>
          <w:p w14:paraId="0A7EDAC7" w14:textId="77777777" w:rsidR="00670567" w:rsidRPr="00C42458" w:rsidRDefault="00670567" w:rsidP="00670567">
            <w:pPr>
              <w:rPr>
                <w:b/>
                <w:bCs/>
                <w:sz w:val="21"/>
                <w:szCs w:val="22"/>
              </w:rPr>
            </w:pPr>
            <w:r w:rsidRPr="00C42458">
              <w:rPr>
                <w:b/>
                <w:bCs/>
                <w:sz w:val="21"/>
                <w:szCs w:val="22"/>
              </w:rPr>
              <w:t>当前趋势与挑战</w:t>
            </w:r>
          </w:p>
        </w:tc>
      </w:tr>
      <w:tr w:rsidR="00670567" w:rsidRPr="00670567" w14:paraId="10681400" w14:textId="77777777" w:rsidTr="00670567">
        <w:tc>
          <w:tcPr>
            <w:tcW w:w="1573" w:type="dxa"/>
            <w:shd w:val="clear" w:color="auto" w:fill="FFFFFF"/>
            <w:tcMar>
              <w:top w:w="135" w:type="dxa"/>
              <w:left w:w="180" w:type="dxa"/>
              <w:bottom w:w="135" w:type="dxa"/>
              <w:right w:w="180" w:type="dxa"/>
            </w:tcMar>
            <w:vAlign w:val="center"/>
            <w:hideMark/>
          </w:tcPr>
          <w:p w14:paraId="533959FF" w14:textId="77777777" w:rsidR="00670567" w:rsidRPr="00C42458" w:rsidRDefault="00670567" w:rsidP="00670567">
            <w:pPr>
              <w:rPr>
                <w:sz w:val="21"/>
                <w:szCs w:val="22"/>
              </w:rPr>
            </w:pPr>
            <w:r w:rsidRPr="00C42458">
              <w:rPr>
                <w:b/>
                <w:bCs/>
                <w:sz w:val="21"/>
                <w:szCs w:val="22"/>
              </w:rPr>
              <w:t>算力芯片</w:t>
            </w:r>
          </w:p>
        </w:tc>
        <w:tc>
          <w:tcPr>
            <w:tcW w:w="0" w:type="auto"/>
            <w:shd w:val="clear" w:color="auto" w:fill="FFFFFF"/>
            <w:tcMar>
              <w:top w:w="135" w:type="dxa"/>
              <w:left w:w="180" w:type="dxa"/>
              <w:bottom w:w="135" w:type="dxa"/>
              <w:right w:w="180" w:type="dxa"/>
            </w:tcMar>
            <w:vAlign w:val="center"/>
            <w:hideMark/>
          </w:tcPr>
          <w:p w14:paraId="5A3E761C" w14:textId="77777777" w:rsidR="00670567" w:rsidRPr="00C42458" w:rsidRDefault="00670567" w:rsidP="00670567">
            <w:pPr>
              <w:rPr>
                <w:sz w:val="21"/>
                <w:szCs w:val="22"/>
              </w:rPr>
            </w:pPr>
            <w:r w:rsidRPr="00C42458">
              <w:rPr>
                <w:sz w:val="21"/>
                <w:szCs w:val="22"/>
              </w:rPr>
              <w:t>GPU、AI ASIC、HBM内存</w:t>
            </w:r>
          </w:p>
        </w:tc>
        <w:tc>
          <w:tcPr>
            <w:tcW w:w="0" w:type="auto"/>
            <w:shd w:val="clear" w:color="auto" w:fill="FFFFFF"/>
            <w:tcMar>
              <w:top w:w="135" w:type="dxa"/>
              <w:left w:w="180" w:type="dxa"/>
              <w:bottom w:w="135" w:type="dxa"/>
              <w:right w:w="180" w:type="dxa"/>
            </w:tcMar>
            <w:vAlign w:val="center"/>
            <w:hideMark/>
          </w:tcPr>
          <w:p w14:paraId="2945EE49" w14:textId="77777777" w:rsidR="00670567" w:rsidRPr="00C42458" w:rsidRDefault="00670567" w:rsidP="00670567">
            <w:pPr>
              <w:rPr>
                <w:sz w:val="21"/>
                <w:szCs w:val="22"/>
              </w:rPr>
            </w:pPr>
            <w:r w:rsidRPr="00C42458">
              <w:rPr>
                <w:b/>
                <w:bCs/>
                <w:sz w:val="21"/>
                <w:szCs w:val="22"/>
              </w:rPr>
              <w:t>国际</w:t>
            </w:r>
            <w:r w:rsidRPr="00C42458">
              <w:rPr>
                <w:sz w:val="21"/>
                <w:szCs w:val="22"/>
              </w:rPr>
              <w:t>：英伟达（A100/H100）、AMD；</w:t>
            </w:r>
            <w:r w:rsidRPr="00C42458">
              <w:rPr>
                <w:b/>
                <w:bCs/>
                <w:sz w:val="21"/>
                <w:szCs w:val="22"/>
              </w:rPr>
              <w:t>国内</w:t>
            </w:r>
            <w:r w:rsidRPr="00C42458">
              <w:rPr>
                <w:sz w:val="21"/>
                <w:szCs w:val="22"/>
              </w:rPr>
              <w:t>：华为昇腾、寒武纪、壁仞科技</w:t>
            </w:r>
          </w:p>
        </w:tc>
        <w:tc>
          <w:tcPr>
            <w:tcW w:w="3130" w:type="dxa"/>
            <w:shd w:val="clear" w:color="auto" w:fill="FFFFFF"/>
            <w:tcMar>
              <w:top w:w="135" w:type="dxa"/>
              <w:left w:w="180" w:type="dxa"/>
              <w:bottom w:w="135" w:type="dxa"/>
              <w:right w:w="180" w:type="dxa"/>
            </w:tcMar>
            <w:vAlign w:val="center"/>
            <w:hideMark/>
          </w:tcPr>
          <w:p w14:paraId="7AD31F63" w14:textId="77777777" w:rsidR="00670567" w:rsidRPr="00C42458" w:rsidRDefault="00670567" w:rsidP="00670567">
            <w:pPr>
              <w:rPr>
                <w:sz w:val="21"/>
                <w:szCs w:val="22"/>
              </w:rPr>
            </w:pPr>
            <w:r w:rsidRPr="00C42458">
              <w:rPr>
                <w:sz w:val="21"/>
                <w:szCs w:val="22"/>
              </w:rPr>
              <w:t>国际巨头生态壁垒高；国产替代加速，聚焦推理端能效比与供应链安全。</w:t>
            </w:r>
          </w:p>
        </w:tc>
      </w:tr>
      <w:tr w:rsidR="00670567" w:rsidRPr="00670567" w14:paraId="10255BE1" w14:textId="77777777" w:rsidTr="00670567">
        <w:tc>
          <w:tcPr>
            <w:tcW w:w="1573" w:type="dxa"/>
            <w:shd w:val="clear" w:color="auto" w:fill="FFFFFF"/>
            <w:tcMar>
              <w:top w:w="135" w:type="dxa"/>
              <w:left w:w="180" w:type="dxa"/>
              <w:bottom w:w="135" w:type="dxa"/>
              <w:right w:w="180" w:type="dxa"/>
            </w:tcMar>
            <w:vAlign w:val="center"/>
            <w:hideMark/>
          </w:tcPr>
          <w:p w14:paraId="03D4015F" w14:textId="77777777" w:rsidR="00670567" w:rsidRPr="00C42458" w:rsidRDefault="00670567" w:rsidP="00670567">
            <w:pPr>
              <w:rPr>
                <w:sz w:val="21"/>
                <w:szCs w:val="22"/>
              </w:rPr>
            </w:pPr>
            <w:r w:rsidRPr="00C42458">
              <w:rPr>
                <w:b/>
                <w:bCs/>
                <w:sz w:val="21"/>
                <w:szCs w:val="22"/>
              </w:rPr>
              <w:t>云计算/IDC</w:t>
            </w:r>
          </w:p>
        </w:tc>
        <w:tc>
          <w:tcPr>
            <w:tcW w:w="0" w:type="auto"/>
            <w:shd w:val="clear" w:color="auto" w:fill="FFFFFF"/>
            <w:tcMar>
              <w:top w:w="135" w:type="dxa"/>
              <w:left w:w="180" w:type="dxa"/>
              <w:bottom w:w="135" w:type="dxa"/>
              <w:right w:w="180" w:type="dxa"/>
            </w:tcMar>
            <w:vAlign w:val="center"/>
            <w:hideMark/>
          </w:tcPr>
          <w:p w14:paraId="774543EB" w14:textId="77777777" w:rsidR="00670567" w:rsidRPr="00C42458" w:rsidRDefault="00670567" w:rsidP="00670567">
            <w:pPr>
              <w:rPr>
                <w:sz w:val="21"/>
                <w:szCs w:val="22"/>
              </w:rPr>
            </w:pPr>
            <w:r w:rsidRPr="00C42458">
              <w:rPr>
                <w:sz w:val="21"/>
                <w:szCs w:val="22"/>
              </w:rPr>
              <w:t>算力租赁、数据中心运营</w:t>
            </w:r>
          </w:p>
        </w:tc>
        <w:tc>
          <w:tcPr>
            <w:tcW w:w="0" w:type="auto"/>
            <w:shd w:val="clear" w:color="auto" w:fill="FFFFFF"/>
            <w:tcMar>
              <w:top w:w="135" w:type="dxa"/>
              <w:left w:w="180" w:type="dxa"/>
              <w:bottom w:w="135" w:type="dxa"/>
              <w:right w:w="180" w:type="dxa"/>
            </w:tcMar>
            <w:vAlign w:val="center"/>
            <w:hideMark/>
          </w:tcPr>
          <w:p w14:paraId="374B873B" w14:textId="77777777" w:rsidR="00670567" w:rsidRPr="00C42458" w:rsidRDefault="00670567" w:rsidP="00670567">
            <w:pPr>
              <w:rPr>
                <w:sz w:val="21"/>
                <w:szCs w:val="22"/>
              </w:rPr>
            </w:pPr>
            <w:r w:rsidRPr="00C42458">
              <w:rPr>
                <w:b/>
                <w:bCs/>
                <w:sz w:val="21"/>
                <w:szCs w:val="22"/>
              </w:rPr>
              <w:t>国际</w:t>
            </w:r>
            <w:r w:rsidRPr="00C42458">
              <w:rPr>
                <w:sz w:val="21"/>
                <w:szCs w:val="22"/>
              </w:rPr>
              <w:t>：AWS, Azure, Google Cloud；</w:t>
            </w:r>
            <w:r w:rsidRPr="00C42458">
              <w:rPr>
                <w:b/>
                <w:bCs/>
                <w:sz w:val="21"/>
                <w:szCs w:val="22"/>
              </w:rPr>
              <w:t>国内</w:t>
            </w:r>
            <w:r w:rsidRPr="00C42458">
              <w:rPr>
                <w:sz w:val="21"/>
                <w:szCs w:val="22"/>
              </w:rPr>
              <w:t>：阿里云、华为云、腾讯云、运营商云</w:t>
            </w:r>
          </w:p>
        </w:tc>
        <w:tc>
          <w:tcPr>
            <w:tcW w:w="3130" w:type="dxa"/>
            <w:shd w:val="clear" w:color="auto" w:fill="FFFFFF"/>
            <w:tcMar>
              <w:top w:w="135" w:type="dxa"/>
              <w:left w:w="180" w:type="dxa"/>
              <w:bottom w:w="135" w:type="dxa"/>
              <w:right w:w="180" w:type="dxa"/>
            </w:tcMar>
            <w:vAlign w:val="center"/>
            <w:hideMark/>
          </w:tcPr>
          <w:p w14:paraId="678FBBD2" w14:textId="77777777" w:rsidR="00670567" w:rsidRPr="00C42458" w:rsidRDefault="00670567" w:rsidP="00670567">
            <w:pPr>
              <w:rPr>
                <w:sz w:val="21"/>
                <w:szCs w:val="22"/>
              </w:rPr>
            </w:pPr>
            <w:r w:rsidRPr="00C42458">
              <w:rPr>
                <w:sz w:val="21"/>
                <w:szCs w:val="22"/>
              </w:rPr>
              <w:t>从提供裸算力向提供“算力+模型+平台”一体化服务演进；绿色低碳、降PUE成关键。</w:t>
            </w:r>
          </w:p>
        </w:tc>
      </w:tr>
      <w:tr w:rsidR="00670567" w:rsidRPr="00670567" w14:paraId="47B6CA28" w14:textId="77777777" w:rsidTr="00670567">
        <w:tc>
          <w:tcPr>
            <w:tcW w:w="1573" w:type="dxa"/>
            <w:shd w:val="clear" w:color="auto" w:fill="FFFFFF"/>
            <w:tcMar>
              <w:top w:w="135" w:type="dxa"/>
              <w:left w:w="180" w:type="dxa"/>
              <w:bottom w:w="135" w:type="dxa"/>
              <w:right w:w="180" w:type="dxa"/>
            </w:tcMar>
            <w:vAlign w:val="center"/>
            <w:hideMark/>
          </w:tcPr>
          <w:p w14:paraId="0442927F" w14:textId="77777777" w:rsidR="00670567" w:rsidRPr="00C42458" w:rsidRDefault="00670567" w:rsidP="00670567">
            <w:pPr>
              <w:rPr>
                <w:sz w:val="21"/>
                <w:szCs w:val="22"/>
              </w:rPr>
            </w:pPr>
            <w:r w:rsidRPr="00C42458">
              <w:rPr>
                <w:b/>
                <w:bCs/>
                <w:sz w:val="21"/>
                <w:szCs w:val="22"/>
              </w:rPr>
              <w:t>数据服务</w:t>
            </w:r>
          </w:p>
        </w:tc>
        <w:tc>
          <w:tcPr>
            <w:tcW w:w="0" w:type="auto"/>
            <w:shd w:val="clear" w:color="auto" w:fill="FFFFFF"/>
            <w:tcMar>
              <w:top w:w="135" w:type="dxa"/>
              <w:left w:w="180" w:type="dxa"/>
              <w:bottom w:w="135" w:type="dxa"/>
              <w:right w:w="180" w:type="dxa"/>
            </w:tcMar>
            <w:vAlign w:val="center"/>
            <w:hideMark/>
          </w:tcPr>
          <w:p w14:paraId="08FAB7C1" w14:textId="77777777" w:rsidR="00670567" w:rsidRPr="00C42458" w:rsidRDefault="00670567" w:rsidP="00670567">
            <w:pPr>
              <w:rPr>
                <w:sz w:val="21"/>
                <w:szCs w:val="22"/>
              </w:rPr>
            </w:pPr>
            <w:r w:rsidRPr="00C42458">
              <w:rPr>
                <w:sz w:val="21"/>
                <w:szCs w:val="22"/>
              </w:rPr>
              <w:t>数据采集、清洗、标注、治理</w:t>
            </w:r>
          </w:p>
        </w:tc>
        <w:tc>
          <w:tcPr>
            <w:tcW w:w="0" w:type="auto"/>
            <w:shd w:val="clear" w:color="auto" w:fill="FFFFFF"/>
            <w:tcMar>
              <w:top w:w="135" w:type="dxa"/>
              <w:left w:w="180" w:type="dxa"/>
              <w:bottom w:w="135" w:type="dxa"/>
              <w:right w:w="180" w:type="dxa"/>
            </w:tcMar>
            <w:vAlign w:val="center"/>
            <w:hideMark/>
          </w:tcPr>
          <w:p w14:paraId="156821A3" w14:textId="77777777" w:rsidR="00670567" w:rsidRPr="00C42458" w:rsidRDefault="00670567" w:rsidP="00670567">
            <w:pPr>
              <w:rPr>
                <w:sz w:val="21"/>
                <w:szCs w:val="22"/>
              </w:rPr>
            </w:pPr>
            <w:r w:rsidRPr="00C42458">
              <w:rPr>
                <w:sz w:val="21"/>
                <w:szCs w:val="22"/>
              </w:rPr>
              <w:t>众多专业数据服务商、大型互联网企业自有数据</w:t>
            </w:r>
          </w:p>
        </w:tc>
        <w:tc>
          <w:tcPr>
            <w:tcW w:w="3130" w:type="dxa"/>
            <w:shd w:val="clear" w:color="auto" w:fill="FFFFFF"/>
            <w:tcMar>
              <w:top w:w="135" w:type="dxa"/>
              <w:left w:w="180" w:type="dxa"/>
              <w:bottom w:w="135" w:type="dxa"/>
              <w:right w:w="180" w:type="dxa"/>
            </w:tcMar>
            <w:vAlign w:val="center"/>
            <w:hideMark/>
          </w:tcPr>
          <w:p w14:paraId="56DF185F" w14:textId="77777777" w:rsidR="00670567" w:rsidRPr="00C42458" w:rsidRDefault="00670567" w:rsidP="00670567">
            <w:pPr>
              <w:rPr>
                <w:sz w:val="21"/>
                <w:szCs w:val="22"/>
              </w:rPr>
            </w:pPr>
            <w:r w:rsidRPr="00C42458">
              <w:rPr>
                <w:sz w:val="21"/>
                <w:szCs w:val="22"/>
              </w:rPr>
              <w:t>多模态数据需求激增；数据合规、隐私保护要求日益严格；自动化标注技术发展。</w:t>
            </w:r>
          </w:p>
        </w:tc>
      </w:tr>
      <w:tr w:rsidR="00670567" w:rsidRPr="00670567" w14:paraId="45F07390" w14:textId="77777777" w:rsidTr="00670567">
        <w:tc>
          <w:tcPr>
            <w:tcW w:w="1573" w:type="dxa"/>
            <w:shd w:val="clear" w:color="auto" w:fill="FFFFFF"/>
            <w:tcMar>
              <w:top w:w="135" w:type="dxa"/>
              <w:left w:w="180" w:type="dxa"/>
              <w:bottom w:w="135" w:type="dxa"/>
              <w:right w:w="180" w:type="dxa"/>
            </w:tcMar>
            <w:vAlign w:val="center"/>
            <w:hideMark/>
          </w:tcPr>
          <w:p w14:paraId="4A762B9C" w14:textId="77777777" w:rsidR="00670567" w:rsidRPr="00C42458" w:rsidRDefault="00670567" w:rsidP="00670567">
            <w:pPr>
              <w:rPr>
                <w:sz w:val="21"/>
                <w:szCs w:val="22"/>
              </w:rPr>
            </w:pPr>
            <w:r w:rsidRPr="00C42458">
              <w:rPr>
                <w:b/>
                <w:bCs/>
                <w:sz w:val="21"/>
                <w:szCs w:val="22"/>
              </w:rPr>
              <w:t>关键基础设施</w:t>
            </w:r>
          </w:p>
        </w:tc>
        <w:tc>
          <w:tcPr>
            <w:tcW w:w="0" w:type="auto"/>
            <w:shd w:val="clear" w:color="auto" w:fill="FFFFFF"/>
            <w:tcMar>
              <w:top w:w="135" w:type="dxa"/>
              <w:left w:w="180" w:type="dxa"/>
              <w:bottom w:w="135" w:type="dxa"/>
              <w:right w:w="180" w:type="dxa"/>
            </w:tcMar>
            <w:vAlign w:val="center"/>
            <w:hideMark/>
          </w:tcPr>
          <w:p w14:paraId="3273D9A9" w14:textId="77777777" w:rsidR="00670567" w:rsidRPr="00C42458" w:rsidRDefault="00670567" w:rsidP="00670567">
            <w:pPr>
              <w:rPr>
                <w:sz w:val="21"/>
                <w:szCs w:val="22"/>
              </w:rPr>
            </w:pPr>
            <w:r w:rsidRPr="00C42458">
              <w:rPr>
                <w:sz w:val="21"/>
                <w:szCs w:val="22"/>
              </w:rPr>
              <w:t>光模块、交换机、液冷、电力</w:t>
            </w:r>
          </w:p>
        </w:tc>
        <w:tc>
          <w:tcPr>
            <w:tcW w:w="0" w:type="auto"/>
            <w:shd w:val="clear" w:color="auto" w:fill="FFFFFF"/>
            <w:tcMar>
              <w:top w:w="135" w:type="dxa"/>
              <w:left w:w="180" w:type="dxa"/>
              <w:bottom w:w="135" w:type="dxa"/>
              <w:right w:w="180" w:type="dxa"/>
            </w:tcMar>
            <w:vAlign w:val="center"/>
            <w:hideMark/>
          </w:tcPr>
          <w:p w14:paraId="21720801" w14:textId="77777777" w:rsidR="00670567" w:rsidRPr="00C42458" w:rsidRDefault="00670567" w:rsidP="00670567">
            <w:pPr>
              <w:rPr>
                <w:sz w:val="21"/>
                <w:szCs w:val="22"/>
              </w:rPr>
            </w:pPr>
            <w:r w:rsidRPr="00C42458">
              <w:rPr>
                <w:sz w:val="21"/>
                <w:szCs w:val="22"/>
              </w:rPr>
              <w:t>中际旭创、新易盛、英维克等</w:t>
            </w:r>
          </w:p>
        </w:tc>
        <w:tc>
          <w:tcPr>
            <w:tcW w:w="3130" w:type="dxa"/>
            <w:shd w:val="clear" w:color="auto" w:fill="FFFFFF"/>
            <w:tcMar>
              <w:top w:w="135" w:type="dxa"/>
              <w:left w:w="180" w:type="dxa"/>
              <w:bottom w:w="135" w:type="dxa"/>
              <w:right w:w="180" w:type="dxa"/>
            </w:tcMar>
            <w:vAlign w:val="center"/>
            <w:hideMark/>
          </w:tcPr>
          <w:p w14:paraId="2EA9DF83" w14:textId="77777777" w:rsidR="00670567" w:rsidRPr="00C42458" w:rsidRDefault="00670567" w:rsidP="00670567">
            <w:pPr>
              <w:rPr>
                <w:sz w:val="21"/>
                <w:szCs w:val="22"/>
              </w:rPr>
            </w:pPr>
            <w:r w:rsidRPr="00C42458">
              <w:rPr>
                <w:sz w:val="21"/>
                <w:szCs w:val="22"/>
              </w:rPr>
              <w:t>伴随算力密度提升，高速光互联与高效散热方案成为瓶颈突破点。</w:t>
            </w:r>
          </w:p>
        </w:tc>
      </w:tr>
    </w:tbl>
    <w:p w14:paraId="46734701" w14:textId="77777777" w:rsidR="00670567" w:rsidRPr="00670567" w:rsidRDefault="00670567" w:rsidP="00DC3515">
      <w:pPr>
        <w:rPr>
          <w:rFonts w:hint="eastAsia"/>
        </w:rPr>
      </w:pPr>
    </w:p>
    <w:p w14:paraId="07B3936F" w14:textId="7EAAD90E" w:rsidR="00D711DA" w:rsidRDefault="00D711DA" w:rsidP="00D711DA">
      <w:pPr>
        <w:pStyle w:val="3"/>
        <w:rPr>
          <w:rFonts w:hint="eastAsia"/>
        </w:rPr>
      </w:pPr>
      <w:r>
        <w:rPr>
          <w:rFonts w:hint="eastAsia"/>
        </w:rPr>
        <w:t>中游：模型与平台核心</w:t>
      </w:r>
    </w:p>
    <w:p w14:paraId="1A674820" w14:textId="764D1C8D" w:rsidR="00D711DA" w:rsidRDefault="00D711DA" w:rsidP="00D711DA">
      <w:pPr>
        <w:rPr>
          <w:rFonts w:hint="eastAsia"/>
        </w:rPr>
      </w:pPr>
      <w:r>
        <w:rPr>
          <w:rFonts w:hint="eastAsia"/>
        </w:rPr>
        <w:t>中游产业链是大模型产业的技术中枢和价值创造核心，聚焦于基础大模型的研发、训练、优化以及将其能力标准化输出的平台服务。这一层直接决定了产业智能水平的上限和商业化拓展的广度。</w:t>
      </w:r>
    </w:p>
    <w:p w14:paraId="0746A408" w14:textId="77777777" w:rsidR="00D711DA" w:rsidRDefault="00D711DA" w:rsidP="00D711DA">
      <w:pPr>
        <w:pStyle w:val="4"/>
        <w:rPr>
          <w:rFonts w:hint="eastAsia"/>
        </w:rPr>
      </w:pPr>
      <w:r>
        <w:rPr>
          <w:rFonts w:hint="eastAsia"/>
        </w:rPr>
        <w:lastRenderedPageBreak/>
        <w:t>1. 核心构成与竞争格局</w:t>
      </w:r>
    </w:p>
    <w:p w14:paraId="3ACAFCC5" w14:textId="3DE9FC37" w:rsidR="00D711DA" w:rsidRDefault="00D711DA" w:rsidP="00D711DA">
      <w:pPr>
        <w:rPr>
          <w:rFonts w:hint="eastAsia"/>
        </w:rPr>
      </w:pPr>
      <w:r>
        <w:rPr>
          <w:rFonts w:hint="eastAsia"/>
        </w:rPr>
        <w:t>中游已形成多元化的竞争生态，参与者主要包括独立大模型厂商、互联网科技巨头以及开源社区。</w:t>
      </w:r>
    </w:p>
    <w:p w14:paraId="184FF6CC" w14:textId="423DA35C" w:rsidR="00D711DA" w:rsidRDefault="00D711DA" w:rsidP="00D711DA">
      <w:pPr>
        <w:rPr>
          <w:rFonts w:hint="eastAsia"/>
        </w:rPr>
      </w:pPr>
      <w:r>
        <w:rPr>
          <w:rFonts w:hint="eastAsia"/>
        </w:rPr>
        <w:t>模型层（核心引擎）致力于研发通用或垂直领域的大模型。全球范围内，OpenAI、Google、Anthropic等处于闭源模型领先地位，Meta的Llama系列则激活了开源生态。中国已形成独特发展路径，头部厂商在文本和多模态理解与生成、深度推理等核心能力上已对标国际顶尖水平，形成了技术演进与场景协同并进的局面。当前，高性能模型研发已收敛至少数厂商，技术迭代呈现非线性跃升态势。</w:t>
      </w:r>
    </w:p>
    <w:p w14:paraId="4EBBB2CC" w14:textId="51B0DA7C" w:rsidR="00D711DA" w:rsidRDefault="00D711DA" w:rsidP="00D711DA">
      <w:pPr>
        <w:rPr>
          <w:rFonts w:hint="eastAsia"/>
        </w:rPr>
      </w:pPr>
      <w:r>
        <w:rPr>
          <w:rFonts w:hint="eastAsia"/>
        </w:rPr>
        <w:t>平台/服务层提供模型即服务（MaaS）、API接口、私有化部署工具及开发者生态。这一层降低了应用开发门槛，是连接底层模型与上层应用的关键桥梁。例如，</w:t>
      </w:r>
      <w:r w:rsidR="002D2712">
        <w:rPr>
          <w:rFonts w:hint="eastAsia"/>
        </w:rPr>
        <w:t>DeepSeek，</w:t>
      </w:r>
      <w:r>
        <w:rPr>
          <w:rFonts w:hint="eastAsia"/>
        </w:rPr>
        <w:t>智谱</w:t>
      </w:r>
      <w:r w:rsidR="002D2712">
        <w:rPr>
          <w:rFonts w:hint="eastAsia"/>
        </w:rPr>
        <w:t>，kimi，阶跃星辰，</w:t>
      </w:r>
      <w:r>
        <w:rPr>
          <w:rFonts w:hint="eastAsia"/>
        </w:rPr>
        <w:t>和MiniMax均通过API、订阅、私有化部署等多种形式向客户输出大模型技术服务。</w:t>
      </w:r>
    </w:p>
    <w:p w14:paraId="11C708EA" w14:textId="77777777" w:rsidR="00D711DA" w:rsidRDefault="00D711DA" w:rsidP="002D2712">
      <w:pPr>
        <w:pStyle w:val="4"/>
        <w:rPr>
          <w:rFonts w:hint="eastAsia"/>
        </w:rPr>
      </w:pPr>
      <w:r>
        <w:rPr>
          <w:rFonts w:hint="eastAsia"/>
        </w:rPr>
        <w:t>2. 发展趋势与商业模式演进</w:t>
      </w:r>
    </w:p>
    <w:p w14:paraId="71CA36B0" w14:textId="12940BF9" w:rsidR="00D711DA" w:rsidRDefault="00D711DA" w:rsidP="00D711DA">
      <w:pPr>
        <w:rPr>
          <w:rFonts w:hint="eastAsia"/>
        </w:rPr>
      </w:pPr>
      <w:r>
        <w:rPr>
          <w:rFonts w:hint="eastAsia"/>
        </w:rPr>
        <w:t>中游产业正从早期的“参数竞赛”和“技术叙事”阶段，全面转向“商业化效率”与“落地能力”竞争阶段。</w:t>
      </w:r>
    </w:p>
    <w:p w14:paraId="75A0FE10" w14:textId="37C37346" w:rsidR="00D711DA" w:rsidRDefault="00D711DA" w:rsidP="00D711DA">
      <w:pPr>
        <w:rPr>
          <w:rFonts w:hint="eastAsia"/>
        </w:rPr>
      </w:pPr>
      <w:r>
        <w:rPr>
          <w:rFonts w:hint="eastAsia"/>
        </w:rPr>
        <w:t>技术范式演进</w:t>
      </w:r>
      <w:r w:rsidR="006E3EE6">
        <w:rPr>
          <w:rFonts w:hint="eastAsia"/>
        </w:rPr>
        <w:t>上，</w:t>
      </w:r>
      <w:r>
        <w:rPr>
          <w:rFonts w:hint="eastAsia"/>
        </w:rPr>
        <w:t>技术重点从单纯扩大参数规模，转向强化推理能力（思维链CoT）、多模态融合以及智能体（Agent）基础能力建设。多智能体协作、</w:t>
      </w:r>
      <w:r w:rsidR="00C162B2">
        <w:rPr>
          <w:rFonts w:hint="eastAsia"/>
        </w:rPr>
        <w:t>本地网关和cli工具操作能力、</w:t>
      </w:r>
      <w:r>
        <w:rPr>
          <w:rFonts w:hint="eastAsia"/>
        </w:rPr>
        <w:t>长记忆</w:t>
      </w:r>
      <w:r w:rsidR="00C162B2">
        <w:rPr>
          <w:rFonts w:hint="eastAsia"/>
        </w:rPr>
        <w:t>、长文本</w:t>
      </w:r>
      <w:r>
        <w:rPr>
          <w:rFonts w:hint="eastAsia"/>
        </w:rPr>
        <w:t>、自主任务执行等</w:t>
      </w:r>
      <w:r w:rsidR="00C162B2">
        <w:rPr>
          <w:rFonts w:hint="eastAsia"/>
        </w:rPr>
        <w:t>正在</w:t>
      </w:r>
      <w:r>
        <w:rPr>
          <w:rFonts w:hint="eastAsia"/>
        </w:rPr>
        <w:t>成为模型的底层标配。</w:t>
      </w:r>
    </w:p>
    <w:p w14:paraId="3C3F9D08" w14:textId="4956E011" w:rsidR="00D711DA" w:rsidRDefault="00D711DA" w:rsidP="00D711DA">
      <w:pPr>
        <w:rPr>
          <w:rFonts w:hint="eastAsia"/>
        </w:rPr>
      </w:pPr>
      <w:r>
        <w:rPr>
          <w:rFonts w:hint="eastAsia"/>
        </w:rPr>
        <w:t>商业模式分化与探索主要呈现两种路径：</w:t>
      </w:r>
      <w:commentRangeStart w:id="1"/>
      <w:r>
        <w:rPr>
          <w:rFonts w:hint="eastAsia"/>
        </w:rPr>
        <w:t>一是以智谱为代表的To B深度定制模式，聚焦政企信创市场，通过私有化部署和行业定制获取收入，毛利率较高（1H25达50%），但规模化难度大；二是以MiniMax为代表的To C产品化与全球化模式，收入超70%来自C端，全球化特征突出，通过标准化API和订阅服务实现快速扩张，但毛利率相对较低（2025年为25.4%）。</w:t>
      </w:r>
      <w:commentRangeEnd w:id="1"/>
      <w:r w:rsidR="006E3EE6">
        <w:rPr>
          <w:rStyle w:val="af7"/>
          <w:rFonts w:hint="eastAsia"/>
          <w:sz w:val="22"/>
          <w:szCs w:val="24"/>
        </w:rPr>
        <w:commentReference w:id="1"/>
      </w:r>
    </w:p>
    <w:p w14:paraId="0DF9AAF0" w14:textId="4D9CCFE9" w:rsidR="00D711DA" w:rsidRDefault="00D711DA" w:rsidP="00D711DA">
      <w:r>
        <w:rPr>
          <w:rFonts w:hint="eastAsia"/>
        </w:rPr>
        <w:t>盈利拐点成为焦点：资本市场关注点已转向收入质量、毛利率改善及清晰的盈利拐点预期。尽管行业仍普遍亏损，但头部公司已展示出强劲的收入增长。例如，MiniMax的年度经常性收入（ARR）在2026年2月已超过1.5亿美元，标志着从“烧钱投入期”向“价值兑现期”的过渡。</w:t>
      </w:r>
    </w:p>
    <w:p w14:paraId="54BE3CC4" w14:textId="77777777" w:rsidR="00D711DA" w:rsidRDefault="00D711DA" w:rsidP="00D711DA"/>
    <w:p w14:paraId="7DB8148B" w14:textId="3AC9B1DB" w:rsidR="001F2331" w:rsidRDefault="001F2331" w:rsidP="001F2331">
      <w:pPr>
        <w:pStyle w:val="3"/>
      </w:pPr>
      <w:r>
        <w:rPr>
          <w:rFonts w:hint="eastAsia"/>
        </w:rPr>
        <w:t>下游：应用与产品落地</w:t>
      </w:r>
    </w:p>
    <w:p w14:paraId="59BC991A" w14:textId="08DF97B4" w:rsidR="001F2331" w:rsidRDefault="001F2331" w:rsidP="001F2331">
      <w:pPr>
        <w:pStyle w:val="4"/>
        <w:rPr>
          <w:rFonts w:hint="eastAsia"/>
        </w:rPr>
      </w:pPr>
      <w:r>
        <w:rPr>
          <w:rFonts w:hint="eastAsia"/>
        </w:rPr>
        <w:t>1. 核心</w:t>
      </w:r>
      <w:r>
        <w:rPr>
          <w:rFonts w:hint="eastAsia"/>
        </w:rPr>
        <w:t>构成</w:t>
      </w:r>
    </w:p>
    <w:p w14:paraId="476C00D3" w14:textId="04CB7C42" w:rsidR="001F2331" w:rsidRDefault="001F2331" w:rsidP="001F2331">
      <w:pPr>
        <w:rPr>
          <w:rFonts w:hint="eastAsia"/>
        </w:rPr>
      </w:pPr>
      <w:r>
        <w:rPr>
          <w:rFonts w:hint="eastAsia"/>
        </w:rPr>
        <w:t>大模型应用正以前所未有的速度向各行业渗透，形成从通用工具到行业专有解决方案</w:t>
      </w:r>
      <w:r>
        <w:rPr>
          <w:rFonts w:hint="eastAsia"/>
        </w:rPr>
        <w:lastRenderedPageBreak/>
        <w:t>的矩阵。</w:t>
      </w:r>
    </w:p>
    <w:p w14:paraId="15688409" w14:textId="0D6A955F" w:rsidR="001F2331" w:rsidRDefault="001F2331" w:rsidP="001F2331">
      <w:pPr>
        <w:rPr>
          <w:rFonts w:hint="eastAsia"/>
        </w:rPr>
      </w:pPr>
      <w:r>
        <w:rPr>
          <w:rFonts w:hint="eastAsia"/>
        </w:rPr>
        <w:t>To B（企业服务）场景：这是当前商业化落地最稳健、确定性最强的领域。金融、政务、医疗、制造、电商等行业是主力军。应用包括智能客服、代码辅助开发、智能营销、办公自动化、辅助诊断、生产流程优化等。这些场景付费意愿强，能够承接算力成本。</w:t>
      </w:r>
    </w:p>
    <w:p w14:paraId="659DF787" w14:textId="4CF10320" w:rsidR="001F2331" w:rsidRDefault="001F2331" w:rsidP="001F2331">
      <w:pPr>
        <w:rPr>
          <w:rFonts w:hint="eastAsia"/>
        </w:rPr>
      </w:pPr>
      <w:r>
        <w:rPr>
          <w:rFonts w:hint="eastAsia"/>
        </w:rPr>
        <w:t>To C（消费者）场景：包括AI聊天助手（如豆包、文心一言）、AIGC内容生成工具（文生图、视频生成）、AI社交、个人学习助理等。该模式想象空间大，但受巨头流量把控影响，独立厂商在国内的生存空间被压缩，出海机会更大。</w:t>
      </w:r>
    </w:p>
    <w:p w14:paraId="782DE0F6" w14:textId="26894308" w:rsidR="001F2331" w:rsidRDefault="001F2331" w:rsidP="001F2331">
      <w:pPr>
        <w:rPr>
          <w:rFonts w:hint="eastAsia"/>
        </w:rPr>
      </w:pPr>
      <w:r>
        <w:rPr>
          <w:rFonts w:hint="eastAsia"/>
        </w:rPr>
        <w:t>AI智能体（Agent）：这是下游应用演进的重要方向。智能体不再是简单的问答机器人，而是能理解复杂指令、自主规划、调用工具完成任务的“数字员工”。其应用将Token消耗量提升了一个数量级，极大地拉动了中游模型调用和上游推理算力需求。例如，开源项目OpenClaw（“龙虾”）的流行，直接带动了国产大模型调用量的激增。</w:t>
      </w:r>
    </w:p>
    <w:p w14:paraId="131C454A" w14:textId="258626BF" w:rsidR="001F2331" w:rsidRDefault="001F2331" w:rsidP="001F2331">
      <w:pPr>
        <w:rPr>
          <w:rFonts w:hint="eastAsia"/>
        </w:rPr>
      </w:pPr>
      <w:r>
        <w:rPr>
          <w:rFonts w:hint="eastAsia"/>
        </w:rPr>
        <w:t>端侧AI：随着模型轻量化技术的发展，大模型正部署到手机、汽车、IoT设备等终端，实现低延迟、高隐私的本地化智能服务，开辟了新的市场空间。</w:t>
      </w:r>
    </w:p>
    <w:p w14:paraId="3E9AEE8A" w14:textId="77777777" w:rsidR="001F2331" w:rsidRDefault="001F2331" w:rsidP="00E2535F">
      <w:pPr>
        <w:pStyle w:val="4"/>
        <w:rPr>
          <w:rFonts w:hint="eastAsia"/>
        </w:rPr>
      </w:pPr>
      <w:r>
        <w:rPr>
          <w:rFonts w:hint="eastAsia"/>
        </w:rPr>
        <w:t>2. 发展趋势与投资启示</w:t>
      </w:r>
    </w:p>
    <w:p w14:paraId="0D6B981F" w14:textId="27285687" w:rsidR="001F2331" w:rsidRDefault="001F2331" w:rsidP="001F2331">
      <w:pPr>
        <w:rPr>
          <w:rFonts w:hint="eastAsia"/>
        </w:rPr>
      </w:pPr>
      <w:r>
        <w:rPr>
          <w:rFonts w:hint="eastAsia"/>
        </w:rPr>
        <w:t>下游应用的发展正深刻改变整个产业链的价值分配和增长逻辑。</w:t>
      </w:r>
    </w:p>
    <w:p w14:paraId="73B7984D" w14:textId="518C519C" w:rsidR="001F2331" w:rsidRDefault="001F2331" w:rsidP="001F2331">
      <w:pPr>
        <w:rPr>
          <w:rFonts w:hint="eastAsia"/>
        </w:rPr>
      </w:pPr>
      <w:r>
        <w:rPr>
          <w:rFonts w:hint="eastAsia"/>
        </w:rPr>
        <w:t>应用模式变革驱动需求暴涨：从“问答式”交互到“智能体”持续执行任务的模式转变，使得单次会话的Token消耗呈几何级数增长。这是推动2026年初国产大模型周调用量突破5万亿Token、并首次超越美国的核心原因。</w:t>
      </w:r>
    </w:p>
    <w:p w14:paraId="655AC745" w14:textId="0F239BFA" w:rsidR="001F2331" w:rsidRDefault="001F2331" w:rsidP="001F2331">
      <w:pPr>
        <w:rPr>
          <w:rFonts w:hint="eastAsia"/>
        </w:rPr>
      </w:pPr>
      <w:r>
        <w:rPr>
          <w:rFonts w:hint="eastAsia"/>
        </w:rPr>
        <w:t>“应用成功反哺全产业链”逻辑验证：一个成功的下游应用（如“龙虾”智能体）会像多米诺骨牌一样，强力拉动中游模型调用和上游算力需求，验证了“应用-模型-算力”的产业增长飞轮。</w:t>
      </w:r>
    </w:p>
    <w:p w14:paraId="019D7978" w14:textId="77777777" w:rsidR="00D711DA" w:rsidRDefault="00D711DA" w:rsidP="00D711DA">
      <w:pPr>
        <w:rPr>
          <w:rFonts w:hint="eastAsia"/>
        </w:rPr>
      </w:pPr>
    </w:p>
    <w:p w14:paraId="1A24EF15" w14:textId="4D2DEC6F" w:rsidR="00A973A2" w:rsidRDefault="00A27798" w:rsidP="00A27798">
      <w:pPr>
        <w:pStyle w:val="2"/>
      </w:pPr>
      <w:r>
        <w:rPr>
          <w:rFonts w:hint="eastAsia"/>
        </w:rPr>
        <w:t>商业模式</w:t>
      </w:r>
      <w:r w:rsidR="00285142">
        <w:rPr>
          <w:rFonts w:hint="eastAsia"/>
        </w:rPr>
        <w:t xml:space="preserve"> 也是半√，待修</w:t>
      </w:r>
    </w:p>
    <w:p w14:paraId="6173F22D" w14:textId="38F5887A" w:rsidR="00A27798" w:rsidRDefault="00B23F1D" w:rsidP="00A27798">
      <w:r w:rsidRPr="00B23F1D">
        <w:rPr>
          <w:b/>
          <w:bCs/>
        </w:rPr>
        <w:t>商业模式</w:t>
      </w:r>
      <w:r w:rsidRPr="00B23F1D">
        <w:t>描述的是企业创造、传递和捕获价值的底层逻辑。它关注的是</w:t>
      </w:r>
      <w:r w:rsidRPr="00B23F1D">
        <w:rPr>
          <w:b/>
          <w:bCs/>
        </w:rPr>
        <w:t>机制</w:t>
      </w:r>
      <w:r w:rsidRPr="00B23F1D">
        <w:t>——你向谁收钱、收什么钱、凭什么能收上来、成本花在哪里、护城河在哪里。比如大模型行业同时存在几种商业模式：OpenAI 的订阅制（ChatGPT Plus）加 API 按量计费；DeepSeek 的低价 API 加开源生态渗透；Anthropic 的企业级 Claude for Work 按席位收费；以及一些厂商试图做的 Agent 平台抽成。这些模式可以在</w:t>
      </w:r>
      <w:r w:rsidRPr="00B23F1D">
        <w:rPr>
          <w:b/>
          <w:bCs/>
        </w:rPr>
        <w:t>同一商业化阶段内并存</w:t>
      </w:r>
      <w:r w:rsidRPr="00B23F1D">
        <w:t>，也可以被同一企业在不同阶段切换。</w:t>
      </w:r>
    </w:p>
    <w:p w14:paraId="08ED7527" w14:textId="77777777" w:rsidR="00A27798" w:rsidRPr="00A27798" w:rsidRDefault="00A27798" w:rsidP="00A27798">
      <w:pPr>
        <w:rPr>
          <w:rFonts w:hint="eastAsia"/>
        </w:rPr>
      </w:pPr>
    </w:p>
    <w:p w14:paraId="7756D008" w14:textId="77777777" w:rsidR="00A27798" w:rsidRDefault="00A27798" w:rsidP="00A27798">
      <w:pPr>
        <w:rPr>
          <w:rFonts w:hint="eastAsia"/>
        </w:rPr>
      </w:pPr>
      <w:r>
        <w:rPr>
          <w:rFonts w:hint="eastAsia"/>
        </w:rPr>
        <w:t>大模型商业化目前形成三条清晰路径：API调用（MaaS）、订阅制（SaaS）和私有化部</w:t>
      </w:r>
      <w:r>
        <w:rPr>
          <w:rFonts w:hint="eastAsia"/>
        </w:rPr>
        <w:lastRenderedPageBreak/>
        <w:t>署（On-Premise），各自面向不同客群和使用场景。</w:t>
      </w:r>
    </w:p>
    <w:p w14:paraId="5877AA15" w14:textId="77777777" w:rsidR="00A27798" w:rsidRDefault="00A27798" w:rsidP="00A27798">
      <w:pPr>
        <w:rPr>
          <w:rFonts w:hint="eastAsia"/>
        </w:rPr>
      </w:pPr>
      <w:r>
        <w:rPr>
          <w:rFonts w:hint="eastAsia"/>
        </w:rPr>
        <w:t>API调用是最核心的变现方式，按token计费，input/output分别定价。一般input更便宜，output更贵，input价格为output的三分之一到十数分之一。客户包括开发者、企业应用集成商和SaaS厂商。2024年Enterprise LLM市场中，云端部署占比约49%，API调用是其中的主导形式。各厂商通过持续降价扩大采用规模：OpenAI GPT-4 Turbo在2023年末定价$10/$30（/前为输入价格，后为输出价格，下同）每百万token，而2026年GPT-5.4已降至$2.50/$15 每百万token。Epoch AI研究显示，同等性能水平的推理价格以每年约5-10倍的速度下降。</w:t>
      </w:r>
    </w:p>
    <w:tbl>
      <w:tblPr>
        <w:tblStyle w:val="af2"/>
        <w:tblW w:w="0" w:type="auto"/>
        <w:tblLook w:val="04A0" w:firstRow="1" w:lastRow="0" w:firstColumn="1" w:lastColumn="0" w:noHBand="0" w:noVBand="1"/>
      </w:tblPr>
      <w:tblGrid>
        <w:gridCol w:w="2369"/>
        <w:gridCol w:w="2241"/>
        <w:gridCol w:w="1824"/>
        <w:gridCol w:w="1862"/>
      </w:tblGrid>
      <w:tr w:rsidR="00A27798" w:rsidRPr="00B4783E" w14:paraId="05342AD8" w14:textId="77777777" w:rsidTr="003E5A53">
        <w:trPr>
          <w:trHeight w:val="300"/>
        </w:trPr>
        <w:tc>
          <w:tcPr>
            <w:tcW w:w="2369" w:type="dxa"/>
            <w:hideMark/>
          </w:tcPr>
          <w:p w14:paraId="01C4C61E" w14:textId="77777777" w:rsidR="00A27798" w:rsidRPr="00B4783E" w:rsidRDefault="00A27798" w:rsidP="003E5A53">
            <w:pPr>
              <w:spacing w:after="160" w:line="278" w:lineRule="auto"/>
              <w:rPr>
                <w:rFonts w:hint="eastAsia"/>
                <w:b/>
                <w:bCs/>
              </w:rPr>
            </w:pPr>
            <w:r w:rsidRPr="00B4783E">
              <w:rPr>
                <w:b/>
                <w:bCs/>
              </w:rPr>
              <w:t>数据来源</w:t>
            </w:r>
          </w:p>
        </w:tc>
        <w:tc>
          <w:tcPr>
            <w:tcW w:w="2241" w:type="dxa"/>
            <w:hideMark/>
          </w:tcPr>
          <w:p w14:paraId="74F1223F" w14:textId="77777777" w:rsidR="00A27798" w:rsidRPr="00B4783E" w:rsidRDefault="00A27798" w:rsidP="003E5A53">
            <w:pPr>
              <w:spacing w:after="160" w:line="278" w:lineRule="auto"/>
              <w:rPr>
                <w:rFonts w:hint="eastAsia"/>
                <w:b/>
                <w:bCs/>
              </w:rPr>
            </w:pPr>
            <w:r w:rsidRPr="00B4783E">
              <w:rPr>
                <w:b/>
                <w:bCs/>
              </w:rPr>
              <w:t>时间窗口</w:t>
            </w:r>
          </w:p>
        </w:tc>
        <w:tc>
          <w:tcPr>
            <w:tcW w:w="1824" w:type="dxa"/>
            <w:hideMark/>
          </w:tcPr>
          <w:p w14:paraId="61BBB150" w14:textId="77777777" w:rsidR="00A27798" w:rsidRPr="00B4783E" w:rsidRDefault="00A27798" w:rsidP="003E5A53">
            <w:pPr>
              <w:spacing w:after="160" w:line="278" w:lineRule="auto"/>
              <w:rPr>
                <w:rFonts w:hint="eastAsia"/>
                <w:b/>
                <w:bCs/>
              </w:rPr>
            </w:pPr>
            <w:r w:rsidRPr="00B4783E">
              <w:rPr>
                <w:b/>
                <w:bCs/>
              </w:rPr>
              <w:t>降幅</w:t>
            </w:r>
          </w:p>
        </w:tc>
        <w:tc>
          <w:tcPr>
            <w:tcW w:w="1862" w:type="dxa"/>
            <w:hideMark/>
          </w:tcPr>
          <w:p w14:paraId="788E4684" w14:textId="77777777" w:rsidR="00A27798" w:rsidRPr="00B4783E" w:rsidRDefault="00A27798" w:rsidP="003E5A53">
            <w:pPr>
              <w:spacing w:after="160" w:line="278" w:lineRule="auto"/>
              <w:rPr>
                <w:rFonts w:hint="eastAsia"/>
                <w:b/>
                <w:bCs/>
              </w:rPr>
            </w:pPr>
            <w:r w:rsidRPr="00B4783E">
              <w:rPr>
                <w:b/>
                <w:bCs/>
              </w:rPr>
              <w:t>备注</w:t>
            </w:r>
          </w:p>
        </w:tc>
      </w:tr>
      <w:tr w:rsidR="00A27798" w:rsidRPr="00B4783E" w14:paraId="4956012A" w14:textId="77777777" w:rsidTr="003E5A53">
        <w:trPr>
          <w:trHeight w:val="585"/>
        </w:trPr>
        <w:tc>
          <w:tcPr>
            <w:tcW w:w="2369" w:type="dxa"/>
            <w:hideMark/>
          </w:tcPr>
          <w:p w14:paraId="3D5C61BB" w14:textId="77777777" w:rsidR="00A27798" w:rsidRPr="00B4783E" w:rsidRDefault="00A27798" w:rsidP="003E5A53">
            <w:pPr>
              <w:spacing w:after="160" w:line="278" w:lineRule="auto"/>
              <w:rPr>
                <w:rFonts w:hint="eastAsia"/>
                <w:b/>
                <w:bCs/>
              </w:rPr>
            </w:pPr>
            <w:r w:rsidRPr="00B4783E">
              <w:rPr>
                <w:b/>
                <w:bCs/>
              </w:rPr>
              <w:t>Epoch AI / arXiv 论文</w:t>
            </w:r>
          </w:p>
        </w:tc>
        <w:tc>
          <w:tcPr>
            <w:tcW w:w="2241" w:type="dxa"/>
            <w:hideMark/>
          </w:tcPr>
          <w:p w14:paraId="1C1E24CB" w14:textId="77777777" w:rsidR="00A27798" w:rsidRPr="00B4783E" w:rsidRDefault="00A27798" w:rsidP="003E5A53">
            <w:pPr>
              <w:spacing w:after="160" w:line="278" w:lineRule="auto"/>
              <w:rPr>
                <w:rFonts w:hint="eastAsia"/>
              </w:rPr>
            </w:pPr>
            <w:r w:rsidRPr="00B4783E">
              <w:t>2024–2025</w:t>
            </w:r>
          </w:p>
        </w:tc>
        <w:tc>
          <w:tcPr>
            <w:tcW w:w="1824" w:type="dxa"/>
            <w:hideMark/>
          </w:tcPr>
          <w:p w14:paraId="4B763BC3" w14:textId="77777777" w:rsidR="00A27798" w:rsidRPr="00B4783E" w:rsidRDefault="00A27798" w:rsidP="003E5A53">
            <w:pPr>
              <w:spacing w:after="160" w:line="278" w:lineRule="auto"/>
              <w:rPr>
                <w:rFonts w:hint="eastAsia"/>
                <w:b/>
                <w:bCs/>
              </w:rPr>
            </w:pPr>
            <w:r w:rsidRPr="00B4783E">
              <w:rPr>
                <w:b/>
                <w:bCs/>
              </w:rPr>
              <w:t>5-10倍/年</w:t>
            </w:r>
          </w:p>
        </w:tc>
        <w:tc>
          <w:tcPr>
            <w:tcW w:w="1862" w:type="dxa"/>
            <w:hideMark/>
          </w:tcPr>
          <w:p w14:paraId="11DF94A4" w14:textId="77777777" w:rsidR="00A27798" w:rsidRPr="00B4783E" w:rsidRDefault="00A27798" w:rsidP="003E5A53">
            <w:pPr>
              <w:spacing w:after="160" w:line="278" w:lineRule="auto"/>
              <w:rPr>
                <w:rFonts w:hint="eastAsia"/>
              </w:rPr>
            </w:pPr>
            <w:r w:rsidRPr="00B4783E">
              <w:t>控制性能水平后的回归估计 </w:t>
            </w:r>
          </w:p>
        </w:tc>
      </w:tr>
      <w:tr w:rsidR="00A27798" w:rsidRPr="00B4783E" w14:paraId="2EEBF951" w14:textId="77777777" w:rsidTr="003E5A53">
        <w:trPr>
          <w:trHeight w:val="585"/>
        </w:trPr>
        <w:tc>
          <w:tcPr>
            <w:tcW w:w="2369" w:type="dxa"/>
            <w:hideMark/>
          </w:tcPr>
          <w:p w14:paraId="03777AD5" w14:textId="77777777" w:rsidR="00A27798" w:rsidRPr="00B4783E" w:rsidRDefault="00A27798" w:rsidP="003E5A53">
            <w:pPr>
              <w:spacing w:after="160" w:line="278" w:lineRule="auto"/>
              <w:rPr>
                <w:rFonts w:hint="eastAsia"/>
              </w:rPr>
            </w:pPr>
            <w:r w:rsidRPr="00B4783E">
              <w:rPr>
                <w:b/>
                <w:bCs/>
              </w:rPr>
              <w:t>Epoch AI / arXiv 论文</w:t>
            </w:r>
          </w:p>
        </w:tc>
        <w:tc>
          <w:tcPr>
            <w:tcW w:w="2241" w:type="dxa"/>
            <w:hideMark/>
          </w:tcPr>
          <w:p w14:paraId="19AFF74D" w14:textId="77777777" w:rsidR="00A27798" w:rsidRPr="00B4783E" w:rsidRDefault="00A27798" w:rsidP="003E5A53">
            <w:pPr>
              <w:spacing w:after="160" w:line="278" w:lineRule="auto"/>
              <w:rPr>
                <w:rFonts w:hint="eastAsia"/>
              </w:rPr>
            </w:pPr>
            <w:r w:rsidRPr="00B4783E">
              <w:t>高端模型</w:t>
            </w:r>
          </w:p>
        </w:tc>
        <w:tc>
          <w:tcPr>
            <w:tcW w:w="1824" w:type="dxa"/>
            <w:hideMark/>
          </w:tcPr>
          <w:p w14:paraId="0EAF081D" w14:textId="77777777" w:rsidR="00A27798" w:rsidRPr="00B4783E" w:rsidRDefault="00A27798" w:rsidP="003E5A53">
            <w:pPr>
              <w:spacing w:after="160" w:line="278" w:lineRule="auto"/>
              <w:rPr>
                <w:rFonts w:hint="eastAsia"/>
                <w:b/>
                <w:bCs/>
              </w:rPr>
            </w:pPr>
            <w:r w:rsidRPr="00B4783E">
              <w:rPr>
                <w:b/>
                <w:bCs/>
              </w:rPr>
              <w:t>~32倍/年</w:t>
            </w:r>
          </w:p>
        </w:tc>
        <w:tc>
          <w:tcPr>
            <w:tcW w:w="1862" w:type="dxa"/>
            <w:hideMark/>
          </w:tcPr>
          <w:p w14:paraId="6BD6EA6B" w14:textId="77777777" w:rsidR="00A27798" w:rsidRPr="00B4783E" w:rsidRDefault="00A27798" w:rsidP="003E5A53">
            <w:pPr>
              <w:spacing w:after="160" w:line="278" w:lineRule="auto"/>
              <w:rPr>
                <w:rFonts w:hint="eastAsia"/>
              </w:rPr>
            </w:pPr>
            <w:r w:rsidRPr="00B4783E">
              <w:t>前沿能力模型降幅更大 </w:t>
            </w:r>
          </w:p>
        </w:tc>
      </w:tr>
      <w:tr w:rsidR="00A27798" w:rsidRPr="00B4783E" w14:paraId="0686C775" w14:textId="77777777" w:rsidTr="003E5A53">
        <w:trPr>
          <w:trHeight w:val="300"/>
        </w:trPr>
        <w:tc>
          <w:tcPr>
            <w:tcW w:w="2369" w:type="dxa"/>
            <w:hideMark/>
          </w:tcPr>
          <w:p w14:paraId="2DC86860" w14:textId="77777777" w:rsidR="00A27798" w:rsidRPr="00B4783E" w:rsidRDefault="00A27798" w:rsidP="003E5A53">
            <w:pPr>
              <w:spacing w:after="160" w:line="278" w:lineRule="auto"/>
              <w:rPr>
                <w:rFonts w:hint="eastAsia"/>
                <w:b/>
                <w:bCs/>
              </w:rPr>
            </w:pPr>
            <w:r w:rsidRPr="00B4783E">
              <w:rPr>
                <w:b/>
                <w:bCs/>
              </w:rPr>
              <w:t>A16z Infrastructure</w:t>
            </w:r>
          </w:p>
        </w:tc>
        <w:tc>
          <w:tcPr>
            <w:tcW w:w="2241" w:type="dxa"/>
            <w:hideMark/>
          </w:tcPr>
          <w:p w14:paraId="7C58FD71" w14:textId="77777777" w:rsidR="00A27798" w:rsidRPr="00B4783E" w:rsidRDefault="00A27798" w:rsidP="003E5A53">
            <w:pPr>
              <w:spacing w:after="160" w:line="278" w:lineRule="auto"/>
              <w:rPr>
                <w:rFonts w:hint="eastAsia"/>
              </w:rPr>
            </w:pPr>
            <w:r w:rsidRPr="00B4783E">
              <w:t>长期趋势</w:t>
            </w:r>
          </w:p>
        </w:tc>
        <w:tc>
          <w:tcPr>
            <w:tcW w:w="1824" w:type="dxa"/>
            <w:hideMark/>
          </w:tcPr>
          <w:p w14:paraId="7CFFDEB2" w14:textId="77777777" w:rsidR="00A27798" w:rsidRPr="00B4783E" w:rsidRDefault="00A27798" w:rsidP="003E5A53">
            <w:pPr>
              <w:spacing w:after="160" w:line="278" w:lineRule="auto"/>
              <w:rPr>
                <w:rFonts w:hint="eastAsia"/>
                <w:b/>
                <w:bCs/>
              </w:rPr>
            </w:pPr>
            <w:r w:rsidRPr="00B4783E">
              <w:rPr>
                <w:b/>
                <w:bCs/>
              </w:rPr>
              <w:t>~10倍/年</w:t>
            </w:r>
          </w:p>
        </w:tc>
        <w:tc>
          <w:tcPr>
            <w:tcW w:w="1862" w:type="dxa"/>
            <w:hideMark/>
          </w:tcPr>
          <w:p w14:paraId="7F0F3C3C" w14:textId="77777777" w:rsidR="00A27798" w:rsidRPr="00B4783E" w:rsidRDefault="00A27798" w:rsidP="003E5A53">
            <w:pPr>
              <w:spacing w:after="160" w:line="278" w:lineRule="auto"/>
              <w:rPr>
                <w:rFonts w:hint="eastAsia"/>
              </w:rPr>
            </w:pPr>
            <w:r w:rsidRPr="00B4783E">
              <w:t>指数下降曲线 </w:t>
            </w:r>
          </w:p>
        </w:tc>
      </w:tr>
      <w:tr w:rsidR="00A27798" w:rsidRPr="00B4783E" w14:paraId="1988EB8F" w14:textId="77777777" w:rsidTr="003E5A53">
        <w:trPr>
          <w:trHeight w:val="585"/>
        </w:trPr>
        <w:tc>
          <w:tcPr>
            <w:tcW w:w="2369" w:type="dxa"/>
            <w:hideMark/>
          </w:tcPr>
          <w:p w14:paraId="7B9E7824" w14:textId="77777777" w:rsidR="00A27798" w:rsidRPr="00B4783E" w:rsidRDefault="00A27798" w:rsidP="003E5A53">
            <w:pPr>
              <w:spacing w:after="160" w:line="278" w:lineRule="auto"/>
              <w:rPr>
                <w:rFonts w:hint="eastAsia"/>
                <w:b/>
                <w:bCs/>
              </w:rPr>
            </w:pPr>
            <w:r w:rsidRPr="00B4783E">
              <w:rPr>
                <w:b/>
                <w:bCs/>
              </w:rPr>
              <w:t>Stanford HAI / 李飞飞实验室</w:t>
            </w:r>
          </w:p>
        </w:tc>
        <w:tc>
          <w:tcPr>
            <w:tcW w:w="2241" w:type="dxa"/>
            <w:hideMark/>
          </w:tcPr>
          <w:p w14:paraId="0973F677" w14:textId="77777777" w:rsidR="00A27798" w:rsidRPr="00B4783E" w:rsidRDefault="00A27798" w:rsidP="003E5A53">
            <w:pPr>
              <w:spacing w:after="160" w:line="278" w:lineRule="auto"/>
              <w:rPr>
                <w:rFonts w:hint="eastAsia"/>
              </w:rPr>
            </w:pPr>
            <w:r w:rsidRPr="00B4783E">
              <w:t>2022.11–2024.10</w:t>
            </w:r>
          </w:p>
        </w:tc>
        <w:tc>
          <w:tcPr>
            <w:tcW w:w="1824" w:type="dxa"/>
            <w:hideMark/>
          </w:tcPr>
          <w:p w14:paraId="40C2F099" w14:textId="77777777" w:rsidR="00A27798" w:rsidRPr="00B4783E" w:rsidRDefault="00A27798" w:rsidP="003E5A53">
            <w:pPr>
              <w:spacing w:after="160" w:line="278" w:lineRule="auto"/>
              <w:rPr>
                <w:rFonts w:hint="eastAsia"/>
                <w:b/>
                <w:bCs/>
              </w:rPr>
            </w:pPr>
            <w:r w:rsidRPr="00B4783E">
              <w:rPr>
                <w:b/>
                <w:bCs/>
              </w:rPr>
              <w:t>280倍</w:t>
            </w:r>
            <w:r w:rsidRPr="00B4783E">
              <w:t>（22个月）</w:t>
            </w:r>
          </w:p>
        </w:tc>
        <w:tc>
          <w:tcPr>
            <w:tcW w:w="1862" w:type="dxa"/>
            <w:hideMark/>
          </w:tcPr>
          <w:p w14:paraId="1194EE5C" w14:textId="77777777" w:rsidR="00A27798" w:rsidRPr="00B4783E" w:rsidRDefault="00A27798" w:rsidP="003E5A53">
            <w:pPr>
              <w:spacing w:after="160" w:line="278" w:lineRule="auto"/>
              <w:rPr>
                <w:rFonts w:hint="eastAsia"/>
                <w:u w:val="single"/>
              </w:rPr>
            </w:pPr>
            <w:hyperlink r:id="rId21" w:tgtFrame="_blank" w:history="1">
              <w:r w:rsidRPr="00B4783E">
                <w:rPr>
                  <w:rStyle w:val="af3"/>
                  <w:rFonts w:hint="eastAsia"/>
                </w:rPr>
                <w:t>GPT-3.5等效性能 </w:t>
              </w:r>
            </w:hyperlink>
          </w:p>
        </w:tc>
      </w:tr>
      <w:tr w:rsidR="00A27798" w:rsidRPr="00B4783E" w14:paraId="5AB9DED8" w14:textId="77777777" w:rsidTr="003E5A53">
        <w:trPr>
          <w:trHeight w:val="285"/>
        </w:trPr>
        <w:tc>
          <w:tcPr>
            <w:tcW w:w="2369" w:type="dxa"/>
            <w:hideMark/>
          </w:tcPr>
          <w:p w14:paraId="34C17FE7" w14:textId="77777777" w:rsidR="00A27798" w:rsidRPr="00B4783E" w:rsidRDefault="00A27798" w:rsidP="003E5A53">
            <w:pPr>
              <w:spacing w:after="160" w:line="278" w:lineRule="auto"/>
              <w:rPr>
                <w:rFonts w:hint="eastAsia"/>
                <w:b/>
                <w:bCs/>
              </w:rPr>
            </w:pPr>
            <w:r w:rsidRPr="00B4783E">
              <w:rPr>
                <w:b/>
                <w:bCs/>
              </w:rPr>
              <w:t>李彦宏 / 百度</w:t>
            </w:r>
          </w:p>
        </w:tc>
        <w:tc>
          <w:tcPr>
            <w:tcW w:w="2241" w:type="dxa"/>
            <w:hideMark/>
          </w:tcPr>
          <w:p w14:paraId="7E54882C" w14:textId="77777777" w:rsidR="00A27798" w:rsidRPr="00B4783E" w:rsidRDefault="00A27798" w:rsidP="003E5A53">
            <w:pPr>
              <w:spacing w:after="160" w:line="278" w:lineRule="auto"/>
              <w:rPr>
                <w:rFonts w:hint="eastAsia"/>
              </w:rPr>
            </w:pPr>
            <w:r w:rsidRPr="00B4783E">
              <w:t>近期趋势</w:t>
            </w:r>
          </w:p>
        </w:tc>
        <w:tc>
          <w:tcPr>
            <w:tcW w:w="1824" w:type="dxa"/>
            <w:hideMark/>
          </w:tcPr>
          <w:p w14:paraId="0BF8F63A" w14:textId="77777777" w:rsidR="00A27798" w:rsidRPr="00B4783E" w:rsidRDefault="00A27798" w:rsidP="003E5A53">
            <w:pPr>
              <w:spacing w:after="160" w:line="278" w:lineRule="auto"/>
              <w:rPr>
                <w:rFonts w:hint="eastAsia"/>
                <w:b/>
                <w:bCs/>
              </w:rPr>
            </w:pPr>
            <w:r w:rsidRPr="00B4783E">
              <w:rPr>
                <w:b/>
                <w:bCs/>
              </w:rPr>
              <w:t>90%/年</w:t>
            </w:r>
          </w:p>
        </w:tc>
        <w:tc>
          <w:tcPr>
            <w:tcW w:w="1862" w:type="dxa"/>
            <w:hideMark/>
          </w:tcPr>
          <w:p w14:paraId="690AB475" w14:textId="77777777" w:rsidR="00A27798" w:rsidRPr="00B4783E" w:rsidRDefault="00A27798" w:rsidP="003E5A53">
            <w:pPr>
              <w:spacing w:after="160" w:line="278" w:lineRule="auto"/>
              <w:rPr>
                <w:rFonts w:hint="eastAsia"/>
              </w:rPr>
            </w:pPr>
            <w:r w:rsidRPr="00B4783E">
              <w:t>即每年约10倍 </w:t>
            </w:r>
          </w:p>
        </w:tc>
      </w:tr>
    </w:tbl>
    <w:p w14:paraId="27A6E55A" w14:textId="77777777" w:rsidR="00A27798" w:rsidRDefault="00A27798" w:rsidP="00A27798">
      <w:pPr>
        <w:rPr>
          <w:rFonts w:hint="eastAsia"/>
        </w:rPr>
      </w:pPr>
      <w:r>
        <w:rPr>
          <w:rFonts w:hint="eastAsia"/>
        </w:rPr>
        <w:t>对使用者而言，token的价格下降并不会让总账单上AI的花销更低。Gartner 在2026年3月的报告中警告 ：虽然 token 成本到2030年将下降90%以上，但企业不会感到省钱——因为 Agent、多模态、长上下文等前沿应用每次任务消耗的 token 量是早期聊天机器人的几十倍。</w:t>
      </w:r>
    </w:p>
    <w:p w14:paraId="48B98237" w14:textId="77777777" w:rsidR="00A27798" w:rsidRDefault="00A27798" w:rsidP="00A27798">
      <w:pPr>
        <w:rPr>
          <w:rFonts w:hint="eastAsia"/>
        </w:rPr>
      </w:pPr>
      <w:r>
        <w:rPr>
          <w:rFonts w:hint="eastAsia"/>
        </w:rPr>
        <w:t>订阅制面向终端用户和企业办公场景。OpenAI的ChatGPT Plus（$20/月）、Pro（$200/月）和Team（$25/人/月）是最成熟的订阅体系，截至2025年7月拥有约3,500万付费订阅用户，付费转化率约5%[Reuters, 2025]。Google Gemini Advanced（$20/月）整合在Google One AI Premium中，截至2025年6月Gemini月活用户达4.5亿[AdverGroup, 2025]。Anthropic Claude Pro（$20/月）也在快速扩张。</w:t>
      </w:r>
    </w:p>
    <w:p w14:paraId="0FC54DA0" w14:textId="77777777" w:rsidR="00A27798" w:rsidRDefault="00A27798" w:rsidP="00A27798">
      <w:pPr>
        <w:rPr>
          <w:rFonts w:hint="eastAsia"/>
        </w:rPr>
      </w:pPr>
      <w:r>
        <w:rPr>
          <w:rFonts w:hint="eastAsia"/>
        </w:rPr>
        <w:t>私有化部署主要面向金融、政府、医疗等对数据安全有强要求的行业。根据Forrester和IDC报告，PET（隐私增强技术）市场在2024年达$15.5亿，其中同态加密占31.2%[AInvest, 2026]。企业选择私有化部署的核心驱动包括：数据合规（GDPR、中国《生成式AI管理办法》等）、数据主权诉求和低延迟需求。国内厂商在私有化部署方面具备先天优势，百度智能云、阿里云均提供大模型私有化版本。</w:t>
      </w:r>
    </w:p>
    <w:p w14:paraId="1F3FBE35" w14:textId="77777777" w:rsidR="00A27798" w:rsidRPr="00B01A0A" w:rsidRDefault="00A27798" w:rsidP="00A27798">
      <w:pPr>
        <w:rPr>
          <w:rFonts w:hint="eastAsia"/>
        </w:rPr>
      </w:pPr>
      <w:r>
        <w:rPr>
          <w:rFonts w:hint="eastAsia"/>
        </w:rPr>
        <w:t>三条路径并非互斥：头部厂商通常”API + 订阅 + 私有化”三线并行，并通过生态合作伙伴（如Anthropic与AWS Bedrock、Google Cloud Vertex AI的合作）扩大分发渠</w:t>
      </w:r>
      <w:r>
        <w:rPr>
          <w:rFonts w:hint="eastAsia"/>
        </w:rPr>
        <w:lastRenderedPageBreak/>
        <w:t>道。</w:t>
      </w:r>
    </w:p>
    <w:p w14:paraId="6B70AAE1" w14:textId="77777777" w:rsidR="00A27798" w:rsidRDefault="00A27798" w:rsidP="00A27798">
      <w:pPr>
        <w:jc w:val="center"/>
        <w:rPr>
          <w:rFonts w:hint="eastAsia"/>
        </w:rPr>
      </w:pPr>
      <w:r>
        <w:rPr>
          <w:rFonts w:hint="eastAsia"/>
        </w:rPr>
        <w:t>表：B端主要商业模式</w:t>
      </w:r>
    </w:p>
    <w:tbl>
      <w:tblPr>
        <w:tblStyle w:val="af2"/>
        <w:tblW w:w="9923" w:type="dxa"/>
        <w:tblInd w:w="-856" w:type="dxa"/>
        <w:tblLook w:val="04A0" w:firstRow="1" w:lastRow="0" w:firstColumn="1" w:lastColumn="0" w:noHBand="0" w:noVBand="1"/>
      </w:tblPr>
      <w:tblGrid>
        <w:gridCol w:w="1560"/>
        <w:gridCol w:w="1985"/>
        <w:gridCol w:w="1984"/>
        <w:gridCol w:w="2126"/>
        <w:gridCol w:w="2268"/>
      </w:tblGrid>
      <w:tr w:rsidR="00A27798" w:rsidRPr="00C7160C" w14:paraId="61DF04C3" w14:textId="77777777" w:rsidTr="003E5A53">
        <w:trPr>
          <w:trHeight w:val="270"/>
        </w:trPr>
        <w:tc>
          <w:tcPr>
            <w:tcW w:w="1560" w:type="dxa"/>
            <w:hideMark/>
          </w:tcPr>
          <w:p w14:paraId="5C585958" w14:textId="77777777" w:rsidR="00A27798" w:rsidRPr="00C7160C" w:rsidRDefault="00A27798" w:rsidP="003E5A53">
            <w:pPr>
              <w:rPr>
                <w:rFonts w:hint="eastAsia"/>
                <w:b/>
                <w:bCs/>
              </w:rPr>
            </w:pPr>
            <w:r w:rsidRPr="00C7160C">
              <w:rPr>
                <w:rFonts w:hint="eastAsia"/>
                <w:b/>
                <w:bCs/>
              </w:rPr>
              <w:t>模式</w:t>
            </w:r>
          </w:p>
        </w:tc>
        <w:tc>
          <w:tcPr>
            <w:tcW w:w="1985" w:type="dxa"/>
            <w:hideMark/>
          </w:tcPr>
          <w:p w14:paraId="44687C7B" w14:textId="77777777" w:rsidR="00A27798" w:rsidRPr="00C7160C" w:rsidRDefault="00A27798" w:rsidP="003E5A53">
            <w:pPr>
              <w:rPr>
                <w:rFonts w:hint="eastAsia"/>
                <w:b/>
                <w:bCs/>
              </w:rPr>
            </w:pPr>
            <w:r w:rsidRPr="00C7160C">
              <w:rPr>
                <w:rFonts w:hint="eastAsia"/>
                <w:b/>
                <w:bCs/>
              </w:rPr>
              <w:t>说明</w:t>
            </w:r>
          </w:p>
        </w:tc>
        <w:tc>
          <w:tcPr>
            <w:tcW w:w="1984" w:type="dxa"/>
            <w:hideMark/>
          </w:tcPr>
          <w:p w14:paraId="777C49A8" w14:textId="77777777" w:rsidR="00A27798" w:rsidRPr="00C7160C" w:rsidRDefault="00A27798" w:rsidP="003E5A53">
            <w:pPr>
              <w:rPr>
                <w:rFonts w:hint="eastAsia"/>
                <w:b/>
                <w:bCs/>
              </w:rPr>
            </w:pPr>
            <w:r w:rsidRPr="00C7160C">
              <w:rPr>
                <w:rFonts w:hint="eastAsia"/>
                <w:b/>
                <w:bCs/>
              </w:rPr>
              <w:t>收费方式</w:t>
            </w:r>
          </w:p>
        </w:tc>
        <w:tc>
          <w:tcPr>
            <w:tcW w:w="2126" w:type="dxa"/>
            <w:hideMark/>
          </w:tcPr>
          <w:p w14:paraId="76229D1A" w14:textId="77777777" w:rsidR="00A27798" w:rsidRPr="00C7160C" w:rsidRDefault="00A27798" w:rsidP="003E5A53">
            <w:pPr>
              <w:rPr>
                <w:rFonts w:hint="eastAsia"/>
                <w:b/>
                <w:bCs/>
              </w:rPr>
            </w:pPr>
            <w:r w:rsidRPr="00C7160C">
              <w:rPr>
                <w:rFonts w:hint="eastAsia"/>
                <w:b/>
                <w:bCs/>
              </w:rPr>
              <w:t>代表玩家</w:t>
            </w:r>
          </w:p>
        </w:tc>
        <w:tc>
          <w:tcPr>
            <w:tcW w:w="2268" w:type="dxa"/>
            <w:hideMark/>
          </w:tcPr>
          <w:p w14:paraId="28F1DE04" w14:textId="77777777" w:rsidR="00A27798" w:rsidRPr="00C7160C" w:rsidRDefault="00A27798" w:rsidP="003E5A53">
            <w:pPr>
              <w:rPr>
                <w:rFonts w:hint="eastAsia"/>
                <w:b/>
                <w:bCs/>
              </w:rPr>
            </w:pPr>
            <w:r w:rsidRPr="00C7160C">
              <w:rPr>
                <w:rFonts w:hint="eastAsia"/>
                <w:b/>
                <w:bCs/>
              </w:rPr>
              <w:t>盈利现状</w:t>
            </w:r>
          </w:p>
        </w:tc>
      </w:tr>
      <w:tr w:rsidR="00A27798" w:rsidRPr="00C7160C" w14:paraId="2AEAC640" w14:textId="77777777" w:rsidTr="003E5A53">
        <w:trPr>
          <w:trHeight w:val="1200"/>
        </w:trPr>
        <w:tc>
          <w:tcPr>
            <w:tcW w:w="1560" w:type="dxa"/>
            <w:hideMark/>
          </w:tcPr>
          <w:p w14:paraId="43C6875A" w14:textId="77777777" w:rsidR="00A27798" w:rsidRPr="00C7160C" w:rsidRDefault="00A27798" w:rsidP="003E5A53">
            <w:pPr>
              <w:rPr>
                <w:rFonts w:hint="eastAsia"/>
              </w:rPr>
            </w:pPr>
            <w:r w:rsidRPr="00C7160C">
              <w:rPr>
                <w:rFonts w:hint="eastAsia"/>
              </w:rPr>
              <w:t>MaaS（模型即服务）</w:t>
            </w:r>
          </w:p>
        </w:tc>
        <w:tc>
          <w:tcPr>
            <w:tcW w:w="1985" w:type="dxa"/>
            <w:hideMark/>
          </w:tcPr>
          <w:p w14:paraId="324371B8" w14:textId="77777777" w:rsidR="00A27798" w:rsidRPr="00C7160C" w:rsidRDefault="00A27798" w:rsidP="003E5A53">
            <w:pPr>
              <w:rPr>
                <w:rFonts w:hint="eastAsia"/>
              </w:rPr>
            </w:pPr>
            <w:r w:rsidRPr="00C7160C">
              <w:rPr>
                <w:rFonts w:hint="eastAsia"/>
              </w:rPr>
              <w:t>通过API提供大模型能力，企业按需调用</w:t>
            </w:r>
            <w:r w:rsidRPr="00C7160C">
              <w:rPr>
                <w:rFonts w:hint="eastAsia"/>
              </w:rPr>
              <w:br/>
              <w:t>降低开发门槛，一站式模型聚合+开发+维护</w:t>
            </w:r>
          </w:p>
        </w:tc>
        <w:tc>
          <w:tcPr>
            <w:tcW w:w="1984" w:type="dxa"/>
            <w:hideMark/>
          </w:tcPr>
          <w:p w14:paraId="606E7A81" w14:textId="77777777" w:rsidR="00A27798" w:rsidRPr="00C7160C" w:rsidRDefault="00A27798" w:rsidP="003E5A53">
            <w:pPr>
              <w:rPr>
                <w:rFonts w:hint="eastAsia"/>
              </w:rPr>
            </w:pPr>
            <w:r w:rsidRPr="00C7160C">
              <w:rPr>
                <w:rFonts w:hint="eastAsia"/>
              </w:rPr>
              <w:t>按Token消耗量计费</w:t>
            </w:r>
            <w:r w:rsidRPr="00C7160C">
              <w:rPr>
                <w:rFonts w:hint="eastAsia"/>
              </w:rPr>
              <w:br/>
              <w:t>少量按内容量（文本/图像/音频）收费</w:t>
            </w:r>
            <w:r w:rsidRPr="00C7160C">
              <w:rPr>
                <w:rFonts w:hint="eastAsia"/>
              </w:rPr>
              <w:br/>
              <w:t>分层定价（基础版免费→企业版付费）</w:t>
            </w:r>
          </w:p>
        </w:tc>
        <w:tc>
          <w:tcPr>
            <w:tcW w:w="2126" w:type="dxa"/>
            <w:hideMark/>
          </w:tcPr>
          <w:p w14:paraId="095E9ED4" w14:textId="77777777" w:rsidR="00A27798" w:rsidRPr="00C7160C" w:rsidRDefault="00A27798" w:rsidP="003E5A53">
            <w:pPr>
              <w:rPr>
                <w:rFonts w:hint="eastAsia"/>
              </w:rPr>
            </w:pPr>
            <w:r w:rsidRPr="00C7160C">
              <w:rPr>
                <w:rFonts w:hint="eastAsia"/>
              </w:rPr>
              <w:t>智谱（MaaS占收入84.8%）</w:t>
            </w:r>
            <w:r w:rsidRPr="00C7160C">
              <w:rPr>
                <w:rFonts w:hint="eastAsia"/>
              </w:rPr>
              <w:br/>
              <w:t>OpenAI API</w:t>
            </w:r>
            <w:r w:rsidRPr="00C7160C">
              <w:rPr>
                <w:rFonts w:hint="eastAsia"/>
              </w:rPr>
              <w:br/>
              <w:t>百度文心·千帆</w:t>
            </w:r>
            <w:r w:rsidRPr="00C7160C">
              <w:rPr>
                <w:rFonts w:hint="eastAsia"/>
              </w:rPr>
              <w:br/>
              <w:t>阿里通义·百炼</w:t>
            </w:r>
            <w:r w:rsidRPr="00C7160C">
              <w:rPr>
                <w:rFonts w:hint="eastAsia"/>
              </w:rPr>
              <w:br/>
              <w:t>字节火山方舟</w:t>
            </w:r>
          </w:p>
        </w:tc>
        <w:tc>
          <w:tcPr>
            <w:tcW w:w="2268" w:type="dxa"/>
            <w:hideMark/>
          </w:tcPr>
          <w:p w14:paraId="0DFFD714" w14:textId="77777777" w:rsidR="00A27798" w:rsidRPr="00C7160C" w:rsidRDefault="00A27798" w:rsidP="003E5A53">
            <w:pPr>
              <w:rPr>
                <w:rFonts w:hint="eastAsia"/>
              </w:rPr>
            </w:pPr>
            <w:r w:rsidRPr="00C7160C">
              <w:rPr>
                <w:rFonts w:hint="eastAsia"/>
              </w:rPr>
              <w:t>头部厂商收入增长快</w:t>
            </w:r>
            <w:r w:rsidRPr="00C7160C">
              <w:rPr>
                <w:rFonts w:hint="eastAsia"/>
              </w:rPr>
              <w:br/>
              <w:t>但整体仍亏损</w:t>
            </w:r>
            <w:r w:rsidRPr="00C7160C">
              <w:rPr>
                <w:rFonts w:hint="eastAsia"/>
              </w:rPr>
              <w:br/>
              <w:t>智谱2025毛利率54-77%（云端）</w:t>
            </w:r>
            <w:r w:rsidRPr="00C7160C">
              <w:rPr>
                <w:rFonts w:hint="eastAsia"/>
              </w:rPr>
              <w:br/>
              <w:t>毛利率受算力成本制约</w:t>
            </w:r>
          </w:p>
        </w:tc>
      </w:tr>
      <w:tr w:rsidR="00A27798" w:rsidRPr="00C7160C" w14:paraId="5B867081" w14:textId="77777777" w:rsidTr="003E5A53">
        <w:trPr>
          <w:trHeight w:val="960"/>
        </w:trPr>
        <w:tc>
          <w:tcPr>
            <w:tcW w:w="1560" w:type="dxa"/>
            <w:hideMark/>
          </w:tcPr>
          <w:p w14:paraId="0BC450A2" w14:textId="77777777" w:rsidR="00A27798" w:rsidRPr="00C7160C" w:rsidRDefault="00A27798" w:rsidP="003E5A53">
            <w:pPr>
              <w:rPr>
                <w:rFonts w:hint="eastAsia"/>
              </w:rPr>
            </w:pPr>
            <w:r w:rsidRPr="00C7160C">
              <w:rPr>
                <w:rFonts w:hint="eastAsia"/>
              </w:rPr>
              <w:t>本地化/私有化部署</w:t>
            </w:r>
          </w:p>
        </w:tc>
        <w:tc>
          <w:tcPr>
            <w:tcW w:w="1985" w:type="dxa"/>
            <w:hideMark/>
          </w:tcPr>
          <w:p w14:paraId="0555FFFE" w14:textId="77777777" w:rsidR="00A27798" w:rsidRPr="00C7160C" w:rsidRDefault="00A27798" w:rsidP="003E5A53">
            <w:pPr>
              <w:rPr>
                <w:rFonts w:hint="eastAsia"/>
              </w:rPr>
            </w:pPr>
            <w:r w:rsidRPr="00C7160C">
              <w:rPr>
                <w:rFonts w:hint="eastAsia"/>
              </w:rPr>
              <w:t>模型部署在企业自有基础设施内</w:t>
            </w:r>
            <w:r w:rsidRPr="00C7160C">
              <w:rPr>
                <w:rFonts w:hint="eastAsia"/>
              </w:rPr>
              <w:br/>
              <w:t>提供行业数据微调、数据加训等服务</w:t>
            </w:r>
            <w:r w:rsidRPr="00C7160C">
              <w:rPr>
                <w:rFonts w:hint="eastAsia"/>
              </w:rPr>
              <w:br/>
              <w:t>注重安全性、可控性和定制化</w:t>
            </w:r>
          </w:p>
        </w:tc>
        <w:tc>
          <w:tcPr>
            <w:tcW w:w="1984" w:type="dxa"/>
            <w:hideMark/>
          </w:tcPr>
          <w:p w14:paraId="4F4A5C09" w14:textId="77777777" w:rsidR="00A27798" w:rsidRPr="00C7160C" w:rsidRDefault="00A27798" w:rsidP="003E5A53">
            <w:pPr>
              <w:rPr>
                <w:rFonts w:hint="eastAsia"/>
              </w:rPr>
            </w:pPr>
            <w:r w:rsidRPr="00C7160C">
              <w:rPr>
                <w:rFonts w:hint="eastAsia"/>
              </w:rPr>
              <w:t>项目制收费（一次性+运维）</w:t>
            </w:r>
            <w:r w:rsidRPr="00C7160C">
              <w:rPr>
                <w:rFonts w:hint="eastAsia"/>
              </w:rPr>
              <w:br/>
              <w:t>License授权费</w:t>
            </w:r>
            <w:r w:rsidRPr="00C7160C">
              <w:rPr>
                <w:rFonts w:hint="eastAsia"/>
              </w:rPr>
              <w:br/>
              <w:t>可能叠加算力硬件销售</w:t>
            </w:r>
          </w:p>
        </w:tc>
        <w:tc>
          <w:tcPr>
            <w:tcW w:w="2126" w:type="dxa"/>
            <w:hideMark/>
          </w:tcPr>
          <w:p w14:paraId="72B997EA" w14:textId="77777777" w:rsidR="00A27798" w:rsidRPr="00C7160C" w:rsidRDefault="00A27798" w:rsidP="003E5A53">
            <w:pPr>
              <w:rPr>
                <w:rFonts w:hint="eastAsia"/>
              </w:rPr>
            </w:pPr>
            <w:r w:rsidRPr="00C7160C">
              <w:rPr>
                <w:rFonts w:hint="eastAsia"/>
              </w:rPr>
              <w:t>智谱（</w:t>
            </w:r>
            <w:r>
              <w:rPr>
                <w:rFonts w:hint="eastAsia"/>
              </w:rPr>
              <w:t>私有</w:t>
            </w:r>
            <w:r w:rsidRPr="00C7160C">
              <w:rPr>
                <w:rFonts w:hint="eastAsia"/>
              </w:rPr>
              <w:t>化部署收入占比高）</w:t>
            </w:r>
            <w:r w:rsidRPr="00C7160C">
              <w:rPr>
                <w:rFonts w:hint="eastAsia"/>
              </w:rPr>
              <w:br/>
              <w:t>科大讯飞</w:t>
            </w:r>
            <w:r w:rsidRPr="00C7160C">
              <w:rPr>
                <w:rFonts w:hint="eastAsia"/>
              </w:rPr>
              <w:br/>
              <w:t>百度智能云</w:t>
            </w:r>
            <w:r w:rsidRPr="00C7160C">
              <w:rPr>
                <w:rFonts w:hint="eastAsia"/>
              </w:rPr>
              <w:br/>
              <w:t>阿里云</w:t>
            </w:r>
          </w:p>
        </w:tc>
        <w:tc>
          <w:tcPr>
            <w:tcW w:w="2268" w:type="dxa"/>
            <w:hideMark/>
          </w:tcPr>
          <w:p w14:paraId="5505D342" w14:textId="77777777" w:rsidR="00A27798" w:rsidRPr="00C7160C" w:rsidRDefault="00A27798" w:rsidP="003E5A53">
            <w:pPr>
              <w:rPr>
                <w:rFonts w:hint="eastAsia"/>
              </w:rPr>
            </w:pPr>
            <w:r w:rsidRPr="00C7160C">
              <w:rPr>
                <w:rFonts w:hint="eastAsia"/>
              </w:rPr>
              <w:t>客单价高但交付周期长</w:t>
            </w:r>
            <w:r w:rsidRPr="00C7160C">
              <w:rPr>
                <w:rFonts w:hint="eastAsia"/>
              </w:rPr>
              <w:br/>
              <w:t>毛利率高于</w:t>
            </w:r>
            <w:r>
              <w:rPr>
                <w:rFonts w:hint="eastAsia"/>
              </w:rPr>
              <w:t>api调用</w:t>
            </w:r>
            <w:r w:rsidRPr="00C7160C">
              <w:rPr>
                <w:rFonts w:hint="eastAsia"/>
              </w:rPr>
              <w:t>（本地业务60%+）</w:t>
            </w:r>
            <w:r w:rsidRPr="00C7160C">
              <w:rPr>
                <w:rFonts w:hint="eastAsia"/>
              </w:rPr>
              <w:br/>
              <w:t>但项目制难以规模化</w:t>
            </w:r>
          </w:p>
        </w:tc>
      </w:tr>
      <w:tr w:rsidR="00A27798" w:rsidRPr="00C7160C" w14:paraId="3B16C8C0" w14:textId="77777777" w:rsidTr="003E5A53">
        <w:trPr>
          <w:trHeight w:val="960"/>
        </w:trPr>
        <w:tc>
          <w:tcPr>
            <w:tcW w:w="1560" w:type="dxa"/>
            <w:hideMark/>
          </w:tcPr>
          <w:p w14:paraId="4F96E36C" w14:textId="77777777" w:rsidR="00A27798" w:rsidRPr="00C7160C" w:rsidRDefault="00A27798" w:rsidP="003E5A53">
            <w:pPr>
              <w:rPr>
                <w:rFonts w:hint="eastAsia"/>
              </w:rPr>
            </w:pPr>
            <w:r w:rsidRPr="00C7160C">
              <w:rPr>
                <w:rFonts w:hint="eastAsia"/>
              </w:rPr>
              <w:t>行业解决方案</w:t>
            </w:r>
          </w:p>
        </w:tc>
        <w:tc>
          <w:tcPr>
            <w:tcW w:w="1985" w:type="dxa"/>
            <w:hideMark/>
          </w:tcPr>
          <w:p w14:paraId="6A9F88EA" w14:textId="77777777" w:rsidR="00A27798" w:rsidRPr="00C7160C" w:rsidRDefault="00A27798" w:rsidP="003E5A53">
            <w:pPr>
              <w:rPr>
                <w:rFonts w:hint="eastAsia"/>
              </w:rPr>
            </w:pPr>
            <w:r w:rsidRPr="00C7160C">
              <w:rPr>
                <w:rFonts w:hint="eastAsia"/>
              </w:rPr>
              <w:t>基于大模型能力，针对垂直行业打造</w:t>
            </w:r>
            <w:r w:rsidRPr="00C7160C">
              <w:rPr>
                <w:rFonts w:hint="eastAsia"/>
              </w:rPr>
              <w:br/>
              <w:t>完整解决方案（金融、医疗、法律、教育等）</w:t>
            </w:r>
            <w:r w:rsidRPr="00C7160C">
              <w:rPr>
                <w:rFonts w:hint="eastAsia"/>
              </w:rPr>
              <w:br/>
              <w:t>包含模型+应用+数据+服务的打包方案</w:t>
            </w:r>
          </w:p>
        </w:tc>
        <w:tc>
          <w:tcPr>
            <w:tcW w:w="1984" w:type="dxa"/>
            <w:hideMark/>
          </w:tcPr>
          <w:p w14:paraId="05545B51" w14:textId="77777777" w:rsidR="00A27798" w:rsidRPr="00C7160C" w:rsidRDefault="00A27798" w:rsidP="003E5A53">
            <w:pPr>
              <w:rPr>
                <w:rFonts w:hint="eastAsia"/>
              </w:rPr>
            </w:pPr>
            <w:r w:rsidRPr="00C7160C">
              <w:rPr>
                <w:rFonts w:hint="eastAsia"/>
              </w:rPr>
              <w:t>SaaS订阅费</w:t>
            </w:r>
            <w:r w:rsidRPr="00C7160C">
              <w:rPr>
                <w:rFonts w:hint="eastAsia"/>
              </w:rPr>
              <w:br/>
              <w:t>按项目收费</w:t>
            </w:r>
            <w:r w:rsidRPr="00C7160C">
              <w:rPr>
                <w:rFonts w:hint="eastAsia"/>
              </w:rPr>
              <w:br/>
              <w:t>按效果/结果付费（新兴）</w:t>
            </w:r>
          </w:p>
        </w:tc>
        <w:tc>
          <w:tcPr>
            <w:tcW w:w="2126" w:type="dxa"/>
            <w:hideMark/>
          </w:tcPr>
          <w:p w14:paraId="103FF1E5" w14:textId="77777777" w:rsidR="00A27798" w:rsidRPr="00C7160C" w:rsidRDefault="00A27798" w:rsidP="003E5A53">
            <w:pPr>
              <w:rPr>
                <w:rFonts w:hint="eastAsia"/>
              </w:rPr>
            </w:pPr>
            <w:r w:rsidRPr="00C7160C">
              <w:rPr>
                <w:rFonts w:hint="eastAsia"/>
              </w:rPr>
              <w:t>百度（金融、政务）</w:t>
            </w:r>
            <w:r w:rsidRPr="00C7160C">
              <w:rPr>
                <w:rFonts w:hint="eastAsia"/>
              </w:rPr>
              <w:br/>
              <w:t>阿里（医疗、零售）</w:t>
            </w:r>
            <w:r w:rsidRPr="00C7160C">
              <w:rPr>
                <w:rFonts w:hint="eastAsia"/>
              </w:rPr>
              <w:br/>
              <w:t>腾讯（企业智能体）</w:t>
            </w:r>
            <w:r w:rsidRPr="00C7160C">
              <w:rPr>
                <w:rFonts w:hint="eastAsia"/>
              </w:rPr>
              <w:br/>
              <w:t>科大讯飞（教育、医疗）</w:t>
            </w:r>
          </w:p>
        </w:tc>
        <w:tc>
          <w:tcPr>
            <w:tcW w:w="2268" w:type="dxa"/>
            <w:hideMark/>
          </w:tcPr>
          <w:p w14:paraId="002F8BE7" w14:textId="77777777" w:rsidR="00A27798" w:rsidRPr="00C7160C" w:rsidRDefault="00A27798" w:rsidP="003E5A53">
            <w:pPr>
              <w:rPr>
                <w:rFonts w:hint="eastAsia"/>
              </w:rPr>
            </w:pPr>
            <w:r w:rsidRPr="00C7160C">
              <w:rPr>
                <w:rFonts w:hint="eastAsia"/>
              </w:rPr>
              <w:t>部分场景开始变现</w:t>
            </w:r>
            <w:r w:rsidRPr="00C7160C">
              <w:rPr>
                <w:rFonts w:hint="eastAsia"/>
              </w:rPr>
              <w:br/>
              <w:t>但多数仍在跑通PMF</w:t>
            </w:r>
            <w:r>
              <w:rPr>
                <w:rFonts w:hint="eastAsia"/>
              </w:rPr>
              <w:t>（取得用户-取得付费用户-付费用户积累）</w:t>
            </w:r>
            <w:r w:rsidRPr="00C7160C">
              <w:rPr>
                <w:rFonts w:hint="eastAsia"/>
              </w:rPr>
              <w:t>阶段</w:t>
            </w:r>
            <w:r w:rsidRPr="00C7160C">
              <w:rPr>
                <w:rFonts w:hint="eastAsia"/>
              </w:rPr>
              <w:br/>
              <w:t>传统行业渗透率仍低</w:t>
            </w:r>
          </w:p>
        </w:tc>
      </w:tr>
      <w:tr w:rsidR="00A27798" w:rsidRPr="00C7160C" w14:paraId="2C81C4DF" w14:textId="77777777" w:rsidTr="003E5A53">
        <w:trPr>
          <w:trHeight w:val="960"/>
        </w:trPr>
        <w:tc>
          <w:tcPr>
            <w:tcW w:w="1560" w:type="dxa"/>
            <w:hideMark/>
          </w:tcPr>
          <w:p w14:paraId="7420518E" w14:textId="77777777" w:rsidR="00A27798" w:rsidRPr="00C7160C" w:rsidRDefault="00A27798" w:rsidP="003E5A53">
            <w:pPr>
              <w:rPr>
                <w:rFonts w:hint="eastAsia"/>
              </w:rPr>
            </w:pPr>
            <w:r w:rsidRPr="00C7160C">
              <w:rPr>
                <w:rFonts w:hint="eastAsia"/>
              </w:rPr>
              <w:t>AI Agent/企业智能体</w:t>
            </w:r>
          </w:p>
        </w:tc>
        <w:tc>
          <w:tcPr>
            <w:tcW w:w="1985" w:type="dxa"/>
            <w:hideMark/>
          </w:tcPr>
          <w:p w14:paraId="16E59AB7" w14:textId="77777777" w:rsidR="00A27798" w:rsidRPr="00C7160C" w:rsidRDefault="00A27798" w:rsidP="003E5A53">
            <w:pPr>
              <w:rPr>
                <w:rFonts w:hint="eastAsia"/>
              </w:rPr>
            </w:pPr>
            <w:r w:rsidRPr="00C7160C">
              <w:rPr>
                <w:rFonts w:hint="eastAsia"/>
              </w:rPr>
              <w:t>基于大模型的自主执行代理</w:t>
            </w:r>
            <w:r w:rsidRPr="00C7160C">
              <w:rPr>
                <w:rFonts w:hint="eastAsia"/>
              </w:rPr>
              <w:br/>
              <w:t>可完成多步骤复杂任务</w:t>
            </w:r>
            <w:r w:rsidRPr="00C7160C">
              <w:rPr>
                <w:rFonts w:hint="eastAsia"/>
              </w:rPr>
              <w:br/>
              <w:t>替代部分人工岗位</w:t>
            </w:r>
          </w:p>
        </w:tc>
        <w:tc>
          <w:tcPr>
            <w:tcW w:w="1984" w:type="dxa"/>
            <w:hideMark/>
          </w:tcPr>
          <w:p w14:paraId="016D2824" w14:textId="77777777" w:rsidR="00A27798" w:rsidRPr="00C7160C" w:rsidRDefault="00A27798" w:rsidP="003E5A53">
            <w:pPr>
              <w:rPr>
                <w:rFonts w:hint="eastAsia"/>
              </w:rPr>
            </w:pPr>
            <w:r w:rsidRPr="00C7160C">
              <w:rPr>
                <w:rFonts w:hint="eastAsia"/>
              </w:rPr>
              <w:t>按任务/执行次数收费</w:t>
            </w:r>
            <w:r w:rsidRPr="00C7160C">
              <w:rPr>
                <w:rFonts w:hint="eastAsia"/>
              </w:rPr>
              <w:br/>
              <w:t>SaaS订阅</w:t>
            </w:r>
            <w:r w:rsidRPr="00C7160C">
              <w:rPr>
                <w:rFonts w:hint="eastAsia"/>
              </w:rPr>
              <w:br/>
              <w:t>按结果/ROI分成（探索中）</w:t>
            </w:r>
          </w:p>
        </w:tc>
        <w:tc>
          <w:tcPr>
            <w:tcW w:w="2126" w:type="dxa"/>
            <w:hideMark/>
          </w:tcPr>
          <w:p w14:paraId="53A98F65" w14:textId="77777777" w:rsidR="00A27798" w:rsidRPr="00C7160C" w:rsidRDefault="00A27798" w:rsidP="003E5A53">
            <w:pPr>
              <w:rPr>
                <w:rFonts w:hint="eastAsia"/>
              </w:rPr>
            </w:pPr>
            <w:r w:rsidRPr="00C7160C">
              <w:rPr>
                <w:rFonts w:hint="eastAsia"/>
              </w:rPr>
              <w:t>ServiceNow</w:t>
            </w:r>
            <w:r w:rsidRPr="00C7160C">
              <w:rPr>
                <w:rFonts w:hint="eastAsia"/>
              </w:rPr>
              <w:br/>
              <w:t>Salesforce</w:t>
            </w:r>
            <w:r w:rsidRPr="00C7160C">
              <w:rPr>
                <w:rFonts w:hint="eastAsia"/>
              </w:rPr>
              <w:br/>
              <w:t>腾讯（元宝Agent）</w:t>
            </w:r>
            <w:r w:rsidRPr="00C7160C">
              <w:rPr>
                <w:rFonts w:hint="eastAsia"/>
              </w:rPr>
              <w:br/>
              <w:t>中关村科金PowerClaw</w:t>
            </w:r>
          </w:p>
        </w:tc>
        <w:tc>
          <w:tcPr>
            <w:tcW w:w="2268" w:type="dxa"/>
            <w:hideMark/>
          </w:tcPr>
          <w:p w14:paraId="2AEEF6E0" w14:textId="77777777" w:rsidR="00A27798" w:rsidRPr="00C7160C" w:rsidRDefault="00A27798" w:rsidP="003E5A53">
            <w:pPr>
              <w:rPr>
                <w:rFonts w:hint="eastAsia"/>
              </w:rPr>
            </w:pPr>
            <w:r w:rsidRPr="00C7160C">
              <w:rPr>
                <w:rFonts w:hint="eastAsia"/>
              </w:rPr>
              <w:t>商业化早期</w:t>
            </w:r>
            <w:r w:rsidRPr="00C7160C">
              <w:rPr>
                <w:rFonts w:hint="eastAsia"/>
              </w:rPr>
              <w:br/>
              <w:t>2030E TAM约1000亿美元（Goldman）</w:t>
            </w:r>
            <w:r w:rsidRPr="00C7160C">
              <w:rPr>
                <w:rFonts w:hint="eastAsia"/>
              </w:rPr>
              <w:br/>
              <w:t>企业付费意愿正在验证</w:t>
            </w:r>
          </w:p>
        </w:tc>
      </w:tr>
      <w:tr w:rsidR="00A27798" w:rsidRPr="00C7160C" w14:paraId="72DBD5A8" w14:textId="77777777" w:rsidTr="003E5A53">
        <w:trPr>
          <w:trHeight w:val="960"/>
        </w:trPr>
        <w:tc>
          <w:tcPr>
            <w:tcW w:w="1560" w:type="dxa"/>
            <w:hideMark/>
          </w:tcPr>
          <w:p w14:paraId="096A5C28" w14:textId="77777777" w:rsidR="00A27798" w:rsidRPr="00C7160C" w:rsidRDefault="00A27798" w:rsidP="003E5A53">
            <w:pPr>
              <w:rPr>
                <w:rFonts w:hint="eastAsia"/>
              </w:rPr>
            </w:pPr>
            <w:r w:rsidRPr="00C7160C">
              <w:rPr>
                <w:rFonts w:hint="eastAsia"/>
              </w:rPr>
              <w:t>算力+模型捆绑</w:t>
            </w:r>
          </w:p>
        </w:tc>
        <w:tc>
          <w:tcPr>
            <w:tcW w:w="1985" w:type="dxa"/>
            <w:hideMark/>
          </w:tcPr>
          <w:p w14:paraId="505E2666" w14:textId="77777777" w:rsidR="00A27798" w:rsidRPr="00C7160C" w:rsidRDefault="00A27798" w:rsidP="003E5A53">
            <w:pPr>
              <w:rPr>
                <w:rFonts w:hint="eastAsia"/>
              </w:rPr>
            </w:pPr>
            <w:r w:rsidRPr="00C7160C">
              <w:rPr>
                <w:rFonts w:hint="eastAsia"/>
              </w:rPr>
              <w:t>云厂商将大模型与云基础设施打包</w:t>
            </w:r>
            <w:r w:rsidRPr="00C7160C">
              <w:rPr>
                <w:rFonts w:hint="eastAsia"/>
              </w:rPr>
              <w:br/>
              <w:t>通过模型需求拉动云业务增长</w:t>
            </w:r>
            <w:r w:rsidRPr="00C7160C">
              <w:rPr>
                <w:rFonts w:hint="eastAsia"/>
              </w:rPr>
              <w:br/>
              <w:t>算力成本通过云服务收入回收</w:t>
            </w:r>
          </w:p>
        </w:tc>
        <w:tc>
          <w:tcPr>
            <w:tcW w:w="1984" w:type="dxa"/>
            <w:hideMark/>
          </w:tcPr>
          <w:p w14:paraId="46F3F5EA" w14:textId="77777777" w:rsidR="00A27798" w:rsidRPr="00C7160C" w:rsidRDefault="00A27798" w:rsidP="003E5A53">
            <w:pPr>
              <w:rPr>
                <w:rFonts w:hint="eastAsia"/>
              </w:rPr>
            </w:pPr>
            <w:r w:rsidRPr="00C7160C">
              <w:rPr>
                <w:rFonts w:hint="eastAsia"/>
              </w:rPr>
              <w:t>云服务费（含算力）</w:t>
            </w:r>
            <w:r w:rsidRPr="00C7160C">
              <w:rPr>
                <w:rFonts w:hint="eastAsia"/>
              </w:rPr>
              <w:br/>
              <w:t>模型调用附加费</w:t>
            </w:r>
            <w:r w:rsidRPr="00C7160C">
              <w:rPr>
                <w:rFonts w:hint="eastAsia"/>
              </w:rPr>
              <w:br/>
              <w:t>一体化定价</w:t>
            </w:r>
          </w:p>
        </w:tc>
        <w:tc>
          <w:tcPr>
            <w:tcW w:w="2126" w:type="dxa"/>
            <w:hideMark/>
          </w:tcPr>
          <w:p w14:paraId="182DEA33" w14:textId="77777777" w:rsidR="00A27798" w:rsidRPr="00C7160C" w:rsidRDefault="00A27798" w:rsidP="003E5A53">
            <w:pPr>
              <w:rPr>
                <w:rFonts w:hint="eastAsia"/>
              </w:rPr>
            </w:pPr>
            <w:r w:rsidRPr="00C7160C">
              <w:rPr>
                <w:rFonts w:hint="eastAsia"/>
              </w:rPr>
              <w:t>阿里云</w:t>
            </w:r>
            <w:r w:rsidRPr="00C7160C">
              <w:rPr>
                <w:rFonts w:hint="eastAsia"/>
              </w:rPr>
              <w:br/>
              <w:t>百度智能云</w:t>
            </w:r>
            <w:r w:rsidRPr="00C7160C">
              <w:rPr>
                <w:rFonts w:hint="eastAsia"/>
              </w:rPr>
              <w:br/>
              <w:t>腾讯云</w:t>
            </w:r>
            <w:r w:rsidRPr="00C7160C">
              <w:rPr>
                <w:rFonts w:hint="eastAsia"/>
              </w:rPr>
              <w:br/>
              <w:t>AWS/Azure/GCP</w:t>
            </w:r>
          </w:p>
        </w:tc>
        <w:tc>
          <w:tcPr>
            <w:tcW w:w="2268" w:type="dxa"/>
            <w:hideMark/>
          </w:tcPr>
          <w:p w14:paraId="347E785A" w14:textId="77777777" w:rsidR="00A27798" w:rsidRPr="00C7160C" w:rsidRDefault="00A27798" w:rsidP="003E5A53">
            <w:pPr>
              <w:rPr>
                <w:rFonts w:hint="eastAsia"/>
              </w:rPr>
            </w:pPr>
            <w:r w:rsidRPr="00C7160C">
              <w:rPr>
                <w:rFonts w:hint="eastAsia"/>
              </w:rPr>
              <w:t>云厂商AI相关收入高速增长</w:t>
            </w:r>
            <w:r w:rsidRPr="00C7160C">
              <w:rPr>
                <w:rFonts w:hint="eastAsia"/>
              </w:rPr>
              <w:br/>
              <w:t>3Q25美国云厂商AI Capex +71% YoY</w:t>
            </w:r>
            <w:r w:rsidRPr="00C7160C">
              <w:rPr>
                <w:rFonts w:hint="eastAsia"/>
              </w:rPr>
              <w:br/>
              <w:t>但利润率受算力投入拖累</w:t>
            </w:r>
          </w:p>
        </w:tc>
      </w:tr>
      <w:tr w:rsidR="00A27798" w:rsidRPr="00C7160C" w14:paraId="66561EEB" w14:textId="77777777" w:rsidTr="003E5A53">
        <w:trPr>
          <w:trHeight w:val="960"/>
        </w:trPr>
        <w:tc>
          <w:tcPr>
            <w:tcW w:w="1560" w:type="dxa"/>
          </w:tcPr>
          <w:p w14:paraId="76A07A60" w14:textId="77777777" w:rsidR="00A27798" w:rsidRPr="00C7160C" w:rsidRDefault="00A27798" w:rsidP="003E5A53">
            <w:pPr>
              <w:rPr>
                <w:rFonts w:hint="eastAsia"/>
              </w:rPr>
            </w:pPr>
            <w:r>
              <w:rPr>
                <w:rFonts w:hint="eastAsia"/>
              </w:rPr>
              <w:t>广告</w:t>
            </w:r>
          </w:p>
        </w:tc>
        <w:tc>
          <w:tcPr>
            <w:tcW w:w="1985" w:type="dxa"/>
          </w:tcPr>
          <w:p w14:paraId="0583A7E5" w14:textId="77777777" w:rsidR="00A27798" w:rsidRPr="00C7160C" w:rsidRDefault="00A27798" w:rsidP="003E5A53">
            <w:pPr>
              <w:rPr>
                <w:rFonts w:hint="eastAsia"/>
              </w:rPr>
            </w:pPr>
            <w:r>
              <w:rPr>
                <w:rFonts w:hint="eastAsia"/>
              </w:rPr>
              <w:t>分为AI赋能广告制作和AI赋能广告投放</w:t>
            </w:r>
          </w:p>
        </w:tc>
        <w:tc>
          <w:tcPr>
            <w:tcW w:w="1984" w:type="dxa"/>
          </w:tcPr>
          <w:p w14:paraId="26CCA8C7" w14:textId="77777777" w:rsidR="00A27798" w:rsidRPr="00C7160C" w:rsidRDefault="00A27798" w:rsidP="003E5A53">
            <w:pPr>
              <w:rPr>
                <w:rFonts w:hint="eastAsia"/>
              </w:rPr>
            </w:pPr>
            <w:r>
              <w:rPr>
                <w:rFonts w:hint="eastAsia"/>
              </w:rPr>
              <w:t>商业协议合作</w:t>
            </w:r>
          </w:p>
        </w:tc>
        <w:tc>
          <w:tcPr>
            <w:tcW w:w="2126" w:type="dxa"/>
          </w:tcPr>
          <w:p w14:paraId="147390B2" w14:textId="77777777" w:rsidR="00A27798" w:rsidRPr="00C7160C" w:rsidRDefault="00A27798" w:rsidP="003E5A53">
            <w:pPr>
              <w:rPr>
                <w:rFonts w:hint="eastAsia"/>
              </w:rPr>
            </w:pPr>
            <w:r>
              <w:rPr>
                <w:rFonts w:hint="eastAsia"/>
              </w:rPr>
              <w:t>OpenAI，Vidu，米云等</w:t>
            </w:r>
          </w:p>
        </w:tc>
        <w:tc>
          <w:tcPr>
            <w:tcW w:w="2268" w:type="dxa"/>
          </w:tcPr>
          <w:p w14:paraId="3082AB32" w14:textId="77777777" w:rsidR="00A27798" w:rsidRDefault="00A27798" w:rsidP="003E5A53">
            <w:pPr>
              <w:rPr>
                <w:rFonts w:hint="eastAsia"/>
              </w:rPr>
            </w:pPr>
            <w:r>
              <w:rPr>
                <w:rFonts w:hint="eastAsia"/>
              </w:rPr>
              <w:t>目前最成熟的AI变现路径之一</w:t>
            </w:r>
          </w:p>
          <w:p w14:paraId="1FEE6F4A" w14:textId="77777777" w:rsidR="00A27798" w:rsidRDefault="00A27798" w:rsidP="003E5A53">
            <w:pPr>
              <w:rPr>
                <w:rFonts w:hint="eastAsia"/>
              </w:rPr>
            </w:pPr>
            <w:r>
              <w:rPr>
                <w:rFonts w:hint="eastAsia"/>
              </w:rPr>
              <w:t>ROI可量化，广告主付费意愿强</w:t>
            </w:r>
          </w:p>
          <w:p w14:paraId="1930205C" w14:textId="77777777" w:rsidR="00A27798" w:rsidRPr="00C7160C" w:rsidRDefault="00A27798" w:rsidP="003E5A53">
            <w:pPr>
              <w:rPr>
                <w:rFonts w:hint="eastAsia"/>
              </w:rPr>
            </w:pPr>
            <w:r>
              <w:rPr>
                <w:rFonts w:hint="eastAsia"/>
              </w:rPr>
              <w:t>AI从成本中心→利润</w:t>
            </w:r>
            <w:r>
              <w:rPr>
                <w:rFonts w:hint="eastAsia"/>
              </w:rPr>
              <w:lastRenderedPageBreak/>
              <w:t>中心</w:t>
            </w:r>
          </w:p>
        </w:tc>
      </w:tr>
    </w:tbl>
    <w:p w14:paraId="10ED11BD" w14:textId="77777777" w:rsidR="00A27798" w:rsidRDefault="00A27798" w:rsidP="00A27798">
      <w:pPr>
        <w:rPr>
          <w:rFonts w:hint="eastAsia"/>
        </w:rPr>
      </w:pPr>
    </w:p>
    <w:p w14:paraId="71CE3681" w14:textId="77777777" w:rsidR="00A27798" w:rsidRDefault="00A27798" w:rsidP="00A27798">
      <w:pPr>
        <w:rPr>
          <w:rFonts w:hint="eastAsia"/>
        </w:rPr>
      </w:pPr>
      <w:r>
        <w:rPr>
          <w:rFonts w:hint="eastAsia"/>
        </w:rPr>
        <w:t>表：C端主要商业模式</w:t>
      </w:r>
    </w:p>
    <w:tbl>
      <w:tblPr>
        <w:tblStyle w:val="af2"/>
        <w:tblW w:w="9923" w:type="dxa"/>
        <w:tblInd w:w="-856" w:type="dxa"/>
        <w:tblLook w:val="04A0" w:firstRow="1" w:lastRow="0" w:firstColumn="1" w:lastColumn="0" w:noHBand="0" w:noVBand="1"/>
      </w:tblPr>
      <w:tblGrid>
        <w:gridCol w:w="1560"/>
        <w:gridCol w:w="1985"/>
        <w:gridCol w:w="1984"/>
        <w:gridCol w:w="2126"/>
        <w:gridCol w:w="2268"/>
      </w:tblGrid>
      <w:tr w:rsidR="00A27798" w:rsidRPr="00C7160C" w14:paraId="70F814FB" w14:textId="77777777" w:rsidTr="003E5A53">
        <w:trPr>
          <w:trHeight w:val="270"/>
        </w:trPr>
        <w:tc>
          <w:tcPr>
            <w:tcW w:w="1560" w:type="dxa"/>
            <w:hideMark/>
          </w:tcPr>
          <w:p w14:paraId="0F0DF192" w14:textId="77777777" w:rsidR="00A27798" w:rsidRPr="00C7160C" w:rsidRDefault="00A27798" w:rsidP="003E5A53">
            <w:pPr>
              <w:rPr>
                <w:rFonts w:hint="eastAsia"/>
                <w:b/>
                <w:bCs/>
              </w:rPr>
            </w:pPr>
            <w:r w:rsidRPr="00C7160C">
              <w:rPr>
                <w:rFonts w:hint="eastAsia"/>
                <w:b/>
                <w:bCs/>
              </w:rPr>
              <w:t>模式</w:t>
            </w:r>
          </w:p>
        </w:tc>
        <w:tc>
          <w:tcPr>
            <w:tcW w:w="1985" w:type="dxa"/>
            <w:hideMark/>
          </w:tcPr>
          <w:p w14:paraId="24F92783" w14:textId="77777777" w:rsidR="00A27798" w:rsidRPr="00C7160C" w:rsidRDefault="00A27798" w:rsidP="003E5A53">
            <w:pPr>
              <w:rPr>
                <w:rFonts w:hint="eastAsia"/>
                <w:b/>
                <w:bCs/>
              </w:rPr>
            </w:pPr>
            <w:r w:rsidRPr="00C7160C">
              <w:rPr>
                <w:rFonts w:hint="eastAsia"/>
                <w:b/>
                <w:bCs/>
              </w:rPr>
              <w:t>说明</w:t>
            </w:r>
          </w:p>
        </w:tc>
        <w:tc>
          <w:tcPr>
            <w:tcW w:w="1984" w:type="dxa"/>
            <w:hideMark/>
          </w:tcPr>
          <w:p w14:paraId="056D8C48" w14:textId="77777777" w:rsidR="00A27798" w:rsidRPr="00C7160C" w:rsidRDefault="00A27798" w:rsidP="003E5A53">
            <w:pPr>
              <w:rPr>
                <w:rFonts w:hint="eastAsia"/>
                <w:b/>
                <w:bCs/>
              </w:rPr>
            </w:pPr>
            <w:r w:rsidRPr="00C7160C">
              <w:rPr>
                <w:rFonts w:hint="eastAsia"/>
                <w:b/>
                <w:bCs/>
              </w:rPr>
              <w:t>收费方式</w:t>
            </w:r>
          </w:p>
        </w:tc>
        <w:tc>
          <w:tcPr>
            <w:tcW w:w="2126" w:type="dxa"/>
            <w:hideMark/>
          </w:tcPr>
          <w:p w14:paraId="56AB68C4" w14:textId="77777777" w:rsidR="00A27798" w:rsidRPr="00C7160C" w:rsidRDefault="00A27798" w:rsidP="003E5A53">
            <w:pPr>
              <w:rPr>
                <w:rFonts w:hint="eastAsia"/>
                <w:b/>
                <w:bCs/>
              </w:rPr>
            </w:pPr>
            <w:r w:rsidRPr="00C7160C">
              <w:rPr>
                <w:rFonts w:hint="eastAsia"/>
                <w:b/>
                <w:bCs/>
              </w:rPr>
              <w:t>代表玩家</w:t>
            </w:r>
          </w:p>
        </w:tc>
        <w:tc>
          <w:tcPr>
            <w:tcW w:w="2268" w:type="dxa"/>
            <w:hideMark/>
          </w:tcPr>
          <w:p w14:paraId="08DF1367" w14:textId="77777777" w:rsidR="00A27798" w:rsidRPr="00C7160C" w:rsidRDefault="00A27798" w:rsidP="003E5A53">
            <w:pPr>
              <w:rPr>
                <w:rFonts w:hint="eastAsia"/>
                <w:b/>
                <w:bCs/>
              </w:rPr>
            </w:pPr>
            <w:r w:rsidRPr="00C7160C">
              <w:rPr>
                <w:rFonts w:hint="eastAsia"/>
                <w:b/>
                <w:bCs/>
              </w:rPr>
              <w:t>盈利现状</w:t>
            </w:r>
          </w:p>
        </w:tc>
      </w:tr>
      <w:tr w:rsidR="00A27798" w:rsidRPr="00C7160C" w14:paraId="149C257D" w14:textId="77777777" w:rsidTr="003E5A53">
        <w:trPr>
          <w:trHeight w:val="1200"/>
        </w:trPr>
        <w:tc>
          <w:tcPr>
            <w:tcW w:w="1560" w:type="dxa"/>
            <w:hideMark/>
          </w:tcPr>
          <w:p w14:paraId="7849D4B8" w14:textId="77777777" w:rsidR="00A27798" w:rsidRPr="00C7160C" w:rsidRDefault="00A27798" w:rsidP="003E5A53">
            <w:pPr>
              <w:rPr>
                <w:rFonts w:hint="eastAsia"/>
              </w:rPr>
            </w:pPr>
            <w:r w:rsidRPr="00C7160C">
              <w:rPr>
                <w:rFonts w:hint="eastAsia"/>
              </w:rPr>
              <w:t>MaaS（模型即服务）</w:t>
            </w:r>
          </w:p>
        </w:tc>
        <w:tc>
          <w:tcPr>
            <w:tcW w:w="1985" w:type="dxa"/>
            <w:hideMark/>
          </w:tcPr>
          <w:p w14:paraId="43729AA5" w14:textId="77777777" w:rsidR="00A27798" w:rsidRPr="00C7160C" w:rsidRDefault="00A27798" w:rsidP="003E5A53">
            <w:pPr>
              <w:rPr>
                <w:rFonts w:hint="eastAsia"/>
              </w:rPr>
            </w:pPr>
            <w:r>
              <w:rPr>
                <w:rFonts w:hint="eastAsia"/>
              </w:rPr>
              <w:t>分为API售卖，订阅制度两部分</w:t>
            </w:r>
          </w:p>
        </w:tc>
        <w:tc>
          <w:tcPr>
            <w:tcW w:w="1984" w:type="dxa"/>
            <w:hideMark/>
          </w:tcPr>
          <w:p w14:paraId="1EA372E7" w14:textId="77777777" w:rsidR="00A27798" w:rsidRPr="00C7160C" w:rsidRDefault="00A27798" w:rsidP="003E5A53">
            <w:pPr>
              <w:rPr>
                <w:rFonts w:hint="eastAsia"/>
              </w:rPr>
            </w:pPr>
            <w:r>
              <w:rPr>
                <w:rFonts w:hint="eastAsia"/>
              </w:rPr>
              <w:t>API售卖主要</w:t>
            </w:r>
            <w:r w:rsidRPr="00C7160C">
              <w:rPr>
                <w:rFonts w:hint="eastAsia"/>
              </w:rPr>
              <w:t>按Token消耗量计费</w:t>
            </w:r>
            <w:r w:rsidRPr="00C7160C">
              <w:rPr>
                <w:rFonts w:hint="eastAsia"/>
              </w:rPr>
              <w:br/>
            </w:r>
            <w:r>
              <w:rPr>
                <w:rFonts w:hint="eastAsia"/>
              </w:rPr>
              <w:t>，订阅制度一般为月包或者年包</w:t>
            </w:r>
          </w:p>
        </w:tc>
        <w:tc>
          <w:tcPr>
            <w:tcW w:w="2126" w:type="dxa"/>
            <w:hideMark/>
          </w:tcPr>
          <w:p w14:paraId="7F7BBBEA" w14:textId="77777777" w:rsidR="00A27798" w:rsidRPr="00C7160C" w:rsidRDefault="00A27798" w:rsidP="003E5A53">
            <w:pPr>
              <w:rPr>
                <w:rFonts w:hint="eastAsia"/>
              </w:rPr>
            </w:pPr>
            <w:r>
              <w:rPr>
                <w:rFonts w:hint="eastAsia"/>
              </w:rPr>
              <w:t>几乎所有模型厂商</w:t>
            </w:r>
          </w:p>
        </w:tc>
        <w:tc>
          <w:tcPr>
            <w:tcW w:w="2268" w:type="dxa"/>
            <w:hideMark/>
          </w:tcPr>
          <w:p w14:paraId="48E50275" w14:textId="77777777" w:rsidR="00A27798" w:rsidRPr="00C7160C" w:rsidRDefault="00A27798" w:rsidP="003E5A53">
            <w:pPr>
              <w:rPr>
                <w:rFonts w:hint="eastAsia"/>
              </w:rPr>
            </w:pPr>
            <w:r>
              <w:rPr>
                <w:rFonts w:hint="eastAsia"/>
              </w:rPr>
              <w:t>使用量增长几块，但价格战剧烈，毛利率收到算力成本和内卷情况制约，用户量巨大但是ARPU低。</w:t>
            </w:r>
          </w:p>
        </w:tc>
      </w:tr>
      <w:tr w:rsidR="00A27798" w:rsidRPr="00C7160C" w14:paraId="17B3DDA6" w14:textId="77777777" w:rsidTr="003E5A53">
        <w:trPr>
          <w:trHeight w:val="960"/>
        </w:trPr>
        <w:tc>
          <w:tcPr>
            <w:tcW w:w="1560" w:type="dxa"/>
            <w:hideMark/>
          </w:tcPr>
          <w:p w14:paraId="4556DDDD" w14:textId="77777777" w:rsidR="00A27798" w:rsidRPr="00C7160C" w:rsidRDefault="00A27798" w:rsidP="003E5A53">
            <w:pPr>
              <w:rPr>
                <w:rFonts w:hint="eastAsia"/>
              </w:rPr>
            </w:pPr>
            <w:r>
              <w:rPr>
                <w:rFonts w:hint="eastAsia"/>
              </w:rPr>
              <w:t>AIGC（AI内容生成工具）工具</w:t>
            </w:r>
          </w:p>
        </w:tc>
        <w:tc>
          <w:tcPr>
            <w:tcW w:w="1985" w:type="dxa"/>
            <w:hideMark/>
          </w:tcPr>
          <w:p w14:paraId="308A3CA1" w14:textId="77777777" w:rsidR="00A27798" w:rsidRPr="00C7160C" w:rsidRDefault="00A27798" w:rsidP="003E5A53">
            <w:pPr>
              <w:rPr>
                <w:rFonts w:hint="eastAsia"/>
              </w:rPr>
            </w:pPr>
            <w:r>
              <w:rPr>
                <w:rFonts w:hint="eastAsia"/>
              </w:rPr>
              <w:t>与MaaS有一定交叉，但是更加专业化，一般有独立的窗口</w:t>
            </w:r>
          </w:p>
        </w:tc>
        <w:tc>
          <w:tcPr>
            <w:tcW w:w="1984" w:type="dxa"/>
            <w:hideMark/>
          </w:tcPr>
          <w:p w14:paraId="4244C20E" w14:textId="77777777" w:rsidR="00A27798" w:rsidRPr="00C7160C" w:rsidRDefault="00A27798" w:rsidP="003E5A53">
            <w:pPr>
              <w:rPr>
                <w:rFonts w:hint="eastAsia"/>
              </w:rPr>
            </w:pPr>
            <w:r>
              <w:rPr>
                <w:rFonts w:hint="eastAsia"/>
              </w:rPr>
              <w:t>订阅制和积分制双轨收费</w:t>
            </w:r>
          </w:p>
        </w:tc>
        <w:tc>
          <w:tcPr>
            <w:tcW w:w="2126" w:type="dxa"/>
            <w:hideMark/>
          </w:tcPr>
          <w:p w14:paraId="62D57D8F" w14:textId="77777777" w:rsidR="00A27798" w:rsidRDefault="00A27798" w:rsidP="003E5A53">
            <w:pPr>
              <w:rPr>
                <w:rFonts w:hint="eastAsia"/>
              </w:rPr>
            </w:pPr>
            <w:r>
              <w:rPr>
                <w:rFonts w:hint="eastAsia"/>
              </w:rPr>
              <w:t>视频类：Sora（已被放弃），即梦，云雀</w:t>
            </w:r>
          </w:p>
          <w:p w14:paraId="333EB50F" w14:textId="77777777" w:rsidR="00A27798" w:rsidRDefault="00A27798" w:rsidP="003E5A53">
            <w:pPr>
              <w:rPr>
                <w:rFonts w:hint="eastAsia"/>
              </w:rPr>
            </w:pPr>
            <w:r>
              <w:rPr>
                <w:rFonts w:hint="eastAsia"/>
              </w:rPr>
              <w:t>音乐类：Suno，Udio</w:t>
            </w:r>
          </w:p>
          <w:p w14:paraId="07B4DFB0" w14:textId="77777777" w:rsidR="00A27798" w:rsidRDefault="00A27798" w:rsidP="003E5A53">
            <w:pPr>
              <w:rPr>
                <w:rFonts w:hint="eastAsia"/>
              </w:rPr>
            </w:pPr>
            <w:r>
              <w:rPr>
                <w:rFonts w:hint="eastAsia"/>
              </w:rPr>
              <w:t>笔记写作类：Notion，Obsidian</w:t>
            </w:r>
          </w:p>
          <w:p w14:paraId="40F6113E" w14:textId="77777777" w:rsidR="00A27798" w:rsidRPr="00C7160C" w:rsidRDefault="00A27798" w:rsidP="003E5A53">
            <w:pPr>
              <w:rPr>
                <w:rFonts w:hint="eastAsia"/>
              </w:rPr>
            </w:pPr>
            <w:r>
              <w:rPr>
                <w:rFonts w:hint="eastAsia"/>
              </w:rPr>
              <w:t>……</w:t>
            </w:r>
          </w:p>
        </w:tc>
        <w:tc>
          <w:tcPr>
            <w:tcW w:w="2268" w:type="dxa"/>
            <w:hideMark/>
          </w:tcPr>
          <w:p w14:paraId="3B005B1B" w14:textId="77777777" w:rsidR="00A27798" w:rsidRPr="00C7160C" w:rsidRDefault="00A27798" w:rsidP="003E5A53">
            <w:pPr>
              <w:rPr>
                <w:rFonts w:hint="eastAsia"/>
              </w:rPr>
            </w:pPr>
            <w:r>
              <w:rPr>
                <w:rFonts w:hint="eastAsia"/>
              </w:rPr>
              <w:t>根据具体的子分类，各自的盈利情况有所不同。整体上看市场规模均有上限，且竞争激烈，独立变现难度较大。</w:t>
            </w:r>
          </w:p>
        </w:tc>
      </w:tr>
      <w:tr w:rsidR="00A27798" w:rsidRPr="00C7160C" w14:paraId="7B885D09" w14:textId="77777777" w:rsidTr="003E5A53">
        <w:trPr>
          <w:trHeight w:val="960"/>
        </w:trPr>
        <w:tc>
          <w:tcPr>
            <w:tcW w:w="1560" w:type="dxa"/>
            <w:hideMark/>
          </w:tcPr>
          <w:p w14:paraId="6A4ADDAD" w14:textId="77777777" w:rsidR="00A27798" w:rsidRPr="00C7160C" w:rsidRDefault="00A27798" w:rsidP="003E5A53">
            <w:pPr>
              <w:rPr>
                <w:rFonts w:hint="eastAsia"/>
              </w:rPr>
            </w:pPr>
            <w:r>
              <w:rPr>
                <w:rFonts w:hint="eastAsia"/>
              </w:rPr>
              <w:t>办公类工具</w:t>
            </w:r>
          </w:p>
        </w:tc>
        <w:tc>
          <w:tcPr>
            <w:tcW w:w="1985" w:type="dxa"/>
            <w:hideMark/>
          </w:tcPr>
          <w:p w14:paraId="552734C6" w14:textId="77777777" w:rsidR="00A27798" w:rsidRPr="00C7160C" w:rsidRDefault="00A27798" w:rsidP="003E5A53">
            <w:pPr>
              <w:rPr>
                <w:rFonts w:hint="eastAsia"/>
              </w:rPr>
            </w:pPr>
            <w:r>
              <w:rPr>
                <w:rFonts w:hint="eastAsia"/>
              </w:rPr>
              <w:t>包含传统办公的AI化改造板块（比如微软全家桶AI改造，会议纪要AI）以及编程辅助</w:t>
            </w:r>
          </w:p>
        </w:tc>
        <w:tc>
          <w:tcPr>
            <w:tcW w:w="1984" w:type="dxa"/>
            <w:hideMark/>
          </w:tcPr>
          <w:p w14:paraId="5C208497" w14:textId="77777777" w:rsidR="00A27798" w:rsidRPr="00C7160C" w:rsidRDefault="00A27798" w:rsidP="003E5A53">
            <w:pPr>
              <w:rPr>
                <w:rFonts w:hint="eastAsia"/>
              </w:rPr>
            </w:pPr>
            <w:r>
              <w:rPr>
                <w:rFonts w:hint="eastAsia"/>
              </w:rPr>
              <w:t>订阅制为主</w:t>
            </w:r>
          </w:p>
        </w:tc>
        <w:tc>
          <w:tcPr>
            <w:tcW w:w="2126" w:type="dxa"/>
            <w:hideMark/>
          </w:tcPr>
          <w:p w14:paraId="668B8DF0" w14:textId="77777777" w:rsidR="00A27798" w:rsidRPr="00C7160C" w:rsidRDefault="00A27798" w:rsidP="003E5A53">
            <w:pPr>
              <w:rPr>
                <w:rFonts w:hint="eastAsia"/>
              </w:rPr>
            </w:pPr>
            <w:r>
              <w:rPr>
                <w:rFonts w:hint="eastAsia"/>
              </w:rPr>
              <w:t>Microsoft copolit，WPS AI，Micosoft Office AI，Cursor，通义灵码，扣子，腾讯会议AI，Canva</w:t>
            </w:r>
          </w:p>
        </w:tc>
        <w:tc>
          <w:tcPr>
            <w:tcW w:w="2268" w:type="dxa"/>
            <w:hideMark/>
          </w:tcPr>
          <w:p w14:paraId="12D11E69" w14:textId="77777777" w:rsidR="00A27798" w:rsidRPr="00C7160C" w:rsidRDefault="00A27798" w:rsidP="003E5A53">
            <w:pPr>
              <w:rPr>
                <w:rFonts w:hint="eastAsia"/>
              </w:rPr>
            </w:pPr>
            <w:r>
              <w:rPr>
                <w:rFonts w:hint="eastAsia"/>
              </w:rPr>
              <w:t>编程场景付费意愿最强，传统办公AI化仍在验证中，设计工具AI化进程较快但是竞争激烈</w:t>
            </w:r>
          </w:p>
        </w:tc>
      </w:tr>
      <w:tr w:rsidR="00A27798" w:rsidRPr="00C7160C" w14:paraId="34C0F7A9" w14:textId="77777777" w:rsidTr="003E5A53">
        <w:trPr>
          <w:trHeight w:val="960"/>
        </w:trPr>
        <w:tc>
          <w:tcPr>
            <w:tcW w:w="1560" w:type="dxa"/>
          </w:tcPr>
          <w:p w14:paraId="396619A2" w14:textId="77777777" w:rsidR="00A27798" w:rsidRDefault="00A27798" w:rsidP="003E5A53">
            <w:pPr>
              <w:rPr>
                <w:rFonts w:hint="eastAsia"/>
              </w:rPr>
            </w:pPr>
            <w:r>
              <w:rPr>
                <w:rFonts w:hint="eastAsia"/>
              </w:rPr>
              <w:t>AI原生应用类</w:t>
            </w:r>
          </w:p>
        </w:tc>
        <w:tc>
          <w:tcPr>
            <w:tcW w:w="1985" w:type="dxa"/>
          </w:tcPr>
          <w:p w14:paraId="1CF21CF7" w14:textId="77777777" w:rsidR="00A27798" w:rsidRDefault="00A27798" w:rsidP="003E5A53">
            <w:pPr>
              <w:rPr>
                <w:rFonts w:hint="eastAsia"/>
              </w:rPr>
            </w:pPr>
            <w:r>
              <w:rPr>
                <w:rFonts w:hint="eastAsia"/>
              </w:rPr>
              <w:t>目前处于百花齐放状态，情感陪伴，教育，娱乐，游戏，内容创作社区皆有受众</w:t>
            </w:r>
          </w:p>
        </w:tc>
        <w:tc>
          <w:tcPr>
            <w:tcW w:w="1984" w:type="dxa"/>
          </w:tcPr>
          <w:p w14:paraId="0F4E03A7" w14:textId="77777777" w:rsidR="00A27798" w:rsidRDefault="00A27798" w:rsidP="003E5A53">
            <w:pPr>
              <w:rPr>
                <w:rFonts w:hint="eastAsia"/>
              </w:rPr>
            </w:pPr>
            <w:r>
              <w:rPr>
                <w:rFonts w:hint="eastAsia"/>
              </w:rPr>
              <w:t>订阅制为主，参杂内购与积分次数制度</w:t>
            </w:r>
          </w:p>
        </w:tc>
        <w:tc>
          <w:tcPr>
            <w:tcW w:w="2126" w:type="dxa"/>
          </w:tcPr>
          <w:p w14:paraId="3EEEE1EE" w14:textId="77777777" w:rsidR="00A27798" w:rsidRDefault="00A27798" w:rsidP="003E5A53">
            <w:pPr>
              <w:rPr>
                <w:rFonts w:hint="eastAsia"/>
              </w:rPr>
            </w:pPr>
            <w:r>
              <w:rPr>
                <w:rFonts w:hint="eastAsia"/>
              </w:rPr>
              <w:t>情感陪伴类：星野/Talkie（MiniMax）</w:t>
            </w:r>
          </w:p>
          <w:p w14:paraId="6D5E2D24" w14:textId="77777777" w:rsidR="00A27798" w:rsidRDefault="00A27798" w:rsidP="003E5A53">
            <w:pPr>
              <w:rPr>
                <w:rFonts w:hint="eastAsia"/>
              </w:rPr>
            </w:pPr>
            <w:r>
              <w:rPr>
                <w:rFonts w:hint="eastAsia"/>
              </w:rPr>
              <w:t>Character.AI</w:t>
            </w:r>
          </w:p>
          <w:p w14:paraId="50F6BB6F" w14:textId="77777777" w:rsidR="00A27798" w:rsidRDefault="00A27798" w:rsidP="003E5A53">
            <w:pPr>
              <w:rPr>
                <w:rFonts w:hint="eastAsia"/>
              </w:rPr>
            </w:pPr>
            <w:r>
              <w:rPr>
                <w:rFonts w:hint="eastAsia"/>
              </w:rPr>
              <w:t>Replika"</w:t>
            </w:r>
          </w:p>
          <w:p w14:paraId="248166D2" w14:textId="77777777" w:rsidR="00A27798" w:rsidRDefault="00A27798" w:rsidP="003E5A53">
            <w:pPr>
              <w:rPr>
                <w:rFonts w:hint="eastAsia"/>
              </w:rPr>
            </w:pPr>
            <w:r>
              <w:rPr>
                <w:rFonts w:hint="eastAsia"/>
              </w:rPr>
              <w:t>教育：Duolingo Max（AI辅导）</w:t>
            </w:r>
          </w:p>
          <w:p w14:paraId="1352436F" w14:textId="77777777" w:rsidR="00A27798" w:rsidRDefault="00A27798" w:rsidP="003E5A53">
            <w:pPr>
              <w:rPr>
                <w:rFonts w:hint="eastAsia"/>
              </w:rPr>
            </w:pPr>
            <w:r>
              <w:rPr>
                <w:rFonts w:hint="eastAsia"/>
              </w:rPr>
              <w:t>Khan Academy（Khanmigo）</w:t>
            </w:r>
          </w:p>
        </w:tc>
        <w:tc>
          <w:tcPr>
            <w:tcW w:w="2268" w:type="dxa"/>
          </w:tcPr>
          <w:p w14:paraId="55F1B531" w14:textId="77777777" w:rsidR="00A27798" w:rsidRDefault="00A27798" w:rsidP="003E5A53">
            <w:pPr>
              <w:rPr>
                <w:rFonts w:hint="eastAsia"/>
              </w:rPr>
            </w:pPr>
            <w:r>
              <w:rPr>
                <w:rFonts w:hint="eastAsia"/>
              </w:rPr>
              <w:t>以情感陪伴和教育为代表的细分赛道</w:t>
            </w:r>
            <w:r w:rsidRPr="00302DA0">
              <w:rPr>
                <w:rFonts w:hint="eastAsia"/>
              </w:rPr>
              <w:t>用户粘性和付费意愿相对较高</w:t>
            </w:r>
            <w:r>
              <w:rPr>
                <w:rFonts w:hint="eastAsia"/>
              </w:rPr>
              <w:t>，娱乐及部分前沿类型尚未形成稳定商业模式，尚在探索中</w:t>
            </w:r>
          </w:p>
        </w:tc>
      </w:tr>
    </w:tbl>
    <w:p w14:paraId="69E9E695" w14:textId="77777777" w:rsidR="00A27798" w:rsidRPr="004E2B3F" w:rsidRDefault="00A27798" w:rsidP="00A27798">
      <w:pPr>
        <w:rPr>
          <w:rFonts w:hint="eastAsia"/>
        </w:rPr>
      </w:pPr>
    </w:p>
    <w:p w14:paraId="4D3FDA50" w14:textId="77777777" w:rsidR="00A27798" w:rsidRDefault="00A27798" w:rsidP="00A27798">
      <w:pPr>
        <w:rPr>
          <w:rFonts w:hint="eastAsia"/>
        </w:rPr>
      </w:pPr>
      <w:r>
        <w:rPr>
          <w:rFonts w:hint="eastAsia"/>
        </w:rPr>
        <w:t>目前大模型的商业格局远远称不上收敛。从盈利能力上来看，状况远远称不上健康。商业进程上</w:t>
      </w:r>
      <w:r w:rsidRPr="008D6F95">
        <w:rPr>
          <w:rFonts w:hint="eastAsia"/>
        </w:rPr>
        <w:t>OpenAI 是最接近跑通的样本</w:t>
      </w:r>
      <w:r>
        <w:rPr>
          <w:rFonts w:hint="eastAsia"/>
        </w:rPr>
        <w:t>，其</w:t>
      </w:r>
      <w:r w:rsidRPr="008D6F95">
        <w:rPr>
          <w:rFonts w:hint="eastAsia"/>
        </w:rPr>
        <w:t>2025年整体收入约116亿美元</w:t>
      </w:r>
      <w:r>
        <w:rPr>
          <w:rFonts w:hint="eastAsia"/>
        </w:rPr>
        <w:t>，</w:t>
      </w:r>
      <w:r w:rsidRPr="008D6F95">
        <w:rPr>
          <w:rFonts w:hint="eastAsia"/>
        </w:rPr>
        <w:t xml:space="preserve">ChatGPT </w:t>
      </w:r>
      <w:r>
        <w:rPr>
          <w:rFonts w:hint="eastAsia"/>
        </w:rPr>
        <w:t>及其调用在</w:t>
      </w:r>
      <w:r w:rsidRPr="008D6F95">
        <w:rPr>
          <w:rFonts w:hint="eastAsia"/>
        </w:rPr>
        <w:t>2025年为OpenAI带来约80亿美元收入，占公司总收入66%，订阅用户约5000万。但Sam Altman亲口承认，即便定价200美元/月的ChatGPT Pro，由于重度用户的推理消耗过大，"仍然不盈利"。</w:t>
      </w:r>
      <w:r>
        <w:rPr>
          <w:rFonts w:hint="eastAsia"/>
        </w:rPr>
        <w:t>公司整体仍</w:t>
      </w:r>
      <w:r w:rsidRPr="008D6F95">
        <w:rPr>
          <w:rFonts w:hint="eastAsia"/>
        </w:rPr>
        <w:t>靠千亿级融资续命，</w:t>
      </w:r>
      <w:r>
        <w:rPr>
          <w:rFonts w:hint="eastAsia"/>
        </w:rPr>
        <w:t>并且在2026年中有上市计划，</w:t>
      </w:r>
      <w:r w:rsidRPr="008D6F95">
        <w:rPr>
          <w:rFonts w:hint="eastAsia"/>
        </w:rPr>
        <w:t>估值</w:t>
      </w:r>
      <w:r>
        <w:rPr>
          <w:rFonts w:hint="eastAsia"/>
        </w:rPr>
        <w:t>已接近万</w:t>
      </w:r>
      <w:r w:rsidRPr="008D6F95">
        <w:rPr>
          <w:rFonts w:hint="eastAsia"/>
        </w:rPr>
        <w:t>亿美元。</w:t>
      </w:r>
      <w:r>
        <w:rPr>
          <w:rFonts w:hint="eastAsia"/>
        </w:rPr>
        <w:t>其主要竞争对手Anthropic也面临相似情况，估值已破万亿，年收入超过300亿，但仍未达到盈亏平衡。</w:t>
      </w:r>
    </w:p>
    <w:p w14:paraId="25A71664" w14:textId="77777777" w:rsidR="00A27798" w:rsidRDefault="00A27798" w:rsidP="00A27798">
      <w:pPr>
        <w:rPr>
          <w:rFonts w:hint="eastAsia"/>
        </w:rPr>
      </w:pPr>
      <w:r>
        <w:rPr>
          <w:rFonts w:hint="eastAsia"/>
        </w:rPr>
        <w:lastRenderedPageBreak/>
        <w:t>以已经上市的智谱和Minimax为参考</w:t>
      </w:r>
      <w:r w:rsidRPr="00F06280">
        <w:rPr>
          <w:rFonts w:hint="eastAsia"/>
        </w:rPr>
        <w:t>。2025年</w:t>
      </w:r>
      <w:r>
        <w:rPr>
          <w:rFonts w:hint="eastAsia"/>
        </w:rPr>
        <w:t xml:space="preserve">Minimax </w:t>
      </w:r>
      <w:r w:rsidRPr="00F06280">
        <w:rPr>
          <w:rFonts w:hint="eastAsia"/>
        </w:rPr>
        <w:t>C端产品（海螺AI、星野等）收入5308万美元，同比增长143%，占总收入67%。但同期经调整净亏损2.5亿美元。虽然2026年2月ARR突破1.5亿美元、毛利同比飙升437%，但距离盈亏平衡仍有距离。</w:t>
      </w:r>
      <w:r>
        <w:rPr>
          <w:rFonts w:hint="eastAsia"/>
        </w:rPr>
        <w:t>智谱总收入7.24亿人民币，同比增长132%</w:t>
      </w:r>
    </w:p>
    <w:p w14:paraId="1612C050" w14:textId="77777777" w:rsidR="00A27798" w:rsidRDefault="00A27798" w:rsidP="00A27798">
      <w:pPr>
        <w:rPr>
          <w:rFonts w:hint="eastAsia"/>
        </w:rPr>
      </w:pPr>
      <w:r>
        <w:rPr>
          <w:rFonts w:hint="eastAsia"/>
        </w:rPr>
        <w:t>表：收入情况</w:t>
      </w:r>
    </w:p>
    <w:tbl>
      <w:tblPr>
        <w:tblStyle w:val="af2"/>
        <w:tblW w:w="0" w:type="auto"/>
        <w:tblLook w:val="04A0" w:firstRow="1" w:lastRow="0" w:firstColumn="1" w:lastColumn="0" w:noHBand="0" w:noVBand="1"/>
      </w:tblPr>
      <w:tblGrid>
        <w:gridCol w:w="2538"/>
        <w:gridCol w:w="2879"/>
        <w:gridCol w:w="2879"/>
      </w:tblGrid>
      <w:tr w:rsidR="00A27798" w:rsidRPr="00834FE0" w14:paraId="7F71E204" w14:textId="77777777" w:rsidTr="003E5A53">
        <w:trPr>
          <w:trHeight w:val="270"/>
        </w:trPr>
        <w:tc>
          <w:tcPr>
            <w:tcW w:w="3000" w:type="dxa"/>
            <w:hideMark/>
          </w:tcPr>
          <w:p w14:paraId="68688990" w14:textId="77777777" w:rsidR="00A27798" w:rsidRPr="00834FE0" w:rsidRDefault="00A27798" w:rsidP="003E5A53">
            <w:pPr>
              <w:rPr>
                <w:rFonts w:hint="eastAsia"/>
                <w:b/>
                <w:bCs/>
              </w:rPr>
            </w:pPr>
            <w:r w:rsidRPr="00834FE0">
              <w:rPr>
                <w:rFonts w:hint="eastAsia"/>
                <w:b/>
                <w:bCs/>
              </w:rPr>
              <w:t>指标</w:t>
            </w:r>
          </w:p>
        </w:tc>
        <w:tc>
          <w:tcPr>
            <w:tcW w:w="3600" w:type="dxa"/>
            <w:hideMark/>
          </w:tcPr>
          <w:p w14:paraId="0D72449D" w14:textId="77777777" w:rsidR="00A27798" w:rsidRPr="00834FE0" w:rsidRDefault="00A27798" w:rsidP="003E5A53">
            <w:pPr>
              <w:rPr>
                <w:rFonts w:hint="eastAsia"/>
                <w:b/>
                <w:bCs/>
              </w:rPr>
            </w:pPr>
            <w:r w:rsidRPr="00834FE0">
              <w:rPr>
                <w:rFonts w:hint="eastAsia"/>
                <w:b/>
                <w:bCs/>
              </w:rPr>
              <w:t>智谱（02513）</w:t>
            </w:r>
          </w:p>
        </w:tc>
        <w:tc>
          <w:tcPr>
            <w:tcW w:w="3600" w:type="dxa"/>
            <w:hideMark/>
          </w:tcPr>
          <w:p w14:paraId="73BEF2B4" w14:textId="77777777" w:rsidR="00A27798" w:rsidRPr="00834FE0" w:rsidRDefault="00A27798" w:rsidP="003E5A53">
            <w:pPr>
              <w:rPr>
                <w:rFonts w:hint="eastAsia"/>
                <w:b/>
                <w:bCs/>
              </w:rPr>
            </w:pPr>
            <w:r w:rsidRPr="00834FE0">
              <w:rPr>
                <w:rFonts w:hint="eastAsia"/>
                <w:b/>
                <w:bCs/>
              </w:rPr>
              <w:t>MiniMax（00100）</w:t>
            </w:r>
          </w:p>
        </w:tc>
      </w:tr>
      <w:tr w:rsidR="00A27798" w:rsidRPr="00834FE0" w14:paraId="678EA556" w14:textId="77777777" w:rsidTr="003E5A53">
        <w:trPr>
          <w:trHeight w:val="270"/>
        </w:trPr>
        <w:tc>
          <w:tcPr>
            <w:tcW w:w="3000" w:type="dxa"/>
            <w:hideMark/>
          </w:tcPr>
          <w:p w14:paraId="4EF8B2C1" w14:textId="77777777" w:rsidR="00A27798" w:rsidRPr="00834FE0" w:rsidRDefault="00A27798" w:rsidP="003E5A53">
            <w:pPr>
              <w:rPr>
                <w:rFonts w:hint="eastAsia"/>
              </w:rPr>
            </w:pPr>
            <w:r w:rsidRPr="00834FE0">
              <w:rPr>
                <w:rFonts w:hint="eastAsia"/>
              </w:rPr>
              <w:t>2022年收入</w:t>
            </w:r>
          </w:p>
        </w:tc>
        <w:tc>
          <w:tcPr>
            <w:tcW w:w="3600" w:type="dxa"/>
            <w:hideMark/>
          </w:tcPr>
          <w:p w14:paraId="35EE8755" w14:textId="77777777" w:rsidR="00A27798" w:rsidRPr="00834FE0" w:rsidRDefault="00A27798" w:rsidP="003E5A53">
            <w:pPr>
              <w:rPr>
                <w:rFonts w:hint="eastAsia"/>
              </w:rPr>
            </w:pPr>
            <w:r w:rsidRPr="00834FE0">
              <w:rPr>
                <w:rFonts w:hint="eastAsia"/>
              </w:rPr>
              <w:t>0.57亿 RMB</w:t>
            </w:r>
          </w:p>
        </w:tc>
        <w:tc>
          <w:tcPr>
            <w:tcW w:w="3600" w:type="dxa"/>
            <w:hideMark/>
          </w:tcPr>
          <w:p w14:paraId="1ACA8CF7" w14:textId="77777777" w:rsidR="00A27798" w:rsidRPr="00834FE0" w:rsidRDefault="00A27798" w:rsidP="003E5A53">
            <w:pPr>
              <w:rPr>
                <w:rFonts w:hint="eastAsia"/>
              </w:rPr>
            </w:pPr>
            <w:r w:rsidRPr="00834FE0">
              <w:rPr>
                <w:rFonts w:hint="eastAsia"/>
              </w:rPr>
              <w:t>—</w:t>
            </w:r>
          </w:p>
        </w:tc>
      </w:tr>
      <w:tr w:rsidR="00A27798" w:rsidRPr="00834FE0" w14:paraId="46206744" w14:textId="77777777" w:rsidTr="003E5A53">
        <w:trPr>
          <w:trHeight w:val="270"/>
        </w:trPr>
        <w:tc>
          <w:tcPr>
            <w:tcW w:w="3000" w:type="dxa"/>
            <w:hideMark/>
          </w:tcPr>
          <w:p w14:paraId="6669CAA0" w14:textId="77777777" w:rsidR="00A27798" w:rsidRPr="00834FE0" w:rsidRDefault="00A27798" w:rsidP="003E5A53">
            <w:pPr>
              <w:rPr>
                <w:rFonts w:hint="eastAsia"/>
              </w:rPr>
            </w:pPr>
            <w:r w:rsidRPr="00834FE0">
              <w:rPr>
                <w:rFonts w:hint="eastAsia"/>
              </w:rPr>
              <w:t>2023年收入</w:t>
            </w:r>
          </w:p>
        </w:tc>
        <w:tc>
          <w:tcPr>
            <w:tcW w:w="3600" w:type="dxa"/>
            <w:hideMark/>
          </w:tcPr>
          <w:p w14:paraId="038F5C08" w14:textId="77777777" w:rsidR="00A27798" w:rsidRPr="00834FE0" w:rsidRDefault="00A27798" w:rsidP="003E5A53">
            <w:pPr>
              <w:rPr>
                <w:rFonts w:hint="eastAsia"/>
              </w:rPr>
            </w:pPr>
            <w:r w:rsidRPr="00834FE0">
              <w:rPr>
                <w:rFonts w:hint="eastAsia"/>
              </w:rPr>
              <w:t>1.25亿 RMB</w:t>
            </w:r>
          </w:p>
        </w:tc>
        <w:tc>
          <w:tcPr>
            <w:tcW w:w="3600" w:type="dxa"/>
            <w:hideMark/>
          </w:tcPr>
          <w:p w14:paraId="2DCA54B5" w14:textId="77777777" w:rsidR="00A27798" w:rsidRPr="00834FE0" w:rsidRDefault="00A27798" w:rsidP="003E5A53">
            <w:pPr>
              <w:rPr>
                <w:rFonts w:hint="eastAsia"/>
              </w:rPr>
            </w:pPr>
            <w:r w:rsidRPr="00834FE0">
              <w:rPr>
                <w:rFonts w:hint="eastAsia"/>
              </w:rPr>
              <w:t>~0.35亿 USD</w:t>
            </w:r>
          </w:p>
        </w:tc>
      </w:tr>
      <w:tr w:rsidR="00A27798" w:rsidRPr="00834FE0" w14:paraId="7B284BD4" w14:textId="77777777" w:rsidTr="003E5A53">
        <w:trPr>
          <w:trHeight w:val="270"/>
        </w:trPr>
        <w:tc>
          <w:tcPr>
            <w:tcW w:w="3000" w:type="dxa"/>
            <w:hideMark/>
          </w:tcPr>
          <w:p w14:paraId="6426686E" w14:textId="77777777" w:rsidR="00A27798" w:rsidRPr="00834FE0" w:rsidRDefault="00A27798" w:rsidP="003E5A53">
            <w:pPr>
              <w:rPr>
                <w:rFonts w:hint="eastAsia"/>
              </w:rPr>
            </w:pPr>
            <w:r w:rsidRPr="00834FE0">
              <w:rPr>
                <w:rFonts w:hint="eastAsia"/>
              </w:rPr>
              <w:t>2024年收入</w:t>
            </w:r>
          </w:p>
        </w:tc>
        <w:tc>
          <w:tcPr>
            <w:tcW w:w="3600" w:type="dxa"/>
            <w:hideMark/>
          </w:tcPr>
          <w:p w14:paraId="30811DCD" w14:textId="77777777" w:rsidR="00A27798" w:rsidRPr="00834FE0" w:rsidRDefault="00A27798" w:rsidP="003E5A53">
            <w:pPr>
              <w:rPr>
                <w:rFonts w:hint="eastAsia"/>
              </w:rPr>
            </w:pPr>
            <w:r w:rsidRPr="00834FE0">
              <w:rPr>
                <w:rFonts w:hint="eastAsia"/>
              </w:rPr>
              <w:t>3.12亿 RMB</w:t>
            </w:r>
          </w:p>
        </w:tc>
        <w:tc>
          <w:tcPr>
            <w:tcW w:w="3600" w:type="dxa"/>
            <w:hideMark/>
          </w:tcPr>
          <w:p w14:paraId="64611325" w14:textId="77777777" w:rsidR="00A27798" w:rsidRPr="00834FE0" w:rsidRDefault="00A27798" w:rsidP="003E5A53">
            <w:pPr>
              <w:rPr>
                <w:rFonts w:hint="eastAsia"/>
              </w:rPr>
            </w:pPr>
            <w:r w:rsidRPr="00834FE0">
              <w:rPr>
                <w:rFonts w:hint="eastAsia"/>
              </w:rPr>
              <w:t>~0.31亿 USD</w:t>
            </w:r>
          </w:p>
        </w:tc>
      </w:tr>
      <w:tr w:rsidR="00A27798" w:rsidRPr="00834FE0" w14:paraId="28268144" w14:textId="77777777" w:rsidTr="003E5A53">
        <w:trPr>
          <w:trHeight w:val="270"/>
        </w:trPr>
        <w:tc>
          <w:tcPr>
            <w:tcW w:w="3000" w:type="dxa"/>
            <w:hideMark/>
          </w:tcPr>
          <w:p w14:paraId="53F1F89A" w14:textId="77777777" w:rsidR="00A27798" w:rsidRPr="00834FE0" w:rsidRDefault="00A27798" w:rsidP="003E5A53">
            <w:pPr>
              <w:rPr>
                <w:rFonts w:hint="eastAsia"/>
              </w:rPr>
            </w:pPr>
            <w:r w:rsidRPr="00834FE0">
              <w:rPr>
                <w:rFonts w:hint="eastAsia"/>
              </w:rPr>
              <w:t>2025年收入</w:t>
            </w:r>
          </w:p>
        </w:tc>
        <w:tc>
          <w:tcPr>
            <w:tcW w:w="3600" w:type="dxa"/>
            <w:hideMark/>
          </w:tcPr>
          <w:p w14:paraId="04DB1E11" w14:textId="77777777" w:rsidR="00A27798" w:rsidRPr="00834FE0" w:rsidRDefault="00A27798" w:rsidP="003E5A53">
            <w:pPr>
              <w:rPr>
                <w:rFonts w:hint="eastAsia"/>
              </w:rPr>
            </w:pPr>
            <w:r w:rsidRPr="00834FE0">
              <w:rPr>
                <w:rFonts w:hint="eastAsia"/>
              </w:rPr>
              <w:t>7.24亿 RMB（+132% YoY）</w:t>
            </w:r>
          </w:p>
        </w:tc>
        <w:tc>
          <w:tcPr>
            <w:tcW w:w="3600" w:type="dxa"/>
            <w:hideMark/>
          </w:tcPr>
          <w:p w14:paraId="651D17CA" w14:textId="77777777" w:rsidR="00A27798" w:rsidRPr="00834FE0" w:rsidRDefault="00A27798" w:rsidP="003E5A53">
            <w:pPr>
              <w:rPr>
                <w:rFonts w:hint="eastAsia"/>
              </w:rPr>
            </w:pPr>
            <w:r w:rsidRPr="00834FE0">
              <w:rPr>
                <w:rFonts w:hint="eastAsia"/>
              </w:rPr>
              <w:t>0.79亿 USD（+159% YoY）</w:t>
            </w:r>
          </w:p>
        </w:tc>
      </w:tr>
      <w:tr w:rsidR="00A27798" w:rsidRPr="00834FE0" w14:paraId="0D9A1AEC" w14:textId="77777777" w:rsidTr="003E5A53">
        <w:trPr>
          <w:trHeight w:val="270"/>
        </w:trPr>
        <w:tc>
          <w:tcPr>
            <w:tcW w:w="3000" w:type="dxa"/>
            <w:hideMark/>
          </w:tcPr>
          <w:p w14:paraId="6839E238" w14:textId="77777777" w:rsidR="00A27798" w:rsidRPr="00834FE0" w:rsidRDefault="00A27798" w:rsidP="003E5A53">
            <w:pPr>
              <w:rPr>
                <w:rFonts w:hint="eastAsia"/>
              </w:rPr>
            </w:pPr>
            <w:r w:rsidRPr="00834FE0">
              <w:rPr>
                <w:rFonts w:hint="eastAsia"/>
              </w:rPr>
              <w:t>2026E收入（UBS/JPM）</w:t>
            </w:r>
          </w:p>
        </w:tc>
        <w:tc>
          <w:tcPr>
            <w:tcW w:w="3600" w:type="dxa"/>
            <w:hideMark/>
          </w:tcPr>
          <w:p w14:paraId="0FA87A5A" w14:textId="77777777" w:rsidR="00A27798" w:rsidRPr="00834FE0" w:rsidRDefault="00A27798" w:rsidP="003E5A53">
            <w:pPr>
              <w:rPr>
                <w:rFonts w:hint="eastAsia"/>
              </w:rPr>
            </w:pPr>
            <w:r w:rsidRPr="00834FE0">
              <w:rPr>
                <w:rFonts w:hint="eastAsia"/>
              </w:rPr>
              <w:t>32.08亿 RMB（UBS）</w:t>
            </w:r>
          </w:p>
        </w:tc>
        <w:tc>
          <w:tcPr>
            <w:tcW w:w="3600" w:type="dxa"/>
            <w:hideMark/>
          </w:tcPr>
          <w:p w14:paraId="4D6A99C6" w14:textId="77777777" w:rsidR="00A27798" w:rsidRPr="00834FE0" w:rsidRDefault="00A27798" w:rsidP="003E5A53">
            <w:pPr>
              <w:rPr>
                <w:rFonts w:hint="eastAsia"/>
              </w:rPr>
            </w:pPr>
            <w:r w:rsidRPr="00834FE0">
              <w:rPr>
                <w:rFonts w:hint="eastAsia"/>
              </w:rPr>
              <w:t>2.20亿 USD（JPM）</w:t>
            </w:r>
          </w:p>
        </w:tc>
      </w:tr>
      <w:tr w:rsidR="00A27798" w:rsidRPr="00834FE0" w14:paraId="7C4DFB36" w14:textId="77777777" w:rsidTr="003E5A53">
        <w:trPr>
          <w:trHeight w:val="270"/>
        </w:trPr>
        <w:tc>
          <w:tcPr>
            <w:tcW w:w="3000" w:type="dxa"/>
            <w:hideMark/>
          </w:tcPr>
          <w:p w14:paraId="6C0788FA" w14:textId="77777777" w:rsidR="00A27798" w:rsidRPr="00834FE0" w:rsidRDefault="00A27798" w:rsidP="003E5A53">
            <w:pPr>
              <w:rPr>
                <w:rFonts w:hint="eastAsia"/>
              </w:rPr>
            </w:pPr>
            <w:r w:rsidRPr="00834FE0">
              <w:rPr>
                <w:rFonts w:hint="eastAsia"/>
              </w:rPr>
              <w:t>2027E收入（UBS/JPM）</w:t>
            </w:r>
          </w:p>
        </w:tc>
        <w:tc>
          <w:tcPr>
            <w:tcW w:w="3600" w:type="dxa"/>
            <w:hideMark/>
          </w:tcPr>
          <w:p w14:paraId="781ED654" w14:textId="77777777" w:rsidR="00A27798" w:rsidRPr="00834FE0" w:rsidRDefault="00A27798" w:rsidP="003E5A53">
            <w:pPr>
              <w:rPr>
                <w:rFonts w:hint="eastAsia"/>
              </w:rPr>
            </w:pPr>
            <w:r w:rsidRPr="00834FE0">
              <w:rPr>
                <w:rFonts w:hint="eastAsia"/>
              </w:rPr>
              <w:t>79.41亿 RMB（UBS）</w:t>
            </w:r>
          </w:p>
        </w:tc>
        <w:tc>
          <w:tcPr>
            <w:tcW w:w="3600" w:type="dxa"/>
            <w:hideMark/>
          </w:tcPr>
          <w:p w14:paraId="521149ED" w14:textId="77777777" w:rsidR="00A27798" w:rsidRPr="00834FE0" w:rsidRDefault="00A27798" w:rsidP="003E5A53">
            <w:pPr>
              <w:rPr>
                <w:rFonts w:hint="eastAsia"/>
              </w:rPr>
            </w:pPr>
            <w:r w:rsidRPr="00834FE0">
              <w:rPr>
                <w:rFonts w:hint="eastAsia"/>
              </w:rPr>
              <w:t>6.34亿 USD（JPM）</w:t>
            </w:r>
          </w:p>
        </w:tc>
      </w:tr>
      <w:tr w:rsidR="00A27798" w:rsidRPr="00834FE0" w14:paraId="08568BFA" w14:textId="77777777" w:rsidTr="003E5A53">
        <w:trPr>
          <w:trHeight w:val="270"/>
        </w:trPr>
        <w:tc>
          <w:tcPr>
            <w:tcW w:w="3000" w:type="dxa"/>
            <w:hideMark/>
          </w:tcPr>
          <w:p w14:paraId="56AB38F5" w14:textId="77777777" w:rsidR="00A27798" w:rsidRPr="00834FE0" w:rsidRDefault="00A27798" w:rsidP="003E5A53">
            <w:pPr>
              <w:rPr>
                <w:rFonts w:hint="eastAsia"/>
              </w:rPr>
            </w:pPr>
            <w:r w:rsidRPr="00834FE0">
              <w:rPr>
                <w:rFonts w:hint="eastAsia"/>
              </w:rPr>
              <w:t>收入CAGR（预测）</w:t>
            </w:r>
          </w:p>
        </w:tc>
        <w:tc>
          <w:tcPr>
            <w:tcW w:w="3600" w:type="dxa"/>
            <w:hideMark/>
          </w:tcPr>
          <w:p w14:paraId="01B4F00A" w14:textId="77777777" w:rsidR="00A27798" w:rsidRPr="00834FE0" w:rsidRDefault="00A27798" w:rsidP="003E5A53">
            <w:pPr>
              <w:rPr>
                <w:rFonts w:hint="eastAsia"/>
              </w:rPr>
            </w:pPr>
            <w:r w:rsidRPr="00834FE0">
              <w:rPr>
                <w:rFonts w:hint="eastAsia"/>
              </w:rPr>
              <w:t>231%（UBS，25-27E）</w:t>
            </w:r>
          </w:p>
        </w:tc>
        <w:tc>
          <w:tcPr>
            <w:tcW w:w="3600" w:type="dxa"/>
            <w:hideMark/>
          </w:tcPr>
          <w:p w14:paraId="15696BBA" w14:textId="77777777" w:rsidR="00A27798" w:rsidRPr="00834FE0" w:rsidRDefault="00A27798" w:rsidP="003E5A53">
            <w:pPr>
              <w:rPr>
                <w:rFonts w:hint="eastAsia"/>
              </w:rPr>
            </w:pPr>
            <w:r w:rsidRPr="00834FE0">
              <w:rPr>
                <w:rFonts w:hint="eastAsia"/>
              </w:rPr>
              <w:t>约2年内9-10倍增长（MS）</w:t>
            </w:r>
          </w:p>
        </w:tc>
      </w:tr>
    </w:tbl>
    <w:p w14:paraId="7B44B249" w14:textId="77777777" w:rsidR="00A27798" w:rsidRDefault="00A27798" w:rsidP="00A27798">
      <w:pPr>
        <w:rPr>
          <w:rFonts w:hint="eastAsia"/>
        </w:rPr>
      </w:pPr>
      <w:r>
        <w:rPr>
          <w:rFonts w:hint="eastAsia"/>
        </w:rPr>
        <w:t>表：盈亏情况</w:t>
      </w:r>
    </w:p>
    <w:tbl>
      <w:tblPr>
        <w:tblStyle w:val="af2"/>
        <w:tblW w:w="0" w:type="auto"/>
        <w:tblLook w:val="04A0" w:firstRow="1" w:lastRow="0" w:firstColumn="1" w:lastColumn="0" w:noHBand="0" w:noVBand="1"/>
      </w:tblPr>
      <w:tblGrid>
        <w:gridCol w:w="2426"/>
        <w:gridCol w:w="2890"/>
        <w:gridCol w:w="2980"/>
      </w:tblGrid>
      <w:tr w:rsidR="00A27798" w:rsidRPr="00394936" w14:paraId="4AF1E1CE" w14:textId="77777777" w:rsidTr="003E5A53">
        <w:trPr>
          <w:trHeight w:val="270"/>
        </w:trPr>
        <w:tc>
          <w:tcPr>
            <w:tcW w:w="2426" w:type="dxa"/>
            <w:hideMark/>
          </w:tcPr>
          <w:p w14:paraId="15788AC4" w14:textId="77777777" w:rsidR="00A27798" w:rsidRPr="00394936" w:rsidRDefault="00A27798" w:rsidP="003E5A53">
            <w:pPr>
              <w:rPr>
                <w:rFonts w:hint="eastAsia"/>
                <w:b/>
                <w:bCs/>
              </w:rPr>
            </w:pPr>
            <w:r w:rsidRPr="00394936">
              <w:rPr>
                <w:rFonts w:hint="eastAsia"/>
                <w:b/>
                <w:bCs/>
              </w:rPr>
              <w:t>指标</w:t>
            </w:r>
          </w:p>
        </w:tc>
        <w:tc>
          <w:tcPr>
            <w:tcW w:w="2890" w:type="dxa"/>
            <w:hideMark/>
          </w:tcPr>
          <w:p w14:paraId="4C703893" w14:textId="77777777" w:rsidR="00A27798" w:rsidRPr="00394936" w:rsidRDefault="00A27798" w:rsidP="003E5A53">
            <w:pPr>
              <w:rPr>
                <w:rFonts w:hint="eastAsia"/>
                <w:b/>
                <w:bCs/>
              </w:rPr>
            </w:pPr>
            <w:r w:rsidRPr="00394936">
              <w:rPr>
                <w:rFonts w:hint="eastAsia"/>
                <w:b/>
                <w:bCs/>
              </w:rPr>
              <w:t>智谱</w:t>
            </w:r>
          </w:p>
        </w:tc>
        <w:tc>
          <w:tcPr>
            <w:tcW w:w="2980" w:type="dxa"/>
            <w:hideMark/>
          </w:tcPr>
          <w:p w14:paraId="08374229" w14:textId="77777777" w:rsidR="00A27798" w:rsidRPr="00394936" w:rsidRDefault="00A27798" w:rsidP="003E5A53">
            <w:pPr>
              <w:rPr>
                <w:rFonts w:hint="eastAsia"/>
                <w:b/>
                <w:bCs/>
              </w:rPr>
            </w:pPr>
            <w:r w:rsidRPr="00394936">
              <w:rPr>
                <w:rFonts w:hint="eastAsia"/>
                <w:b/>
                <w:bCs/>
              </w:rPr>
              <w:t>MiniMax</w:t>
            </w:r>
          </w:p>
        </w:tc>
      </w:tr>
      <w:tr w:rsidR="00A27798" w:rsidRPr="00394936" w14:paraId="54329545" w14:textId="77777777" w:rsidTr="003E5A53">
        <w:trPr>
          <w:trHeight w:val="480"/>
        </w:trPr>
        <w:tc>
          <w:tcPr>
            <w:tcW w:w="2426" w:type="dxa"/>
            <w:hideMark/>
          </w:tcPr>
          <w:p w14:paraId="3C707D8B" w14:textId="77777777" w:rsidR="00A27798" w:rsidRPr="00394936" w:rsidRDefault="00A27798" w:rsidP="003E5A53">
            <w:pPr>
              <w:rPr>
                <w:rFonts w:hint="eastAsia"/>
              </w:rPr>
            </w:pPr>
            <w:r w:rsidRPr="00394936">
              <w:rPr>
                <w:rFonts w:hint="eastAsia"/>
              </w:rPr>
              <w:t>2025整体毛利率</w:t>
            </w:r>
          </w:p>
        </w:tc>
        <w:tc>
          <w:tcPr>
            <w:tcW w:w="2890" w:type="dxa"/>
            <w:hideMark/>
          </w:tcPr>
          <w:p w14:paraId="428D11F1" w14:textId="77777777" w:rsidR="00A27798" w:rsidRPr="00394936" w:rsidRDefault="00A27798" w:rsidP="003E5A53">
            <w:pPr>
              <w:rPr>
                <w:rFonts w:hint="eastAsia"/>
              </w:rPr>
            </w:pPr>
            <w:r>
              <w:rPr>
                <w:rFonts w:hint="eastAsia"/>
              </w:rPr>
              <w:t>41%</w:t>
            </w:r>
          </w:p>
        </w:tc>
        <w:tc>
          <w:tcPr>
            <w:tcW w:w="2980" w:type="dxa"/>
            <w:hideMark/>
          </w:tcPr>
          <w:p w14:paraId="38F6193A" w14:textId="77777777" w:rsidR="00A27798" w:rsidRPr="00394936" w:rsidRDefault="00A27798" w:rsidP="003E5A53">
            <w:pPr>
              <w:rPr>
                <w:rFonts w:hint="eastAsia"/>
              </w:rPr>
            </w:pPr>
            <w:r w:rsidRPr="00394936">
              <w:rPr>
                <w:rFonts w:hint="eastAsia"/>
              </w:rPr>
              <w:t>25.4%</w:t>
            </w:r>
          </w:p>
        </w:tc>
      </w:tr>
      <w:tr w:rsidR="00A27798" w:rsidRPr="00394936" w14:paraId="58682486" w14:textId="77777777" w:rsidTr="003E5A53">
        <w:trPr>
          <w:trHeight w:val="270"/>
        </w:trPr>
        <w:tc>
          <w:tcPr>
            <w:tcW w:w="2426" w:type="dxa"/>
            <w:hideMark/>
          </w:tcPr>
          <w:p w14:paraId="339551AF" w14:textId="77777777" w:rsidR="00A27798" w:rsidRPr="00394936" w:rsidRDefault="00A27798" w:rsidP="003E5A53">
            <w:pPr>
              <w:rPr>
                <w:rFonts w:hint="eastAsia"/>
              </w:rPr>
            </w:pPr>
            <w:r w:rsidRPr="00394936">
              <w:rPr>
                <w:rFonts w:hint="eastAsia"/>
              </w:rPr>
              <w:t>2025云端毛利率</w:t>
            </w:r>
          </w:p>
        </w:tc>
        <w:tc>
          <w:tcPr>
            <w:tcW w:w="2890" w:type="dxa"/>
            <w:hideMark/>
          </w:tcPr>
          <w:p w14:paraId="026B6358" w14:textId="77777777" w:rsidR="00A27798" w:rsidRPr="00394936" w:rsidRDefault="00A27798" w:rsidP="003E5A53">
            <w:pPr>
              <w:rPr>
                <w:rFonts w:hint="eastAsia"/>
              </w:rPr>
            </w:pPr>
            <w:r w:rsidRPr="00394936">
              <w:rPr>
                <w:rFonts w:hint="eastAsia"/>
              </w:rPr>
              <w:t>18.9%</w:t>
            </w:r>
          </w:p>
        </w:tc>
        <w:tc>
          <w:tcPr>
            <w:tcW w:w="2980" w:type="dxa"/>
            <w:hideMark/>
          </w:tcPr>
          <w:p w14:paraId="6CCEE65B" w14:textId="77777777" w:rsidR="00A27798" w:rsidRPr="00394936" w:rsidRDefault="00A27798" w:rsidP="003E5A53">
            <w:pPr>
              <w:rPr>
                <w:rFonts w:hint="eastAsia"/>
              </w:rPr>
            </w:pPr>
            <w:r w:rsidRPr="00394936">
              <w:rPr>
                <w:rFonts w:hint="eastAsia"/>
              </w:rPr>
              <w:t>69.4%（</w:t>
            </w:r>
            <w:r>
              <w:rPr>
                <w:rFonts w:hint="eastAsia"/>
              </w:rPr>
              <w:t>前三季度</w:t>
            </w:r>
            <w:r w:rsidRPr="00394936">
              <w:rPr>
                <w:rFonts w:hint="eastAsia"/>
              </w:rPr>
              <w:t>）</w:t>
            </w:r>
          </w:p>
        </w:tc>
      </w:tr>
      <w:tr w:rsidR="00A27798" w:rsidRPr="00394936" w14:paraId="58CBA4EA" w14:textId="77777777" w:rsidTr="003E5A53">
        <w:trPr>
          <w:trHeight w:val="270"/>
        </w:trPr>
        <w:tc>
          <w:tcPr>
            <w:tcW w:w="2426" w:type="dxa"/>
            <w:hideMark/>
          </w:tcPr>
          <w:p w14:paraId="2E4E1600" w14:textId="77777777" w:rsidR="00A27798" w:rsidRPr="00394936" w:rsidRDefault="00A27798" w:rsidP="003E5A53">
            <w:pPr>
              <w:rPr>
                <w:rFonts w:hint="eastAsia"/>
              </w:rPr>
            </w:pPr>
            <w:r w:rsidRPr="00394936">
              <w:rPr>
                <w:rFonts w:hint="eastAsia"/>
              </w:rPr>
              <w:t>毛利率趋势</w:t>
            </w:r>
          </w:p>
        </w:tc>
        <w:tc>
          <w:tcPr>
            <w:tcW w:w="2890" w:type="dxa"/>
            <w:hideMark/>
          </w:tcPr>
          <w:p w14:paraId="04AED85E" w14:textId="77777777" w:rsidR="00A27798" w:rsidRPr="00394936" w:rsidRDefault="00A27798" w:rsidP="003E5A53">
            <w:pPr>
              <w:rPr>
                <w:rFonts w:hint="eastAsia"/>
              </w:rPr>
            </w:pPr>
            <w:r w:rsidRPr="00394936">
              <w:rPr>
                <w:rFonts w:hint="eastAsia"/>
              </w:rPr>
              <w:t>云端提升显著，本地稳定</w:t>
            </w:r>
          </w:p>
        </w:tc>
        <w:tc>
          <w:tcPr>
            <w:tcW w:w="2980" w:type="dxa"/>
            <w:hideMark/>
          </w:tcPr>
          <w:p w14:paraId="42AF43DF" w14:textId="77777777" w:rsidR="00A27798" w:rsidRPr="00394936" w:rsidRDefault="00A27798" w:rsidP="003E5A53">
            <w:pPr>
              <w:rPr>
                <w:rFonts w:hint="eastAsia"/>
              </w:rPr>
            </w:pPr>
            <w:r w:rsidRPr="00394936">
              <w:rPr>
                <w:rFonts w:hint="eastAsia"/>
              </w:rPr>
              <w:t>2023:-25%→2024:12%→2025:25%</w:t>
            </w:r>
          </w:p>
        </w:tc>
      </w:tr>
      <w:tr w:rsidR="00A27798" w:rsidRPr="00394936" w14:paraId="04890D54" w14:textId="77777777" w:rsidTr="003E5A53">
        <w:trPr>
          <w:trHeight w:val="270"/>
        </w:trPr>
        <w:tc>
          <w:tcPr>
            <w:tcW w:w="2426" w:type="dxa"/>
            <w:hideMark/>
          </w:tcPr>
          <w:p w14:paraId="17829C39" w14:textId="77777777" w:rsidR="00A27798" w:rsidRPr="00394936" w:rsidRDefault="00A27798" w:rsidP="003E5A53">
            <w:pPr>
              <w:rPr>
                <w:rFonts w:hint="eastAsia"/>
              </w:rPr>
            </w:pPr>
            <w:r w:rsidRPr="00394936">
              <w:rPr>
                <w:rFonts w:hint="eastAsia"/>
              </w:rPr>
              <w:t>2025调整后净亏损</w:t>
            </w:r>
          </w:p>
        </w:tc>
        <w:tc>
          <w:tcPr>
            <w:tcW w:w="2890" w:type="dxa"/>
            <w:hideMark/>
          </w:tcPr>
          <w:p w14:paraId="08AFE9D0" w14:textId="77777777" w:rsidR="00A27798" w:rsidRPr="00394936" w:rsidRDefault="00A27798" w:rsidP="003E5A53">
            <w:pPr>
              <w:rPr>
                <w:rFonts w:hint="eastAsia"/>
              </w:rPr>
            </w:pPr>
            <w:r w:rsidRPr="00394936">
              <w:rPr>
                <w:rFonts w:hint="eastAsia"/>
              </w:rPr>
              <w:t>~-</w:t>
            </w:r>
            <w:r>
              <w:rPr>
                <w:rFonts w:hint="eastAsia"/>
              </w:rPr>
              <w:t>31.82</w:t>
            </w:r>
            <w:r w:rsidRPr="00394936">
              <w:rPr>
                <w:rFonts w:hint="eastAsia"/>
              </w:rPr>
              <w:t>亿 RMB（广发）</w:t>
            </w:r>
          </w:p>
        </w:tc>
        <w:tc>
          <w:tcPr>
            <w:tcW w:w="2980" w:type="dxa"/>
            <w:hideMark/>
          </w:tcPr>
          <w:p w14:paraId="5FA97F64" w14:textId="77777777" w:rsidR="00A27798" w:rsidRPr="00394936" w:rsidRDefault="00A27798" w:rsidP="003E5A53">
            <w:pPr>
              <w:rPr>
                <w:rFonts w:hint="eastAsia"/>
              </w:rPr>
            </w:pPr>
            <w:r w:rsidRPr="00394936">
              <w:rPr>
                <w:rFonts w:hint="eastAsia"/>
              </w:rPr>
              <w:t>-2.51亿 USD</w:t>
            </w:r>
          </w:p>
        </w:tc>
      </w:tr>
      <w:tr w:rsidR="00A27798" w:rsidRPr="00394936" w14:paraId="2A4A5611" w14:textId="77777777" w:rsidTr="003E5A53">
        <w:trPr>
          <w:trHeight w:val="270"/>
        </w:trPr>
        <w:tc>
          <w:tcPr>
            <w:tcW w:w="2426" w:type="dxa"/>
            <w:hideMark/>
          </w:tcPr>
          <w:p w14:paraId="18D0F582" w14:textId="77777777" w:rsidR="00A27798" w:rsidRPr="00394936" w:rsidRDefault="00A27798" w:rsidP="003E5A53">
            <w:pPr>
              <w:rPr>
                <w:rFonts w:hint="eastAsia"/>
              </w:rPr>
            </w:pPr>
            <w:r>
              <w:rPr>
                <w:rFonts w:hint="eastAsia"/>
              </w:rPr>
              <w:t>调整后净亏损/收入</w:t>
            </w:r>
          </w:p>
        </w:tc>
        <w:tc>
          <w:tcPr>
            <w:tcW w:w="2890" w:type="dxa"/>
            <w:hideMark/>
          </w:tcPr>
          <w:p w14:paraId="2367333A" w14:textId="77777777" w:rsidR="00A27798" w:rsidRPr="00394936" w:rsidRDefault="00A27798" w:rsidP="003E5A53">
            <w:pPr>
              <w:rPr>
                <w:rFonts w:hint="eastAsia"/>
              </w:rPr>
            </w:pPr>
            <w:r w:rsidRPr="00394936">
              <w:rPr>
                <w:rFonts w:hint="eastAsia"/>
              </w:rPr>
              <w:t>-</w:t>
            </w:r>
            <w:r>
              <w:rPr>
                <w:rFonts w:hint="eastAsia"/>
              </w:rPr>
              <w:t>439%</w:t>
            </w:r>
          </w:p>
        </w:tc>
        <w:tc>
          <w:tcPr>
            <w:tcW w:w="2980" w:type="dxa"/>
            <w:hideMark/>
          </w:tcPr>
          <w:p w14:paraId="4924F7FC" w14:textId="77777777" w:rsidR="00A27798" w:rsidRPr="00394936" w:rsidRDefault="00A27798" w:rsidP="003E5A53">
            <w:pPr>
              <w:rPr>
                <w:rFonts w:hint="eastAsia"/>
              </w:rPr>
            </w:pPr>
            <w:r w:rsidRPr="00394936">
              <w:rPr>
                <w:rFonts w:hint="eastAsia"/>
              </w:rPr>
              <w:t>-</w:t>
            </w:r>
            <w:r>
              <w:rPr>
                <w:rFonts w:hint="eastAsia"/>
              </w:rPr>
              <w:t>316%</w:t>
            </w:r>
          </w:p>
        </w:tc>
      </w:tr>
      <w:tr w:rsidR="00A27798" w:rsidRPr="00394936" w14:paraId="48FC43B2" w14:textId="77777777" w:rsidTr="003E5A53">
        <w:trPr>
          <w:trHeight w:val="270"/>
        </w:trPr>
        <w:tc>
          <w:tcPr>
            <w:tcW w:w="2426" w:type="dxa"/>
            <w:hideMark/>
          </w:tcPr>
          <w:p w14:paraId="00D483A6" w14:textId="77777777" w:rsidR="00A27798" w:rsidRPr="00394936" w:rsidRDefault="00A27798" w:rsidP="003E5A53">
            <w:pPr>
              <w:rPr>
                <w:rFonts w:hint="eastAsia"/>
              </w:rPr>
            </w:pPr>
            <w:r w:rsidRPr="00394936">
              <w:rPr>
                <w:rFonts w:hint="eastAsia"/>
              </w:rPr>
              <w:t>亏损率趋势</w:t>
            </w:r>
          </w:p>
        </w:tc>
        <w:tc>
          <w:tcPr>
            <w:tcW w:w="2890" w:type="dxa"/>
            <w:hideMark/>
          </w:tcPr>
          <w:p w14:paraId="73CB36FE" w14:textId="77777777" w:rsidR="00A27798" w:rsidRPr="00394936" w:rsidRDefault="00A27798" w:rsidP="003E5A53">
            <w:pPr>
              <w:rPr>
                <w:rFonts w:hint="eastAsia"/>
              </w:rPr>
            </w:pPr>
            <w:r w:rsidRPr="00394936">
              <w:rPr>
                <w:rFonts w:hint="eastAsia"/>
              </w:rPr>
              <w:t>仍在扩大（加大研发）</w:t>
            </w:r>
          </w:p>
        </w:tc>
        <w:tc>
          <w:tcPr>
            <w:tcW w:w="2980" w:type="dxa"/>
            <w:hideMark/>
          </w:tcPr>
          <w:p w14:paraId="56099740" w14:textId="77777777" w:rsidR="00A27798" w:rsidRPr="00394936" w:rsidRDefault="00A27798" w:rsidP="003E5A53">
            <w:pPr>
              <w:rPr>
                <w:rFonts w:hint="eastAsia"/>
              </w:rPr>
            </w:pPr>
            <w:r w:rsidRPr="00394936">
              <w:rPr>
                <w:rFonts w:hint="eastAsia"/>
              </w:rPr>
              <w:t>收窄：-807%→-321%</w:t>
            </w:r>
          </w:p>
        </w:tc>
      </w:tr>
    </w:tbl>
    <w:p w14:paraId="5C6705CF" w14:textId="77777777" w:rsidR="00A27798" w:rsidRDefault="00A27798" w:rsidP="00A27798"/>
    <w:p w14:paraId="1E5C9EF0" w14:textId="77777777" w:rsidR="00852E95" w:rsidRDefault="00852E95" w:rsidP="00A27798"/>
    <w:p w14:paraId="649DC601" w14:textId="2C00532C" w:rsidR="00852E95" w:rsidRDefault="00852E95" w:rsidP="00852E95">
      <w:pPr>
        <w:pStyle w:val="2"/>
        <w:rPr>
          <w:rFonts w:hint="eastAsia"/>
        </w:rPr>
      </w:pPr>
      <w:r>
        <w:rPr>
          <w:rFonts w:hint="eastAsia"/>
        </w:rPr>
        <w:t>.3发展现状</w:t>
      </w:r>
      <w:r w:rsidR="00285142">
        <w:rPr>
          <w:rFonts w:hint="eastAsia"/>
        </w:rPr>
        <w:t>（考虑不要了，有重合</w:t>
      </w:r>
    </w:p>
    <w:p w14:paraId="13C1F9BF" w14:textId="77777777" w:rsidR="00852E95" w:rsidRDefault="00852E95" w:rsidP="00852E95">
      <w:pPr>
        <w:rPr>
          <w:rFonts w:hint="eastAsia"/>
        </w:rPr>
      </w:pPr>
      <w:r>
        <w:rPr>
          <w:rFonts w:hint="eastAsia"/>
        </w:rPr>
        <w:t>刻画商业化发展阶段和落地情况</w:t>
      </w:r>
    </w:p>
    <w:p w14:paraId="1396BEA6" w14:textId="77777777" w:rsidR="00852E95" w:rsidRDefault="00852E95" w:rsidP="00852E95">
      <w:pPr>
        <w:pStyle w:val="3"/>
      </w:pPr>
      <w:r>
        <w:rPr>
          <w:rFonts w:hint="eastAsia"/>
        </w:rPr>
        <w:t>商业化阶段</w:t>
      </w:r>
    </w:p>
    <w:p w14:paraId="191CAADE" w14:textId="77777777" w:rsidR="00852E95" w:rsidRDefault="00852E95" w:rsidP="00852E95">
      <w:r w:rsidRPr="00A27798">
        <w:t>商业化阶段描述的是一个产品、技术或产业从实验室走向市场、从免费走向收费、从亏损走向盈利的生命周期位置。它关注的是进程——渗透率到了什么水平，收入规模是否起量，成本结构是否收敛，盈利拐点是否出现。比如当前的大模型行业，你可以说"整体处于商业化早期向加速期过渡的阶段"：C端付费意愿刚刚培育，B端API调用</w:t>
      </w:r>
      <w:r w:rsidRPr="00A27798">
        <w:lastRenderedPageBreak/>
        <w:t>量在涨但价格战激烈，除了少数头部企业外大部分厂商还没有实现稳定的经营利润。这个阶段判断用的是时间序列语言——增速、拐点、渗透率、盈亏平衡时点。</w:t>
      </w:r>
    </w:p>
    <w:p w14:paraId="5292CBB5" w14:textId="77777777" w:rsidR="00852E95" w:rsidRPr="00852E95" w:rsidRDefault="00852E95" w:rsidP="00A27798">
      <w:pPr>
        <w:rPr>
          <w:rFonts w:hint="eastAsia"/>
        </w:rPr>
      </w:pPr>
    </w:p>
    <w:p w14:paraId="7CE7D7A4" w14:textId="13C3070A" w:rsidR="00ED491D" w:rsidRDefault="007A5695" w:rsidP="007A5695">
      <w:pPr>
        <w:pStyle w:val="2"/>
      </w:pPr>
      <w:r>
        <w:rPr>
          <w:rFonts w:hint="eastAsia"/>
        </w:rPr>
        <w:t>收入结构，成本，盈利性分析</w:t>
      </w:r>
    </w:p>
    <w:p w14:paraId="5627524A" w14:textId="3B11B3D2" w:rsidR="00FB2BF4" w:rsidRDefault="00FB2BF4" w:rsidP="00FB2BF4">
      <w:pPr>
        <w:pStyle w:val="3"/>
        <w:rPr>
          <w:rFonts w:hint="eastAsia"/>
        </w:rPr>
      </w:pPr>
      <w:r>
        <w:rPr>
          <w:rFonts w:hint="eastAsia"/>
        </w:rPr>
        <w:t>成本结构：高研发与高算力投入是核心特征</w:t>
      </w:r>
    </w:p>
    <w:p w14:paraId="5D6DBFA6" w14:textId="2568CD6D" w:rsidR="00FB2BF4" w:rsidRDefault="00FB2BF4" w:rsidP="00FB2BF4">
      <w:pPr>
        <w:rPr>
          <w:rFonts w:hint="eastAsia"/>
        </w:rPr>
      </w:pPr>
      <w:r>
        <w:rPr>
          <w:rFonts w:hint="eastAsia"/>
        </w:rPr>
        <w:t>大模型产业是典型的资本与技术密集型行业，其成本结构高度刚性，以研发和算力成本为主导。这导致了行业普遍面临高昂的固定成本压力。</w:t>
      </w:r>
    </w:p>
    <w:p w14:paraId="77A73709" w14:textId="409DA092" w:rsidR="00FB2BF4" w:rsidRDefault="00FB2BF4" w:rsidP="00FB2BF4">
      <w:pPr>
        <w:rPr>
          <w:rFonts w:hint="eastAsia"/>
        </w:rPr>
      </w:pPr>
      <w:r>
        <w:rPr>
          <w:rFonts w:hint="eastAsia"/>
        </w:rPr>
        <w:t>核心成本项包括：</w:t>
      </w:r>
    </w:p>
    <w:p w14:paraId="64F75020" w14:textId="77777777" w:rsidR="00FB2BF4" w:rsidRDefault="00FB2BF4" w:rsidP="00FB2BF4">
      <w:pPr>
        <w:pStyle w:val="a9"/>
        <w:numPr>
          <w:ilvl w:val="0"/>
          <w:numId w:val="5"/>
        </w:numPr>
        <w:rPr>
          <w:rFonts w:hint="eastAsia"/>
        </w:rPr>
      </w:pPr>
      <w:r>
        <w:rPr>
          <w:rFonts w:hint="eastAsia"/>
        </w:rPr>
        <w:t>算力成本：这是大模型厂商亏损的核心来源之一。模型的训练与推理过程消耗巨量GPU算力，直接推高了运营成本。随着模型参数规模扩大和应用调用量增长，算力支出呈指数级上升。</w:t>
      </w:r>
    </w:p>
    <w:p w14:paraId="7EC9BF34" w14:textId="77777777" w:rsidR="00FB2BF4" w:rsidRDefault="00FB2BF4" w:rsidP="00FB2BF4">
      <w:pPr>
        <w:pStyle w:val="a9"/>
        <w:numPr>
          <w:ilvl w:val="0"/>
          <w:numId w:val="5"/>
        </w:numPr>
        <w:rPr>
          <w:rFonts w:hint="eastAsia"/>
        </w:rPr>
      </w:pPr>
      <w:r>
        <w:rPr>
          <w:rFonts w:hint="eastAsia"/>
        </w:rPr>
        <w:t>研发成本：为保持技术竞争力，厂商需持续投入顶尖人才进行算法迭代、模型优化及多模态能力拓展。这部分前置性投入与商业化回报存在时间错配，构成了亏损的重要组成部分。1</w:t>
      </w:r>
    </w:p>
    <w:p w14:paraId="1CB91718" w14:textId="77777777" w:rsidR="00FB2BF4" w:rsidRDefault="00FB2BF4" w:rsidP="00FB2BF4">
      <w:pPr>
        <w:pStyle w:val="a9"/>
        <w:numPr>
          <w:ilvl w:val="0"/>
          <w:numId w:val="5"/>
        </w:numPr>
        <w:rPr>
          <w:rFonts w:hint="eastAsia"/>
        </w:rPr>
      </w:pPr>
      <w:r>
        <w:rPr>
          <w:rFonts w:hint="eastAsia"/>
        </w:rPr>
        <w:t>获客与推广成本：尤其在C端市场，为获取用户、培育市场，厂商需要投入大量营销资源，这对利润形成侵蚀。</w:t>
      </w:r>
    </w:p>
    <w:p w14:paraId="698A0706" w14:textId="03B7A819" w:rsidR="00FB2BF4" w:rsidRDefault="00FB2BF4" w:rsidP="00FB2BF4">
      <w:pPr>
        <w:pStyle w:val="a9"/>
        <w:numPr>
          <w:ilvl w:val="0"/>
          <w:numId w:val="5"/>
        </w:numPr>
      </w:pPr>
      <w:r>
        <w:rPr>
          <w:rFonts w:hint="eastAsia"/>
        </w:rPr>
        <w:t>人力及其他运营成本：包括顶尖研发团队薪酬、数据采购与处理成本等。</w:t>
      </w:r>
    </w:p>
    <w:p w14:paraId="47CBF099" w14:textId="254C91C7" w:rsidR="007A6F08" w:rsidRDefault="007A6F08" w:rsidP="007A6F08">
      <w:pPr>
        <w:pStyle w:val="3"/>
        <w:rPr>
          <w:rFonts w:hint="eastAsia"/>
        </w:rPr>
      </w:pPr>
      <w:r>
        <w:rPr>
          <w:rFonts w:hint="eastAsia"/>
        </w:rPr>
        <w:t>收入结构：多元化变现路径初步成型，B/C端模式分化</w:t>
      </w:r>
    </w:p>
    <w:p w14:paraId="4806A41C" w14:textId="5C0AFFBE" w:rsidR="007A6F08" w:rsidRDefault="007A6F08" w:rsidP="007A6F08">
      <w:pPr>
        <w:rPr>
          <w:rFonts w:hint="eastAsia"/>
        </w:rPr>
      </w:pPr>
      <w:r>
        <w:rPr>
          <w:rFonts w:hint="eastAsia"/>
        </w:rPr>
        <w:t>大模型产业的收入正从早期的API调用单一模式，向多元化、体系化的商业闭环演进。主流厂商普遍确立了以API调用、模型授权、行业解决方案与增值服务为核心的变现路径。</w:t>
      </w:r>
    </w:p>
    <w:p w14:paraId="499ED5C2" w14:textId="4A73EAFE" w:rsidR="007A6F08" w:rsidRDefault="007A6F08" w:rsidP="007A6F08">
      <w:pPr>
        <w:rPr>
          <w:rFonts w:hint="eastAsia"/>
        </w:rPr>
      </w:pPr>
      <w:r>
        <w:rPr>
          <w:rFonts w:hint="eastAsia"/>
        </w:rPr>
        <w:t>主要收入来源包括：</w:t>
      </w:r>
    </w:p>
    <w:p w14:paraId="6D7B618B" w14:textId="2D020453" w:rsidR="007A6F08" w:rsidRDefault="007A6F08" w:rsidP="004919A6">
      <w:pPr>
        <w:pStyle w:val="a9"/>
        <w:numPr>
          <w:ilvl w:val="0"/>
          <w:numId w:val="6"/>
        </w:numPr>
        <w:rPr>
          <w:rFonts w:hint="eastAsia"/>
        </w:rPr>
      </w:pPr>
      <w:r>
        <w:rPr>
          <w:rFonts w:hint="eastAsia"/>
        </w:rPr>
        <w:t>API调用收费：最主流和标准化的模式，按Token消耗量向开发者或企业收费。随着以“OpenClaw”为代表的智能体应用爆发，Token消耗量呈指数级增长，成为驱动收入增长的关键变量。</w:t>
      </w:r>
    </w:p>
    <w:p w14:paraId="315A0B2E" w14:textId="77777777" w:rsidR="007A6F08" w:rsidRDefault="007A6F08" w:rsidP="004919A6">
      <w:pPr>
        <w:pStyle w:val="a9"/>
        <w:numPr>
          <w:ilvl w:val="0"/>
          <w:numId w:val="6"/>
        </w:numPr>
        <w:rPr>
          <w:rFonts w:hint="eastAsia"/>
        </w:rPr>
      </w:pPr>
      <w:r>
        <w:rPr>
          <w:rFonts w:hint="eastAsia"/>
        </w:rPr>
        <w:t>模型授权与私有化部署：针对金融、政务、大型企业等对数据安全、定制化要求高的客户，提供模型源码或服务的本地化部署，通常合同金额较大。</w:t>
      </w:r>
    </w:p>
    <w:p w14:paraId="666BBCF3" w14:textId="77777777" w:rsidR="007A6F08" w:rsidRDefault="007A6F08" w:rsidP="004919A6">
      <w:pPr>
        <w:pStyle w:val="a9"/>
        <w:numPr>
          <w:ilvl w:val="0"/>
          <w:numId w:val="6"/>
        </w:numPr>
        <w:rPr>
          <w:rFonts w:hint="eastAsia"/>
        </w:rPr>
      </w:pPr>
      <w:r>
        <w:rPr>
          <w:rFonts w:hint="eastAsia"/>
        </w:rPr>
        <w:t>行业定制化解决方案：将大模型能力与特定行业知识结合，提供软硬件一体的智能解决方案，附加值更高。</w:t>
      </w:r>
    </w:p>
    <w:p w14:paraId="4E3C9CEE" w14:textId="77777777" w:rsidR="007A6F08" w:rsidRDefault="007A6F08" w:rsidP="004919A6">
      <w:pPr>
        <w:pStyle w:val="a9"/>
        <w:numPr>
          <w:ilvl w:val="0"/>
          <w:numId w:val="6"/>
        </w:numPr>
        <w:rPr>
          <w:rFonts w:hint="eastAsia"/>
        </w:rPr>
      </w:pPr>
      <w:r>
        <w:rPr>
          <w:rFonts w:hint="eastAsia"/>
        </w:rPr>
        <w:t>面向消费者（To C）的订阅与内容付费：通过AI原生应用（如聊天机器人、AI陪伴、内容生成工具）向个人用户收取订阅费或提供应用内购买。</w:t>
      </w:r>
    </w:p>
    <w:p w14:paraId="3F3295BB" w14:textId="20C68B7A" w:rsidR="007A6F08" w:rsidRDefault="007A6F08" w:rsidP="007A6F08">
      <w:pPr>
        <w:rPr>
          <w:rFonts w:hint="eastAsia"/>
        </w:rPr>
      </w:pPr>
      <w:r>
        <w:rPr>
          <w:rFonts w:hint="eastAsia"/>
        </w:rPr>
        <w:t>当前，市场呈现出显著的B端与C端路径分化。以国内头部公司为例</w:t>
      </w:r>
    </w:p>
    <w:p w14:paraId="12A70EDD" w14:textId="77777777" w:rsidR="007A6F08" w:rsidRDefault="007A6F08" w:rsidP="007A6F08">
      <w:pPr>
        <w:rPr>
          <w:rFonts w:hint="eastAsia"/>
        </w:rPr>
      </w:pPr>
      <w:r>
        <w:rPr>
          <w:rFonts w:hint="eastAsia"/>
        </w:rPr>
        <w:lastRenderedPageBreak/>
        <w:t>智谱AI：战略定位AI基础设施提供者，主打To B业务。通过模型授权、私有化部署服务国内政企客户，其2025年上半年毛利率约50%，国内收入占比超80%。5</w:t>
      </w:r>
    </w:p>
    <w:p w14:paraId="7B7D9DCA" w14:textId="2DF1E54A" w:rsidR="00FB2BF4" w:rsidRDefault="007A6F08" w:rsidP="007A6F08">
      <w:r>
        <w:rPr>
          <w:rFonts w:hint="eastAsia"/>
        </w:rPr>
        <w:t>MiniMax：定位AI原生内容与交互平台，以To C业务为主。其AI原生产品（如Talkie、海螺AI）驱动收入增长，2025年收入占比超70%，海外收入占比超70%，2025年毛利率为25.4%。</w:t>
      </w:r>
    </w:p>
    <w:p w14:paraId="12146F79" w14:textId="77777777" w:rsidR="00C51BBE" w:rsidRDefault="00C51BBE" w:rsidP="00C51BBE">
      <w:pPr>
        <w:pStyle w:val="3"/>
        <w:rPr>
          <w:rFonts w:hint="eastAsia"/>
        </w:rPr>
      </w:pPr>
      <w:r>
        <w:rPr>
          <w:rFonts w:hint="eastAsia"/>
        </w:rPr>
        <w:t>盈利性分析：普遍亏损但边际改善，盈利拐点取决于效率与规模</w:t>
      </w:r>
    </w:p>
    <w:p w14:paraId="5CC69420" w14:textId="52761F32" w:rsidR="00C51BBE" w:rsidRDefault="00C51BBE" w:rsidP="00C51BBE">
      <w:r>
        <w:rPr>
          <w:rFonts w:hint="eastAsia"/>
        </w:rPr>
        <w:t>整个大模型行业仍处于商业化早期，高投入与收入规模之间的剪刀差导致厂商普遍亏损。核心制约因素正是前述的高昂算力、研发及获客成本。</w:t>
      </w:r>
      <w:r w:rsidR="00EE4224">
        <w:rPr>
          <w:rFonts w:hint="eastAsia"/>
        </w:rPr>
        <w:t>但</w:t>
      </w:r>
      <w:r>
        <w:rPr>
          <w:rFonts w:hint="eastAsia"/>
        </w:rPr>
        <w:t>随着收入规模快速扩大和技术优化，部分公司的毛利率已由负转正，显示出盈利结构边际改善的信号。</w:t>
      </w:r>
    </w:p>
    <w:p w14:paraId="15039BFA" w14:textId="77777777" w:rsidR="00C51BBE" w:rsidRDefault="00C51BBE" w:rsidP="00C51BBE">
      <w:pPr>
        <w:rPr>
          <w:rFonts w:hint="eastAsia"/>
        </w:rPr>
      </w:pPr>
      <w:r>
        <w:rPr>
          <w:rFonts w:hint="eastAsia"/>
        </w:rPr>
        <w:t>未来盈利关键：商业化效率与推理成本优化。</w:t>
      </w:r>
    </w:p>
    <w:p w14:paraId="3EA2D555" w14:textId="38C03386" w:rsidR="00C51BBE" w:rsidRDefault="00C51BBE" w:rsidP="00C51BBE">
      <w:pPr>
        <w:rPr>
          <w:rFonts w:hint="eastAsia"/>
        </w:rPr>
      </w:pPr>
      <w:r>
        <w:rPr>
          <w:rFonts w:hint="eastAsia"/>
        </w:rPr>
        <w:t>实现盈利的核心在于提升商业化能力和优化单位经济效益。</w:t>
      </w:r>
    </w:p>
    <w:p w14:paraId="07DEE7D6" w14:textId="0F8A6E7D" w:rsidR="00C51BBE" w:rsidRDefault="00C51BBE" w:rsidP="00C51BBE">
      <w:pPr>
        <w:rPr>
          <w:rFonts w:hint="eastAsia"/>
        </w:rPr>
      </w:pPr>
      <w:r>
        <w:rPr>
          <w:rFonts w:hint="eastAsia"/>
        </w:rPr>
        <w:t>商业化能力提升：推动客户从试点使用转向生产级高频调用，产生规模效应以摊薄固定成本。同时，商业模式需从基础API升级至</w:t>
      </w:r>
      <w:r w:rsidR="006B17D5">
        <w:rPr>
          <w:rFonts w:hint="eastAsia"/>
        </w:rPr>
        <w:t>多元化</w:t>
      </w:r>
      <w:r>
        <w:rPr>
          <w:rFonts w:hint="eastAsia"/>
        </w:rPr>
        <w:t>MaaS、行业智能体等高附加值服务，提升客单价和客户粘性。</w:t>
      </w:r>
    </w:p>
    <w:p w14:paraId="48FA0F28" w14:textId="0D70BAF0" w:rsidR="00C51BBE" w:rsidRPr="00FB2BF4" w:rsidRDefault="00C51BBE" w:rsidP="00C51BBE">
      <w:pPr>
        <w:rPr>
          <w:rFonts w:hint="eastAsia"/>
        </w:rPr>
      </w:pPr>
      <w:commentRangeStart w:id="2"/>
      <w:r>
        <w:rPr>
          <w:rFonts w:hint="eastAsia"/>
        </w:rPr>
        <w:t>推理成本优化：通过算法创新（如MoE架构）、工程优化和硬件适配，持续提升算力利用率，降低单位Token的推理成本。数据显示，机器学习专用GPU的算力性价比平均每2.1年翻倍，GPT-4级别的模型推理成本在2025年已降至2024年的1/40。</w:t>
      </w:r>
      <w:commentRangeEnd w:id="2"/>
      <w:r w:rsidR="006B17D5" w:rsidRPr="00FB2BF4">
        <w:rPr>
          <w:rStyle w:val="af7"/>
          <w:rFonts w:hint="eastAsia"/>
          <w:sz w:val="22"/>
          <w:szCs w:val="24"/>
        </w:rPr>
        <w:commentReference w:id="2"/>
      </w:r>
    </w:p>
    <w:p w14:paraId="1B4F88DF" w14:textId="3E585F01" w:rsidR="00852E95" w:rsidRDefault="00852E95" w:rsidP="00852E95">
      <w:pPr>
        <w:pStyle w:val="2"/>
      </w:pPr>
      <w:r>
        <w:rPr>
          <w:rFonts w:hint="eastAsia"/>
        </w:rPr>
        <w:t>.产业瓶颈</w:t>
      </w:r>
    </w:p>
    <w:p w14:paraId="5FA3CBF4" w14:textId="6B0A330B" w:rsidR="000F03F7" w:rsidRDefault="000F03F7" w:rsidP="00303327">
      <w:pPr>
        <w:pStyle w:val="3"/>
      </w:pPr>
      <w:r>
        <w:rPr>
          <w:rFonts w:hint="eastAsia"/>
        </w:rPr>
        <w:t>技术瓶颈</w:t>
      </w:r>
    </w:p>
    <w:p w14:paraId="5BA4DC3D" w14:textId="6098FC52" w:rsidR="00D968D6" w:rsidRDefault="00D968D6" w:rsidP="00D968D6">
      <w:pPr>
        <w:rPr>
          <w:rFonts w:hint="eastAsia"/>
        </w:rPr>
      </w:pPr>
      <w:r>
        <w:rPr>
          <w:rFonts w:hint="eastAsia"/>
        </w:rPr>
        <w:t>当前，大模型的技术发展已从单纯的参数规模竞赛，转向对模型效能、可靠性及综合成本的深度攻坚，基础能力提升放缓与工程化难题并存。</w:t>
      </w:r>
    </w:p>
    <w:p w14:paraId="06BA1B3C" w14:textId="65E49636" w:rsidR="00D968D6" w:rsidRDefault="00D968D6" w:rsidP="00D968D6">
      <w:pPr>
        <w:rPr>
          <w:rFonts w:hint="eastAsia"/>
        </w:rPr>
      </w:pPr>
      <w:r>
        <w:rPr>
          <w:rFonts w:hint="eastAsia"/>
        </w:rPr>
        <w:t>首先，基座模型的能力演进进入平台期，核心能力突破放缓。根据行业分析，进入2025年后，全球通用大模型的基座能力持续演进，但迭代周期维持在3至4个月，重点在于已有能力的优化与巩固。有观点明确指出，2025年大模型的“基模型能力没有提升”，产业界将重点转向了“深度推理”等效能优化方向，而非底层能力的颠覆性革新。这标志着单纯依靠Scaling Law（规模定律）驱动性能线性增长的模式已触及阶段性天花板。</w:t>
      </w:r>
    </w:p>
    <w:p w14:paraId="7B7E03EB" w14:textId="3F12FAFF" w:rsidR="00D968D6" w:rsidRDefault="00D968D6" w:rsidP="00D968D6">
      <w:pPr>
        <w:rPr>
          <w:rFonts w:hint="eastAsia"/>
        </w:rPr>
      </w:pPr>
      <w:r>
        <w:rPr>
          <w:rFonts w:hint="eastAsia"/>
        </w:rPr>
        <w:t>其次，模型固有的技术缺陷仍是规模化应用的拦路虎。“幻觉”（生成错误或虚构内容）、数据安全与隐私泄露、算法偏见等问题尚未得到根本性解决。在容错率极低的工</w:t>
      </w:r>
      <w:r>
        <w:rPr>
          <w:rFonts w:hint="eastAsia"/>
        </w:rPr>
        <w:lastRenderedPageBreak/>
        <w:t>业、医疗、金融等严肃场景中，模型的“黑箱”特性和低容错问题构成了应用信任壁垒。</w:t>
      </w:r>
    </w:p>
    <w:p w14:paraId="6329F16D" w14:textId="2C695971" w:rsidR="000F03F7" w:rsidRDefault="00D968D6" w:rsidP="00D968D6">
      <w:pPr>
        <w:rPr>
          <w:rFonts w:hint="eastAsia"/>
        </w:rPr>
      </w:pPr>
      <w:r>
        <w:rPr>
          <w:rFonts w:hint="eastAsia"/>
        </w:rPr>
        <w:t>最后，算力与数据成本高企，构成难以逾越的经济门槛。</w:t>
      </w:r>
      <w:commentRangeStart w:id="3"/>
      <w:r>
        <w:rPr>
          <w:rFonts w:hint="eastAsia"/>
        </w:rPr>
        <w:t>训练千亿参数模型需要数千张高端GPU，成本达数亿元。</w:t>
      </w:r>
      <w:commentRangeEnd w:id="3"/>
      <w:r w:rsidR="00303327">
        <w:rPr>
          <w:rStyle w:val="af7"/>
          <w:rFonts w:hint="eastAsia"/>
          <w:sz w:val="22"/>
          <w:szCs w:val="24"/>
        </w:rPr>
        <w:commentReference w:id="3"/>
      </w:r>
      <w:r>
        <w:rPr>
          <w:rFonts w:hint="eastAsia"/>
        </w:rPr>
        <w:t>推理阶段的算力消耗同样巨大，有案例显示，明星产品的单月推理成本可高达数千万元。与此同时，“数据孤岛”问题导致高质量、专业化的领域数据稀缺，制约了模型在垂直场景中的表现优化。</w:t>
      </w:r>
    </w:p>
    <w:p w14:paraId="1DE429C2" w14:textId="616D401C" w:rsidR="000F03F7" w:rsidRDefault="000F03F7" w:rsidP="008C0151">
      <w:pPr>
        <w:pStyle w:val="3"/>
      </w:pPr>
      <w:r>
        <w:rPr>
          <w:rFonts w:hint="eastAsia"/>
        </w:rPr>
        <w:t>资源瓶颈（算力）</w:t>
      </w:r>
    </w:p>
    <w:p w14:paraId="476FB820" w14:textId="77777777" w:rsidR="008C0151" w:rsidRDefault="008C0151" w:rsidP="008C0151">
      <w:pPr>
        <w:rPr>
          <w:rFonts w:hint="eastAsia"/>
        </w:rPr>
      </w:pPr>
      <w:r>
        <w:rPr>
          <w:rFonts w:hint="eastAsia"/>
        </w:rPr>
        <w:t>一、 算力需求井喷：从模型训练到智能体应用的结构性跃迁</w:t>
      </w:r>
    </w:p>
    <w:p w14:paraId="69052ADB" w14:textId="6A603566" w:rsidR="008C0151" w:rsidRDefault="008C0151" w:rsidP="008C0151">
      <w:pPr>
        <w:rPr>
          <w:rFonts w:hint="eastAsia"/>
        </w:rPr>
      </w:pPr>
      <w:r>
        <w:rPr>
          <w:rFonts w:hint="eastAsia"/>
        </w:rPr>
        <w:t>当前算力短缺的首要驱动力，源于AI应用范式的根本性转变。需求侧已从早期的大模型训练“军备竞赛”，演进至由智能体（Agent）和多模态应用规模化落地所引爆的推理需求“海啸”。这一转变使得算力消耗呈现指数级增长，彻底颠覆了原有的供需平衡。</w:t>
      </w:r>
    </w:p>
    <w:p w14:paraId="064A0C0C" w14:textId="77777777" w:rsidR="008C0151" w:rsidRDefault="008C0151" w:rsidP="008C0151">
      <w:pPr>
        <w:rPr>
          <w:rFonts w:hint="eastAsia"/>
        </w:rPr>
      </w:pPr>
      <w:r>
        <w:rPr>
          <w:rFonts w:hint="eastAsia"/>
        </w:rPr>
        <w:t>1. 智能体与多模态应用引爆推理算力需求</w:t>
      </w:r>
    </w:p>
    <w:p w14:paraId="25BD6D3E" w14:textId="07ED79A0" w:rsidR="008C0151" w:rsidRDefault="008C0151" w:rsidP="008C0151">
      <w:pPr>
        <w:rPr>
          <w:rFonts w:hint="eastAsia"/>
        </w:rPr>
      </w:pPr>
      <w:r>
        <w:rPr>
          <w:rFonts w:hint="eastAsia"/>
        </w:rPr>
        <w:t>2026年初以来，以智能体为代表的AI原生应用进入大规模部署阶段，其常态化、长时程运行特性对算力构成了持续且庞大的消耗。与此同时，文生图、文生视频等多模态应用迅速普及，进一步推高了算力需求。根据行业数据，2026年4月，全球最大的API聚合平台OpenRouter的周度累计Token消耗量较一年前激增约7-8倍，其中国产大模型是增长的主要驱动力1。这种需求并非来自资本炒作，而是真实应用价值的体现，标志着算力市场进入了由应用驱动的新周期。</w:t>
      </w:r>
    </w:p>
    <w:p w14:paraId="6F14B185" w14:textId="77777777" w:rsidR="008C0151" w:rsidRDefault="008C0151" w:rsidP="008C0151">
      <w:pPr>
        <w:rPr>
          <w:rFonts w:hint="eastAsia"/>
        </w:rPr>
      </w:pPr>
      <w:r>
        <w:rPr>
          <w:rFonts w:hint="eastAsia"/>
        </w:rPr>
        <w:t>2. 商业化进程加速，云与模型厂商提价印证紧缺</w:t>
      </w:r>
    </w:p>
    <w:p w14:paraId="66D8892B" w14:textId="3C5FB45C" w:rsidR="008C0151" w:rsidRDefault="008C0151" w:rsidP="008C0151">
      <w:pPr>
        <w:rPr>
          <w:rFonts w:hint="eastAsia"/>
        </w:rPr>
      </w:pPr>
      <w:r>
        <w:rPr>
          <w:rFonts w:hint="eastAsia"/>
        </w:rPr>
        <w:t>需求的强劲增长直接体现在市场价格与商业行为上。近期，国内外云服务商和模型提供商密集上调服务价格，这并非简单的策略调整，而是高性能算力资源稀缺性的直接反映。国内方面，腾讯云、百度智能云、阿里云等均在2026年3月至5月期间对AI算力及相关产品进行提价，幅度从5%到34%不等。模型侧，智谱、商汤等也同步上调了服务费用1。海外市场，Anthropic将其企业版服务从固定费用改为按实际算力消耗计费1。这一系列动作表明，行业正从“低价换市场”的扩张阶段，转向对稀缺算力资源和高质量模型能力的“价值重估”阶段2。</w:t>
      </w:r>
    </w:p>
    <w:p w14:paraId="1C131662" w14:textId="77777777" w:rsidR="008C0151" w:rsidRDefault="008C0151" w:rsidP="008C0151">
      <w:pPr>
        <w:rPr>
          <w:rFonts w:hint="eastAsia"/>
        </w:rPr>
      </w:pPr>
      <w:r>
        <w:rPr>
          <w:rFonts w:hint="eastAsia"/>
        </w:rPr>
        <w:t>3. 租赁市场价格反弹，周期指标指向持续紧张</w:t>
      </w:r>
    </w:p>
    <w:p w14:paraId="11B844E3" w14:textId="69A972D1" w:rsidR="008C0151" w:rsidRDefault="008C0151" w:rsidP="008C0151">
      <w:pPr>
        <w:rPr>
          <w:rFonts w:hint="eastAsia"/>
        </w:rPr>
      </w:pPr>
      <w:r>
        <w:rPr>
          <w:rFonts w:hint="eastAsia"/>
        </w:rPr>
        <w:t>作为算力市场的“温度计”，高端GPU的租赁价格清晰反映了供需格局。英伟达H100的租赁价格在2025年因短期供需调整一度低于2美元/小时，但进入2026年，随着需求井喷，价格已强势回升至2.35美元/小时以上，国内月租价格高达5.5-6.0万元。新一代Blackwell GPU同样面临供应告急，交付周期已延长至2026年6-7月，其产能已被预订一空。价格曲线的“V型”反转，为本轮算力短缺的强度和持续性提供了最直观的注脚。</w:t>
      </w:r>
    </w:p>
    <w:p w14:paraId="65377DEC" w14:textId="77777777" w:rsidR="008C0151" w:rsidRDefault="008C0151" w:rsidP="008C0151">
      <w:pPr>
        <w:rPr>
          <w:rFonts w:hint="eastAsia"/>
        </w:rPr>
      </w:pPr>
      <w:r>
        <w:rPr>
          <w:rFonts w:hint="eastAsia"/>
        </w:rPr>
        <w:t>二、 硬件产能瓶颈：供应链多重约束下的扩张天花板</w:t>
      </w:r>
    </w:p>
    <w:p w14:paraId="58DB7FDB" w14:textId="420CF1E0" w:rsidR="008C0151" w:rsidRDefault="008C0151" w:rsidP="008C0151">
      <w:pPr>
        <w:rPr>
          <w:rFonts w:hint="eastAsia"/>
        </w:rPr>
      </w:pPr>
      <w:r>
        <w:rPr>
          <w:rFonts w:hint="eastAsia"/>
        </w:rPr>
        <w:lastRenderedPageBreak/>
        <w:t>面对汹涌的需求，算力硬件的供给扩张却面临着一系列物理、技术和供应链上的刚性约束。瓶颈并非单一存在，而是在产业链不同环节间动态转移，最终从系统层面锁死了产能的扩张速度。</w:t>
      </w:r>
    </w:p>
    <w:p w14:paraId="77C4CFF8" w14:textId="77777777" w:rsidR="008C0151" w:rsidRDefault="008C0151" w:rsidP="008C0151">
      <w:pPr>
        <w:rPr>
          <w:rFonts w:hint="eastAsia"/>
        </w:rPr>
      </w:pPr>
      <w:r>
        <w:rPr>
          <w:rFonts w:hint="eastAsia"/>
        </w:rPr>
        <w:t>1. 核心芯片制造：从先进制程到光刻机的终极约束</w:t>
      </w:r>
    </w:p>
    <w:p w14:paraId="339C98BD" w14:textId="05A7F8AB" w:rsidR="008C0151" w:rsidRDefault="008C0151" w:rsidP="008C0151">
      <w:pPr>
        <w:rPr>
          <w:rFonts w:hint="eastAsia"/>
        </w:rPr>
      </w:pPr>
      <w:r>
        <w:rPr>
          <w:rFonts w:hint="eastAsia"/>
        </w:rPr>
        <w:t>AI芯片的制造依赖于全球最精密的半导体供应链，其中多个环节已成为瓶颈。</w:t>
      </w:r>
    </w:p>
    <w:p w14:paraId="199C67B9" w14:textId="62DB5F48" w:rsidR="008C0151" w:rsidRDefault="008C0151" w:rsidP="008C0151">
      <w:pPr>
        <w:rPr>
          <w:rFonts w:hint="eastAsia"/>
        </w:rPr>
      </w:pPr>
      <w:r>
        <w:rPr>
          <w:rFonts w:hint="eastAsia"/>
        </w:rPr>
        <w:t>先进制程产能集中且紧缺：台积电垄断了全球80%以上的先进制程产能。建设1GW（吉瓦）算力的数据中心，约需5.5万片3nm和6000片5nm晶圆，英伟达已提前锁定台积电大量3nm产能。国内CPU供给亦因台积电产能不足及英特尔自身制程良率问题而紧张。</w:t>
      </w:r>
    </w:p>
    <w:p w14:paraId="2043EE9D" w14:textId="1B71411B" w:rsidR="008C0151" w:rsidRDefault="008C0151" w:rsidP="008C0151">
      <w:pPr>
        <w:rPr>
          <w:rFonts w:hint="eastAsia"/>
        </w:rPr>
      </w:pPr>
      <w:r>
        <w:rPr>
          <w:rFonts w:hint="eastAsia"/>
        </w:rPr>
        <w:t>EUV光刻机成为物理天花板：产能扩张的终极瓶颈指向了半导体设备，尤其是极紫外（EUV）光刻机。目前全球EUV光刻机由ASML独家供应，年产量仅约70台，未来几年缓慢增长至80-100台5。据测算，支撑1GW AI芯片产能需要约3.5台EUV光刻机全年运转，而建设这1GW数据中心的总投资高达500亿美元。光刻机供应链（如蔡司的镜头、Cymer的光源）高度复杂且专业化，扩产周期极长，从物理上限定了全球每年可新增的先进算力总规模。</w:t>
      </w:r>
    </w:p>
    <w:p w14:paraId="6810AAD1" w14:textId="22A68667" w:rsidR="008C0151" w:rsidRDefault="008C0151" w:rsidP="008C0151">
      <w:pPr>
        <w:rPr>
          <w:rFonts w:hint="eastAsia"/>
        </w:rPr>
      </w:pPr>
      <w:r>
        <w:rPr>
          <w:rFonts w:hint="eastAsia"/>
        </w:rPr>
        <w:t>2. 存储与封装：HBM短缺与先进封装产能制约</w:t>
      </w:r>
    </w:p>
    <w:p w14:paraId="62760810" w14:textId="3C00646F" w:rsidR="008C0151" w:rsidRDefault="008C0151" w:rsidP="008C0151">
      <w:pPr>
        <w:rPr>
          <w:rFonts w:hint="eastAsia"/>
        </w:rPr>
      </w:pPr>
      <w:r>
        <w:rPr>
          <w:rFonts w:hint="eastAsia"/>
        </w:rPr>
        <w:t>HBM内存供需严重失衡：大语言模型的瓶颈往往是内存带宽而非算力。HBM作为高性能AI芯片的标配，其生产效率远低于普通DRAM，同样晶圆面积产出容量仅为后者的1/3到1/43。需求爆发导致HBM价格飙升，英伟达为确保供应，签订了价值约900亿美元的长期采购合同。DRAM产能整体紧张，2025年DDR4价格大幅上涨，其背后是供给年增约10%而需求增长超20%的尖锐矛盾。</w:t>
      </w:r>
    </w:p>
    <w:p w14:paraId="65203C7B" w14:textId="3C68A9CD" w:rsidR="008C0151" w:rsidRDefault="008C0151" w:rsidP="008C0151">
      <w:pPr>
        <w:rPr>
          <w:rFonts w:hint="eastAsia"/>
        </w:rPr>
      </w:pPr>
      <w:r>
        <w:rPr>
          <w:rFonts w:hint="eastAsia"/>
        </w:rPr>
        <w:t>先进封装产能持续紧张：CoWoS等2.5D/3D先进封装技术是集成HBM与逻辑芯片的关键，其产能自2023年起便持续紧张。尽管台积电等厂商努力扩产，但仍难以满足需求。封装基板（如ABF）的供应也因上游特种材料（玻纤布、铜箔、干膜）被少数日本厂商垄断且扩产缓慢而受限。</w:t>
      </w:r>
    </w:p>
    <w:p w14:paraId="20BD1F64" w14:textId="77777777" w:rsidR="008C0151" w:rsidRDefault="008C0151" w:rsidP="008C0151">
      <w:pPr>
        <w:rPr>
          <w:rFonts w:hint="eastAsia"/>
        </w:rPr>
      </w:pPr>
      <w:r>
        <w:rPr>
          <w:rFonts w:hint="eastAsia"/>
        </w:rPr>
        <w:t>3. 光互连与系统配套：瓶颈向上游传导</w:t>
      </w:r>
    </w:p>
    <w:p w14:paraId="064C923C" w14:textId="697EEDE4" w:rsidR="008C0151" w:rsidRDefault="008C0151" w:rsidP="008C0151">
      <w:pPr>
        <w:rPr>
          <w:rFonts w:hint="eastAsia"/>
        </w:rPr>
      </w:pPr>
      <w:r>
        <w:rPr>
          <w:rFonts w:hint="eastAsia"/>
        </w:rPr>
        <w:t>随着AI集群规模扩大，算力瓶颈从GPU芯片本身向确保集群高效互联的“系统配套”环节扩散。</w:t>
      </w:r>
    </w:p>
    <w:p w14:paraId="4292BF9E" w14:textId="532E9075" w:rsidR="008C0151" w:rsidRDefault="008C0151" w:rsidP="008C0151">
      <w:pPr>
        <w:rPr>
          <w:rFonts w:hint="eastAsia"/>
        </w:rPr>
      </w:pPr>
      <w:r>
        <w:rPr>
          <w:rFonts w:hint="eastAsia"/>
        </w:rPr>
        <w:t>光器件与光模块成为新瓶颈：高速光互连是万卡乃至更大规模集群的“神经网络”。光通信龙头Lumentum表示，若需求趋势延续，其在未来两个季度内就可能将2028年底前的产能预订一空。这反映出网络侧扩容需求已远超当前产能规划。磷化铟等高端光器件制造工艺复杂、供应链迁移难度大，扩产非简单增加设备即可完成。</w:t>
      </w:r>
    </w:p>
    <w:p w14:paraId="59EC59B7" w14:textId="52ECB55C" w:rsidR="008C0151" w:rsidRPr="008C0151" w:rsidRDefault="008C0151" w:rsidP="008C0151">
      <w:pPr>
        <w:rPr>
          <w:rFonts w:hint="eastAsia"/>
        </w:rPr>
      </w:pPr>
      <w:r>
        <w:rPr>
          <w:rFonts w:hint="eastAsia"/>
        </w:rPr>
        <w:t>电力与基础设施的长期挑战：虽然短期内芯片是更紧的瓶颈，但电力供应是潜在的长</w:t>
      </w:r>
      <w:r>
        <w:rPr>
          <w:rFonts w:hint="eastAsia"/>
        </w:rPr>
        <w:lastRenderedPageBreak/>
        <w:t>期约束。AI数据中心功耗惊人，Blackwell机柜功率超过120千瓦。重型燃气轮机等关键电力设备的交付周期长达3-4年，产能也已排满。尽管可通过“电表后”解决方案缓解，但成本将上升。</w:t>
      </w:r>
    </w:p>
    <w:p w14:paraId="3BDEED69" w14:textId="60FE7BE7" w:rsidR="000F03F7" w:rsidRDefault="000F03F7" w:rsidP="00D72D41">
      <w:pPr>
        <w:pStyle w:val="3"/>
      </w:pPr>
      <w:r>
        <w:rPr>
          <w:rFonts w:hint="eastAsia"/>
        </w:rPr>
        <w:t>商业瓶颈</w:t>
      </w:r>
    </w:p>
    <w:p w14:paraId="43E038A5" w14:textId="2ABECA08" w:rsidR="00D72D41" w:rsidRDefault="00D72D41" w:rsidP="00D72D41">
      <w:pPr>
        <w:rPr>
          <w:rFonts w:hint="eastAsia"/>
        </w:rPr>
      </w:pPr>
      <w:r>
        <w:rPr>
          <w:rFonts w:hint="eastAsia"/>
        </w:rPr>
        <w:t>产业已从商业模式探索期进入初步规模化阶段，但“叫好不叫座”的困境普遍存在，盈利闭环难以形成。</w:t>
      </w:r>
    </w:p>
    <w:p w14:paraId="7C8E0C75" w14:textId="28B31C43" w:rsidR="00303327" w:rsidRDefault="00D72D41" w:rsidP="00D72D41">
      <w:pPr>
        <w:rPr>
          <w:rFonts w:hint="eastAsia"/>
        </w:rPr>
      </w:pPr>
      <w:r>
        <w:rPr>
          <w:rFonts w:hint="eastAsia"/>
        </w:rPr>
        <w:t>商业化压力主要体现在市场分化、成本失控和盈利模式单一三个方面。市场已清晰分化为To B（企业/政府）和To C（消费者）两个割裂的战场，两者逻辑迥异。To B市场强调模型的高生产力与可靠性，客户愿意为顶级能力支付溢价，但决策周期长、定制化要求高；To C市场用户对智能的感知阈值低，更多将大模型视为加强版搜索引擎，付费意愿薄弱。成本端，从训练到推理的全流程都依赖高额算力投入，无论B端私有化部署的定制开发，还是C端规模扩张所需的算力扩容，成本均随业务推进持续攀升。盈利模式上，单纯的API调用模式因算力成本高企和头部企业的价格战，导致中小厂商陷入“用户越多亏损越大”的困境。尽管行业转向高附加值的解决方案与模型授权，但多数大模型应用仍处试验阶段，并未实现规模化盈利。</w:t>
      </w:r>
    </w:p>
    <w:p w14:paraId="39F5100C" w14:textId="087F9A6B" w:rsidR="000F03F7" w:rsidRDefault="000F03F7" w:rsidP="00AC637A">
      <w:pPr>
        <w:pStyle w:val="3"/>
      </w:pPr>
      <w:r>
        <w:rPr>
          <w:rFonts w:hint="eastAsia"/>
        </w:rPr>
        <w:t>生态瓶颈</w:t>
      </w:r>
    </w:p>
    <w:p w14:paraId="5A363E47" w14:textId="52E27AA3" w:rsidR="00AC637A" w:rsidRDefault="00AC637A" w:rsidP="00AC637A">
      <w:pPr>
        <w:rPr>
          <w:rFonts w:hint="eastAsia"/>
        </w:rPr>
      </w:pPr>
      <w:r>
        <w:rPr>
          <w:rFonts w:hint="eastAsia"/>
        </w:rPr>
        <w:t>产业分化加剧，竞争格局快速固化，创业公司生存空间受到严重挤压，行业进入“大厂游戏”阶段。</w:t>
      </w:r>
    </w:p>
    <w:p w14:paraId="13AED779" w14:textId="79BCE8E0" w:rsidR="00AC637A" w:rsidRDefault="00AC637A" w:rsidP="00AC637A">
      <w:pPr>
        <w:rPr>
          <w:rFonts w:hint="eastAsia"/>
        </w:rPr>
      </w:pPr>
      <w:r>
        <w:rPr>
          <w:rFonts w:hint="eastAsia"/>
        </w:rPr>
        <w:t>一方面，产业主导权向巨头集中，创业窗口期关闭。大模型竞赛已成为一场拼算力、数据、资本和生态的持久战。头部互联网公司（如阿里、腾讯、字节）和云厂商（如阿里云、百度智能云）依托庞大的现金流、全栈技术能力及自有应用场景，构建了极高的竞争壁垒。它们可以承受长期亏损，通过“云+AI”一体化服务或流量生态进行市场覆盖，使缺乏生态支撑的创业公司在技术窗口期被抹平后，陷入生存困境。另一方面，开源模型的冲击加剧了行业“内卷”。以DeepSeek为代表的优秀开源模型大幅降低了技术使用门槛，使得模型能力本身的价值被稀释。企业更倾向于基于开源模型搭建自有应用，这对以提供通用模型API为主业的公司构成了直接冲击，迫使其要么陷入价格战，要么向更垂直、更重服务的模式转型。</w:t>
      </w:r>
    </w:p>
    <w:p w14:paraId="7D773378" w14:textId="358CF0BC" w:rsidR="000F03F7" w:rsidRPr="000F03F7" w:rsidRDefault="00AC637A" w:rsidP="00AC637A">
      <w:pPr>
        <w:rPr>
          <w:rFonts w:hint="eastAsia"/>
        </w:rPr>
      </w:pPr>
      <w:r>
        <w:rPr>
          <w:rFonts w:hint="eastAsia"/>
        </w:rPr>
        <w:t>此外，产业协同与标准缺失。工业等领域数据碎片化、封闭性特征与大模型训练所需的大规模高质量数据之间存在矛盾，数据共享和流通机制不完善。同时，模型评估、安全伦理等方面的行业标准仍在建设中，增加了应用落地的复杂性和不确定性。</w:t>
      </w:r>
    </w:p>
    <w:p w14:paraId="69707BF0" w14:textId="77777777" w:rsidR="00852E95" w:rsidRPr="00852E95" w:rsidRDefault="00852E95" w:rsidP="00852E95">
      <w:pPr>
        <w:rPr>
          <w:rFonts w:hint="eastAsia"/>
        </w:rPr>
      </w:pPr>
    </w:p>
    <w:p w14:paraId="606F535E" w14:textId="7CA7F4DF" w:rsidR="00E0149C" w:rsidRDefault="00B23F1D" w:rsidP="00E0149C">
      <w:pPr>
        <w:pStyle w:val="1"/>
        <w:rPr>
          <w:rFonts w:hint="eastAsia"/>
        </w:rPr>
      </w:pPr>
      <w:r>
        <w:rPr>
          <w:rFonts w:hint="eastAsia"/>
        </w:rPr>
        <w:lastRenderedPageBreak/>
        <w:t>三.</w:t>
      </w:r>
      <w:r w:rsidR="00E0149C">
        <w:rPr>
          <w:rFonts w:hint="eastAsia"/>
        </w:rPr>
        <w:t>竞争格局与企业竞争力分析</w:t>
      </w:r>
    </w:p>
    <w:p w14:paraId="3A96B9E1" w14:textId="044CCC98" w:rsidR="0015187D" w:rsidRDefault="00EB5EA6" w:rsidP="00EB5EA6">
      <w:pPr>
        <w:pStyle w:val="2"/>
      </w:pPr>
      <w:r>
        <w:rPr>
          <w:rFonts w:hint="eastAsia"/>
        </w:rPr>
        <w:t>市场集中度与竞争态势</w:t>
      </w:r>
    </w:p>
    <w:p w14:paraId="37AD6B6B" w14:textId="12FEC3BC" w:rsidR="00502A8D" w:rsidRPr="00502A8D" w:rsidRDefault="00A670C9" w:rsidP="00502A8D">
      <w:pPr>
        <w:pStyle w:val="3"/>
        <w:rPr>
          <w:rFonts w:hint="eastAsia"/>
        </w:rPr>
      </w:pPr>
      <w:r>
        <w:rPr>
          <w:rFonts w:hint="eastAsia"/>
        </w:rPr>
        <w:t>市场集中度上</w:t>
      </w:r>
    </w:p>
    <w:p w14:paraId="0F6BA8C2" w14:textId="3462B17F" w:rsidR="00AC20A2" w:rsidRDefault="002576D6" w:rsidP="00AC20A2">
      <w:r w:rsidRPr="002576D6">
        <w:t>全球大模型市场呈现出显著向头部厂商集中的趋势。随着LLM技术路径的收敛和Scaling Law的推进，行业已从早期的“百模大战”逐渐收敛至由少数具备算法、算力与数据积累优势的头部厂商主导的阶段</w:t>
      </w:r>
      <w:r>
        <w:rPr>
          <w:rFonts w:hint="eastAsia"/>
        </w:rPr>
        <w:t>。</w:t>
      </w:r>
      <w:r w:rsidR="00F03515">
        <w:rPr>
          <w:rFonts w:hint="eastAsia"/>
        </w:rPr>
        <w:t>这一现象由多种原因造成。首先，资本与研发壁垒持续提高，</w:t>
      </w:r>
      <w:r w:rsidR="00583DC5" w:rsidRPr="00583DC5">
        <w:t>持续的研发投入是维持技术领先的前提。行业普遍处于“高增长、高研发投入、高亏损”的早期阶段</w:t>
      </w:r>
      <w:r w:rsidR="00583DC5">
        <w:rPr>
          <w:rFonts w:hint="eastAsia"/>
        </w:rPr>
        <w:t>，头部企业在此过程中更具备相对优势。其次，</w:t>
      </w:r>
      <w:r w:rsidR="00A670C9" w:rsidRPr="00A670C9">
        <w:t>Transformer架构及MoE（混合专家模型）等成为主流，技术突破的门槛提升，后发者难以通过简单模仿实现超越</w:t>
      </w:r>
      <w:r w:rsidR="00A670C9">
        <w:rPr>
          <w:rFonts w:hint="eastAsia"/>
        </w:rPr>
        <w:t>。第三，</w:t>
      </w:r>
      <w:r w:rsidR="00A670C9" w:rsidRPr="00A670C9">
        <w:t>资本市场关注点已从技术叙事转向收入质量、毛利率改善等商业化本质指标。能否展示清晰的盈利拐点预期，成为支撑长期价值的关键，这进一步有利于已建立初步规模优势的头部公司</w:t>
      </w:r>
    </w:p>
    <w:p w14:paraId="0B152DD3" w14:textId="6293C2D1" w:rsidR="00502A8D" w:rsidRDefault="00502A8D" w:rsidP="00502A8D">
      <w:pPr>
        <w:pStyle w:val="3"/>
      </w:pPr>
      <w:r>
        <w:rPr>
          <w:rFonts w:hint="eastAsia"/>
        </w:rPr>
        <w:t>竞争态势</w:t>
      </w:r>
    </w:p>
    <w:p w14:paraId="76668EAA" w14:textId="45BA1D0F" w:rsidR="00502A8D" w:rsidRDefault="00502A8D" w:rsidP="00502A8D">
      <w:r>
        <w:rPr>
          <w:rFonts w:hint="eastAsia"/>
        </w:rPr>
        <w:t>技术竞赛，轮番领跑：</w:t>
      </w:r>
      <w:r w:rsidRPr="00502A8D">
        <w:t>在全球范围内，头部厂商表现出“竞相迭代、轮番领跑”的态势</w:t>
      </w:r>
    </w:p>
    <w:p w14:paraId="7946665C" w14:textId="77777777" w:rsidR="00502A8D" w:rsidRPr="00502A8D" w:rsidRDefault="00502A8D" w:rsidP="00502A8D">
      <w:pPr>
        <w:rPr>
          <w:rFonts w:hint="eastAsia"/>
        </w:rPr>
      </w:pPr>
    </w:p>
    <w:p w14:paraId="000F535C" w14:textId="66DAD3DD" w:rsidR="00EB5EA6" w:rsidRDefault="00EB5EA6" w:rsidP="00EB5EA6">
      <w:pPr>
        <w:pStyle w:val="2"/>
      </w:pPr>
      <w:r>
        <w:rPr>
          <w:rFonts w:hint="eastAsia"/>
        </w:rPr>
        <w:t>参与者类型（pureplay and non pureplay</w:t>
      </w:r>
      <w:r>
        <w:t>）</w:t>
      </w:r>
    </w:p>
    <w:p w14:paraId="0D44BC9B" w14:textId="1AE2777F" w:rsidR="00EB5EA6" w:rsidRPr="0015187D" w:rsidRDefault="00EB5EA6" w:rsidP="00EB5EA6">
      <w:pPr>
        <w:pStyle w:val="2"/>
        <w:rPr>
          <w:rFonts w:hint="eastAsia"/>
        </w:rPr>
      </w:pPr>
      <w:r>
        <w:rPr>
          <w:rFonts w:hint="eastAsia"/>
        </w:rPr>
        <w:t>企业核心竞争力评价维度</w:t>
      </w:r>
    </w:p>
    <w:p w14:paraId="1CCD5696" w14:textId="46BDE091" w:rsidR="00E0149C" w:rsidRDefault="00B23F1D" w:rsidP="00E0149C">
      <w:pPr>
        <w:pStyle w:val="1"/>
        <w:rPr>
          <w:rFonts w:hint="eastAsia"/>
        </w:rPr>
      </w:pPr>
      <w:r>
        <w:rPr>
          <w:rFonts w:hint="eastAsia"/>
        </w:rPr>
        <w:t>四.</w:t>
      </w:r>
      <w:r w:rsidR="00E0149C">
        <w:rPr>
          <w:rFonts w:hint="eastAsia"/>
        </w:rPr>
        <w:t>典型案例剖析</w:t>
      </w:r>
    </w:p>
    <w:p w14:paraId="17C3C50E" w14:textId="77777777" w:rsidR="001668B0" w:rsidRPr="001668B0" w:rsidRDefault="001668B0" w:rsidP="001668B0">
      <w:pPr>
        <w:numPr>
          <w:ilvl w:val="0"/>
          <w:numId w:val="4"/>
        </w:numPr>
        <w:rPr>
          <w:rFonts w:hint="eastAsia"/>
        </w:rPr>
      </w:pPr>
      <w:r w:rsidRPr="001668B0">
        <w:rPr>
          <w:b/>
          <w:bCs/>
        </w:rPr>
        <w:t>分析框架</w:t>
      </w:r>
      <w:r w:rsidRPr="001668B0">
        <w:t>：对案例公司的分析通常涵盖：</w:t>
      </w:r>
      <w:r w:rsidRPr="001668B0">
        <w:rPr>
          <w:b/>
          <w:bCs/>
        </w:rPr>
        <w:t>公司简介与发展历程</w:t>
      </w:r>
      <w:r w:rsidRPr="001668B0">
        <w:t>、</w:t>
      </w:r>
      <w:r w:rsidRPr="001668B0">
        <w:rPr>
          <w:b/>
          <w:bCs/>
        </w:rPr>
        <w:t>技术路径与产品矩阵</w:t>
      </w:r>
      <w:r w:rsidRPr="001668B0">
        <w:t>（如全模态布局）、</w:t>
      </w:r>
      <w:r w:rsidRPr="001668B0">
        <w:rPr>
          <w:b/>
          <w:bCs/>
        </w:rPr>
        <w:t>商业模式与营收结构</w:t>
      </w:r>
      <w:r w:rsidRPr="001668B0">
        <w:t>、</w:t>
      </w:r>
      <w:r w:rsidRPr="001668B0">
        <w:rPr>
          <w:b/>
          <w:bCs/>
        </w:rPr>
        <w:t>财务表现与运营数据</w:t>
      </w:r>
      <w:r w:rsidRPr="001668B0">
        <w:t>（如用户数、毛利率、研发投入），以及其</w:t>
      </w:r>
      <w:r w:rsidRPr="001668B0">
        <w:rPr>
          <w:b/>
          <w:bCs/>
        </w:rPr>
        <w:t>差异化竞争策略</w:t>
      </w:r>
      <w:r w:rsidRPr="001668B0">
        <w:t>（如全球化、专注B端等）9。</w:t>
      </w:r>
    </w:p>
    <w:p w14:paraId="4C6B62E2" w14:textId="77777777" w:rsidR="001668B0" w:rsidRPr="001668B0" w:rsidRDefault="001668B0" w:rsidP="001668B0">
      <w:pPr>
        <w:numPr>
          <w:ilvl w:val="0"/>
          <w:numId w:val="4"/>
        </w:numPr>
        <w:rPr>
          <w:rFonts w:hint="eastAsia"/>
        </w:rPr>
      </w:pPr>
      <w:r w:rsidRPr="001668B0">
        <w:rPr>
          <w:b/>
          <w:bCs/>
        </w:rPr>
        <w:t>对比分析</w:t>
      </w:r>
      <w:r w:rsidRPr="001668B0">
        <w:t>：通过横向对比不同典型案例（如智谱与MiniMax在B端/C端、国内/海外的不同侧重），可以更清晰地展现市场的细分赛道和成功路径的多样性9。</w:t>
      </w:r>
    </w:p>
    <w:p w14:paraId="2112F141" w14:textId="77777777" w:rsidR="0015187D" w:rsidRDefault="0015187D" w:rsidP="0015187D">
      <w:pPr>
        <w:pStyle w:val="2"/>
        <w:rPr>
          <w:rFonts w:hint="eastAsia"/>
        </w:rPr>
      </w:pPr>
      <w:r>
        <w:rPr>
          <w:rFonts w:hint="eastAsia"/>
        </w:rPr>
        <w:lastRenderedPageBreak/>
        <w:t>智谱</w:t>
      </w:r>
    </w:p>
    <w:p w14:paraId="6EBDFE9C" w14:textId="77777777" w:rsidR="0015187D" w:rsidRDefault="0015187D" w:rsidP="0015187D">
      <w:pPr>
        <w:pStyle w:val="2"/>
        <w:rPr>
          <w:rFonts w:hint="eastAsia"/>
        </w:rPr>
      </w:pPr>
      <w:r>
        <w:rPr>
          <w:rFonts w:hint="eastAsia"/>
        </w:rPr>
        <w:t>Minimax</w:t>
      </w:r>
    </w:p>
    <w:p w14:paraId="08936A4D" w14:textId="77777777" w:rsidR="001668B0" w:rsidRDefault="001668B0" w:rsidP="001668B0"/>
    <w:p w14:paraId="1FB715A7" w14:textId="7109377A" w:rsidR="00715D18" w:rsidRPr="001668B0" w:rsidRDefault="00715D18" w:rsidP="001668B0">
      <w:pPr>
        <w:rPr>
          <w:rFonts w:hint="eastAsia"/>
        </w:rPr>
      </w:pPr>
      <w:r>
        <w:rPr>
          <w:rFonts w:hint="eastAsia"/>
        </w:rPr>
        <w:t>不同路径代表，差异化战略，成功要素</w:t>
      </w:r>
    </w:p>
    <w:p w14:paraId="587865CD" w14:textId="24B003F2" w:rsidR="0056725F" w:rsidRDefault="00B23F1D" w:rsidP="0056725F">
      <w:pPr>
        <w:pStyle w:val="1"/>
        <w:rPr>
          <w:rFonts w:hint="eastAsia"/>
        </w:rPr>
      </w:pPr>
      <w:r>
        <w:rPr>
          <w:rFonts w:hint="eastAsia"/>
        </w:rPr>
        <w:t>五.</w:t>
      </w:r>
      <w:r w:rsidR="0056725F">
        <w:rPr>
          <w:rFonts w:hint="eastAsia"/>
        </w:rPr>
        <w:t>未来趋势与投资展望</w:t>
      </w:r>
    </w:p>
    <w:p w14:paraId="6224EA46" w14:textId="6C725E69" w:rsidR="0056725F" w:rsidRDefault="0056725F" w:rsidP="00B358D3">
      <w:pPr>
        <w:pStyle w:val="2"/>
        <w:rPr>
          <w:rFonts w:hint="eastAsia"/>
        </w:rPr>
      </w:pPr>
      <w:r>
        <w:rPr>
          <w:rFonts w:hint="eastAsia"/>
        </w:rPr>
        <w:t>技术趋势</w:t>
      </w:r>
    </w:p>
    <w:p w14:paraId="3B9EBE5A" w14:textId="2E76EA02" w:rsidR="00621C0E" w:rsidRDefault="00621C0E" w:rsidP="00621C0E">
      <w:pPr>
        <w:pStyle w:val="3"/>
        <w:rPr>
          <w:rFonts w:hint="eastAsia"/>
        </w:rPr>
      </w:pPr>
      <w:r>
        <w:rPr>
          <w:rFonts w:hint="eastAsia"/>
        </w:rPr>
        <w:t>年内：Agent崛起拉动技术突破</w:t>
      </w:r>
      <w:r w:rsidR="0098006A">
        <w:rPr>
          <w:rFonts w:hint="eastAsia"/>
        </w:rPr>
        <w:t xml:space="preserve"> √</w:t>
      </w:r>
    </w:p>
    <w:p w14:paraId="2C07B242" w14:textId="4DD9E7CF" w:rsidR="00621C0E" w:rsidRDefault="00621C0E" w:rsidP="00621C0E">
      <w:pPr>
        <w:rPr>
          <w:rFonts w:hint="eastAsia"/>
        </w:rPr>
      </w:pPr>
      <w:r w:rsidRPr="00F72912">
        <w:t>Agent的爆发，正是将宏大叙事转化为即时</w:t>
      </w:r>
      <w:r>
        <w:rPr>
          <w:rFonts w:hint="eastAsia"/>
        </w:rPr>
        <w:t>可被观察的商业现象</w:t>
      </w:r>
      <w:r w:rsidRPr="00F72912">
        <w:t>。Agent不是大模型的又一个应用场景，而是人机交互范式的根本转移——从"人类提问、机器回答"的单点对话，转向"机器感知、规划、执行、协作"的自主闭环。当多个Agent开始相互调用、分工协作时，人类逐渐从交互回路中退居监督位，机器间交互成为智能经济的主流形态。</w:t>
      </w:r>
      <w:r>
        <w:rPr>
          <w:rFonts w:hint="eastAsia"/>
        </w:rPr>
        <w:t>Agent从沙盒环境向物理网关的入驻意义重大，本质上是人工智能朝着AGI前进的一个重要进步，某种程度上标志着AI 2.0时代的开启。</w:t>
      </w:r>
    </w:p>
    <w:p w14:paraId="3E4E4799" w14:textId="77777777" w:rsidR="00621C0E" w:rsidRDefault="00621C0E" w:rsidP="00621C0E">
      <w:pPr>
        <w:rPr>
          <w:rFonts w:hint="eastAsia"/>
        </w:rPr>
      </w:pPr>
      <w:r w:rsidRPr="00352BE2">
        <w:t>单轮人机对话的平均Token消耗在数百至千级，且用户发起频率受限于人类注意力。但Agent的工作流是自主连续运转的：一个中等复杂度的企业任务（如"生成季度财报分析并邮件发送给董事会"）通常需要分解为10-20个子步骤，涉及长上下文理解（万级Token）、多轮工具调用（每次调用伴随独立推理）、错误自检与重试（失败路径的冗余计算）。实测数据显示，同等用户基数下，Agent活跃账户的月均Token消耗是传统对话式AI的15-40倍。更关键的是，Agent一旦部署即7×24小时待命，其调用曲线不是人类作息的峰谷波动，而是持续平滑的工业级负载。这意味着基模厂面对的推理需求，已从"流量型"转向"产能型"——是可被年化预测、可被合同锁定的算力订单，而非不可预估的突发查询。</w:t>
      </w:r>
    </w:p>
    <w:p w14:paraId="5C1D8635" w14:textId="77777777" w:rsidR="00621C0E" w:rsidRDefault="00621C0E" w:rsidP="00621C0E">
      <w:pPr>
        <w:jc w:val="center"/>
        <w:rPr>
          <w:rFonts w:hint="eastAsia"/>
        </w:rPr>
      </w:pPr>
      <w:r>
        <w:rPr>
          <w:rFonts w:hint="eastAsia"/>
        </w:rPr>
        <w:t>图：Agent App一览</w:t>
      </w:r>
    </w:p>
    <w:p w14:paraId="73B27FFC" w14:textId="77777777" w:rsidR="00621C0E" w:rsidRDefault="00621C0E" w:rsidP="00621C0E">
      <w:pPr>
        <w:rPr>
          <w:rFonts w:hint="eastAsia"/>
        </w:rPr>
      </w:pPr>
      <w:r>
        <w:rPr>
          <w:noProof/>
        </w:rPr>
        <w:lastRenderedPageBreak/>
        <w:drawing>
          <wp:inline distT="0" distB="0" distL="0" distR="0" wp14:anchorId="111C0D06" wp14:editId="7C2C5C05">
            <wp:extent cx="5274310" cy="2520315"/>
            <wp:effectExtent l="0" t="0" r="2540" b="0"/>
            <wp:docPr id="228159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59750" name=""/>
                    <pic:cNvPicPr/>
                  </pic:nvPicPr>
                  <pic:blipFill>
                    <a:blip r:embed="rId22"/>
                    <a:stretch>
                      <a:fillRect/>
                    </a:stretch>
                  </pic:blipFill>
                  <pic:spPr>
                    <a:xfrm>
                      <a:off x="0" y="0"/>
                      <a:ext cx="5274310" cy="2520315"/>
                    </a:xfrm>
                    <a:prstGeom prst="rect">
                      <a:avLst/>
                    </a:prstGeom>
                  </pic:spPr>
                </pic:pic>
              </a:graphicData>
            </a:graphic>
          </wp:inline>
        </w:drawing>
      </w:r>
    </w:p>
    <w:p w14:paraId="21E4D37F" w14:textId="77777777" w:rsidR="00621C0E" w:rsidRDefault="00621C0E" w:rsidP="00621C0E">
      <w:pPr>
        <w:rPr>
          <w:rFonts w:hint="eastAsia"/>
        </w:rPr>
      </w:pPr>
      <w:r>
        <w:rPr>
          <w:rFonts w:hint="eastAsia"/>
        </w:rPr>
        <w:t>数据来源：OpenRounter</w:t>
      </w:r>
    </w:p>
    <w:p w14:paraId="629266CF" w14:textId="77777777" w:rsidR="00621C0E" w:rsidRDefault="00621C0E" w:rsidP="00621C0E">
      <w:pPr>
        <w:rPr>
          <w:rFonts w:hint="eastAsia"/>
        </w:rPr>
      </w:pPr>
      <w:r>
        <w:rPr>
          <w:rFonts w:hint="eastAsia"/>
        </w:rPr>
        <w:t>因此</w:t>
      </w:r>
      <w:r w:rsidRPr="00352BE2">
        <w:t>Agent时代，下游客户（无论是直接采购的企业，还是开发Agent应用的SaaS厂商）与</w:t>
      </w:r>
      <w:r>
        <w:rPr>
          <w:rFonts w:hint="eastAsia"/>
        </w:rPr>
        <w:t>大模型企业</w:t>
      </w:r>
      <w:r w:rsidRPr="00352BE2">
        <w:t>签订的不再是"试用额度"或"轻度订阅"，而是承诺消费量的年度框架协议（Annual Commitment）。原因在于Agent嵌入业务流后，推理中断即意味着业务停摆，客户必须确保Token供给的优先级与价格确定性。Anthropic、OpenAI近季度的API收入增速中，企业级承诺消费占比已超过散客按需付费，国内智谱、MiniMax的B端合同同样呈现"长协化"趋势。对基模厂而言，这意味着收入的可预测性显著提升——从"用户今天来明天走"的流量生意，变为"按年锁量、按月结算"的算力批发合约。</w:t>
      </w:r>
    </w:p>
    <w:p w14:paraId="257EEB77" w14:textId="77777777" w:rsidR="00621C0E" w:rsidRDefault="00621C0E" w:rsidP="00621C0E">
      <w:pPr>
        <w:rPr>
          <w:rFonts w:hint="eastAsia"/>
        </w:rPr>
      </w:pPr>
      <w:r>
        <w:rPr>
          <w:rFonts w:hint="eastAsia"/>
        </w:rPr>
        <w:t>其次，</w:t>
      </w:r>
      <w:r w:rsidRPr="0032078D">
        <w:t>大模型行业此前的资本开支主要投向训练侧：一次性、高强度、不可持续的算力脉冲，且训练成果（模型权重）的变现路径漫长。但Agent带来的推理订单是经常性、持续性、逐月递增的。</w:t>
      </w:r>
      <w:r>
        <w:rPr>
          <w:rFonts w:hint="eastAsia"/>
        </w:rPr>
        <w:t>而</w:t>
      </w:r>
      <w:r w:rsidRPr="0032078D">
        <w:t>推理收入的边际成本结构优于训练——模型一旦训练完成，推理的增量成本主要是上游算力租赁与电力消耗，而收入是按Token线性计价。随着Agent渗透率提升，</w:t>
      </w:r>
      <w:r>
        <w:rPr>
          <w:rFonts w:hint="eastAsia"/>
        </w:rPr>
        <w:t>基础大模型</w:t>
      </w:r>
      <w:r w:rsidRPr="0032078D">
        <w:t>的收入结构中推理占比持续扩大，这将直接改善其现金流状况：资本开支仍大，但经营性现金流入有了可预期的月度回款作为对冲。换言之，Agent让基模厂从"烧钱的科研项目"变成了"</w:t>
      </w:r>
      <w:r>
        <w:rPr>
          <w:rFonts w:hint="eastAsia"/>
        </w:rPr>
        <w:t>收取高额订阅和部署费用</w:t>
      </w:r>
      <w:r w:rsidRPr="0032078D">
        <w:t>的算力运营商"。</w:t>
      </w:r>
    </w:p>
    <w:p w14:paraId="2BA60D4F" w14:textId="77777777" w:rsidR="00621C0E" w:rsidRPr="00621C0E" w:rsidRDefault="00621C0E" w:rsidP="00621C0E">
      <w:pPr>
        <w:rPr>
          <w:rFonts w:hint="eastAsia"/>
        </w:rPr>
      </w:pPr>
    </w:p>
    <w:p w14:paraId="6DE6B60C" w14:textId="3A1C1C34" w:rsidR="0056725F" w:rsidRDefault="0056725F" w:rsidP="00B358D3">
      <w:pPr>
        <w:pStyle w:val="2"/>
        <w:rPr>
          <w:rFonts w:hint="eastAsia"/>
        </w:rPr>
      </w:pPr>
      <w:r>
        <w:rPr>
          <w:rFonts w:hint="eastAsia"/>
        </w:rPr>
        <w:t>产业与商业趋势</w:t>
      </w:r>
    </w:p>
    <w:p w14:paraId="62873704" w14:textId="77777777" w:rsidR="00621C0E" w:rsidRPr="00621C0E" w:rsidRDefault="00621C0E" w:rsidP="00621C0E">
      <w:pPr>
        <w:rPr>
          <w:rFonts w:hint="eastAsia"/>
        </w:rPr>
      </w:pPr>
    </w:p>
    <w:p w14:paraId="4320D140" w14:textId="61896125" w:rsidR="0056725F" w:rsidRDefault="00B358D3" w:rsidP="00B358D3">
      <w:pPr>
        <w:pStyle w:val="2"/>
      </w:pPr>
      <w:r>
        <w:rPr>
          <w:rFonts w:hint="eastAsia"/>
        </w:rPr>
        <w:t>战略选项和行动建议</w:t>
      </w:r>
    </w:p>
    <w:p w14:paraId="710EF2A8" w14:textId="2002022C" w:rsidR="00676291" w:rsidRPr="00676291" w:rsidRDefault="00676291" w:rsidP="00676291">
      <w:pPr>
        <w:rPr>
          <w:rFonts w:hint="eastAsia"/>
        </w:rPr>
      </w:pPr>
      <w:r>
        <w:rPr>
          <w:rFonts w:hint="eastAsia"/>
        </w:rPr>
        <w:t>分不同的角色</w:t>
      </w:r>
    </w:p>
    <w:p w14:paraId="31E29365" w14:textId="36DB2C81" w:rsidR="00715D18" w:rsidRDefault="00715D18" w:rsidP="00715D18">
      <w:pPr>
        <w:pStyle w:val="2"/>
      </w:pPr>
      <w:r>
        <w:rPr>
          <w:rFonts w:hint="eastAsia"/>
        </w:rPr>
        <w:lastRenderedPageBreak/>
        <w:t>潜在风险提示</w:t>
      </w:r>
    </w:p>
    <w:p w14:paraId="179062D1" w14:textId="67B4CD35" w:rsidR="002B152A" w:rsidRDefault="007677E5" w:rsidP="00186848">
      <w:pPr>
        <w:pStyle w:val="3"/>
      </w:pPr>
      <w:r>
        <w:rPr>
          <w:rFonts w:hint="eastAsia"/>
        </w:rPr>
        <w:t>特斯拉时刻和OGAS时刻的可能性</w:t>
      </w:r>
      <w:r w:rsidR="00D6092B">
        <w:rPr>
          <w:rFonts w:hint="eastAsia"/>
        </w:rPr>
        <w:t xml:space="preserve"> √</w:t>
      </w:r>
    </w:p>
    <w:p w14:paraId="39A6BE62" w14:textId="4085D844" w:rsidR="00186848" w:rsidRDefault="00186848" w:rsidP="00186848">
      <w:pPr>
        <w:rPr>
          <w:rFonts w:hint="eastAsia"/>
        </w:rPr>
      </w:pPr>
      <w:r>
        <w:rPr>
          <w:rFonts w:hint="eastAsia"/>
        </w:rPr>
        <w:t>历史经验表明，足以重构资源配置逻辑的技术革命，往往遭遇超越工程层面的</w:t>
      </w:r>
      <w:r>
        <w:rPr>
          <w:rFonts w:hint="eastAsia"/>
        </w:rPr>
        <w:t>不可抗力干预或限制</w:t>
      </w:r>
      <w:r>
        <w:rPr>
          <w:rFonts w:hint="eastAsia"/>
        </w:rPr>
        <w:t>。</w:t>
      </w:r>
    </w:p>
    <w:p w14:paraId="4CE2900A" w14:textId="16CD64F0" w:rsidR="00186848" w:rsidRDefault="00186848" w:rsidP="00186848">
      <w:pPr>
        <w:rPr>
          <w:rFonts w:hint="eastAsia"/>
        </w:rPr>
      </w:pPr>
      <w:r>
        <w:rPr>
          <w:rFonts w:hint="eastAsia"/>
        </w:rPr>
        <w:t>二十世纪初，</w:t>
      </w:r>
      <w:r>
        <w:rPr>
          <w:rFonts w:hint="eastAsia"/>
        </w:rPr>
        <w:t>尼古拉·</w:t>
      </w:r>
      <w:r>
        <w:rPr>
          <w:rFonts w:hint="eastAsia"/>
        </w:rPr>
        <w:t>特斯拉提出的无线电力传输方案，其搁浅并非单纯源于技术瓶颈。更深层的制约在于，一个开放获取的能源网络，将直接瓦解基于物理电网的收费体系与既有商业格局，引发</w:t>
      </w:r>
      <w:r>
        <w:rPr>
          <w:rFonts w:hint="eastAsia"/>
        </w:rPr>
        <w:t>传统能源资本</w:t>
      </w:r>
      <w:r>
        <w:rPr>
          <w:rFonts w:hint="eastAsia"/>
        </w:rPr>
        <w:t>资本的防御性退出。</w:t>
      </w:r>
    </w:p>
    <w:p w14:paraId="2ABCB2B1" w14:textId="303C05E7" w:rsidR="00186848" w:rsidRDefault="00186848" w:rsidP="00186848">
      <w:pPr>
        <w:rPr>
          <w:rFonts w:hint="eastAsia"/>
        </w:rPr>
      </w:pPr>
      <w:r>
        <w:rPr>
          <w:rFonts w:hint="eastAsia"/>
        </w:rPr>
        <w:t>类似地，上世纪苏联设计的全国自动化信息系统</w:t>
      </w:r>
      <w:r>
        <w:rPr>
          <w:rFonts w:hint="eastAsia"/>
        </w:rPr>
        <w:t>（OGAS）</w:t>
      </w:r>
      <w:r>
        <w:rPr>
          <w:rFonts w:hint="eastAsia"/>
        </w:rPr>
        <w:t>，旨在通过实时数据优化物资调度与危机响应。</w:t>
      </w:r>
      <w:r w:rsidR="00676291">
        <w:rPr>
          <w:rFonts w:hint="eastAsia"/>
        </w:rPr>
        <w:t>其愿景与</w:t>
      </w:r>
      <w:r w:rsidR="00283F56">
        <w:rPr>
          <w:rFonts w:hint="eastAsia"/>
        </w:rPr>
        <w:t>今天的</w:t>
      </w:r>
      <w:r w:rsidR="00676291">
        <w:rPr>
          <w:rFonts w:hint="eastAsia"/>
        </w:rPr>
        <w:t>AGI十分相似。</w:t>
      </w:r>
      <w:r>
        <w:rPr>
          <w:rFonts w:hint="eastAsia"/>
        </w:rPr>
        <w:t>然而，这一系统所要求的信息高度透明与决策自动化，同科层管理结构形成了张力</w:t>
      </w:r>
      <w:r w:rsidR="00676291">
        <w:rPr>
          <w:rFonts w:hint="eastAsia"/>
        </w:rPr>
        <w:t>：</w:t>
      </w:r>
      <w:r>
        <w:rPr>
          <w:rFonts w:hint="eastAsia"/>
        </w:rPr>
        <w:t>当技术试图压缩信息闭环、重构决策链条时，遭遇了</w:t>
      </w:r>
      <w:r w:rsidR="00787DD9">
        <w:rPr>
          <w:rFonts w:hint="eastAsia"/>
        </w:rPr>
        <w:t>来自</w:t>
      </w:r>
      <w:r w:rsidR="00676291">
        <w:rPr>
          <w:rFonts w:hint="eastAsia"/>
        </w:rPr>
        <w:t>经济</w:t>
      </w:r>
      <w:r w:rsidR="00787DD9">
        <w:rPr>
          <w:rFonts w:hint="eastAsia"/>
        </w:rPr>
        <w:t>治理体系内部</w:t>
      </w:r>
      <w:r>
        <w:rPr>
          <w:rFonts w:hint="eastAsia"/>
        </w:rPr>
        <w:t>的适应性阻力。</w:t>
      </w:r>
    </w:p>
    <w:p w14:paraId="70EF2BA2" w14:textId="0C4B9E06" w:rsidR="00186848" w:rsidRDefault="00186848" w:rsidP="00186848">
      <w:r>
        <w:rPr>
          <w:rFonts w:hint="eastAsia"/>
        </w:rPr>
        <w:t>两个案例的共性在于：当技术不仅提升效率，更触及</w:t>
      </w:r>
      <w:r w:rsidR="00787DD9">
        <w:rPr>
          <w:rFonts w:hint="eastAsia"/>
        </w:rPr>
        <w:t>旧有经济范式</w:t>
      </w:r>
      <w:r>
        <w:rPr>
          <w:rFonts w:hint="eastAsia"/>
        </w:rPr>
        <w:t>的核心逻辑时，新旧范式之间会产生结构性摩擦。对于人工智能而言，其生产力革命若深入到生产关系与治理结构的底层，同样可能触发来自既有经济范式的制度性调适压力。判断AI能否穿越这一摩擦，需观察的不仅是算力与算法的迭代，更是技术路径与</w:t>
      </w:r>
      <w:r w:rsidR="00392096">
        <w:rPr>
          <w:rFonts w:hint="eastAsia"/>
        </w:rPr>
        <w:t>治理</w:t>
      </w:r>
      <w:r>
        <w:rPr>
          <w:rFonts w:hint="eastAsia"/>
        </w:rPr>
        <w:t>弹性之间的匹配度。</w:t>
      </w:r>
    </w:p>
    <w:p w14:paraId="24C907D6" w14:textId="77777777" w:rsidR="00D6092B" w:rsidRDefault="00D6092B" w:rsidP="00186848"/>
    <w:p w14:paraId="29C28A87" w14:textId="7C8640EA" w:rsidR="00D6092B" w:rsidRDefault="00D6092B" w:rsidP="00D6092B">
      <w:pPr>
        <w:pStyle w:val="3"/>
      </w:pPr>
      <w:r>
        <w:rPr>
          <w:rFonts w:hint="eastAsia"/>
        </w:rPr>
        <w:t>远期技术路线错误的可能性 √</w:t>
      </w:r>
    </w:p>
    <w:p w14:paraId="19A2F472" w14:textId="77777777" w:rsidR="00D6092B" w:rsidRDefault="00D6092B" w:rsidP="00D6092B">
      <w:pPr>
        <w:rPr>
          <w:rFonts w:hint="eastAsia"/>
        </w:rPr>
      </w:pPr>
      <w:r>
        <w:rPr>
          <w:rFonts w:hint="eastAsia"/>
        </w:rPr>
        <w:t>当前大模型产业将核心赌注押在Transformer架构、Scaling Law与预训练范式的组合上。这一路线虽带来惊人进展，但存在被证伪或边际失效的系统性风险。</w:t>
      </w:r>
    </w:p>
    <w:p w14:paraId="1B8883E5" w14:textId="77777777" w:rsidR="00D6092B" w:rsidRDefault="00D6092B" w:rsidP="00D6092B">
      <w:pPr>
        <w:rPr>
          <w:rFonts w:hint="eastAsia"/>
        </w:rPr>
      </w:pPr>
      <w:r>
        <w:rPr>
          <w:rFonts w:hint="eastAsia"/>
        </w:rPr>
        <w:t>第一，Transformer可能不是通用智能的终极载体。 注意力机制的计算复杂度与序列长度呈平方关系，导致长上下文扩展面临严峻的算力边际递减。更根本的是，Transformer的"一次性前向生成"缺乏人类认知中系统性的迭代回溯与因果验证能力，当前的"思维链"只是外部补丁而非架构内生。Mamba、状态空间模型及神经符号路线正在积蓄替代力量。</w:t>
      </w:r>
    </w:p>
    <w:p w14:paraId="5F38B0CC" w14:textId="77777777" w:rsidR="00D6092B" w:rsidRDefault="00D6092B" w:rsidP="00D6092B">
      <w:pPr>
        <w:rPr>
          <w:rFonts w:hint="eastAsia"/>
        </w:rPr>
      </w:pPr>
      <w:r>
        <w:rPr>
          <w:rFonts w:hint="eastAsia"/>
        </w:rPr>
        <w:t>第二，Scaling Law的信仰面临三重裂痕。 优质文本数据即将耗尽，合成数据存在自我污染与分布坍缩风险；从GPT-3到GPT-4的跨越惊艳，但后续代际提升已现收敛态势；所谓的"能力涌现"可能只是评测基准的粒度效应，而非真正的智能跃迁。若智能本质是因果建模而非模式压缩，Scaling Law或只是在制造更大的鹦鹉。</w:t>
      </w:r>
    </w:p>
    <w:p w14:paraId="1CE35C53" w14:textId="77777777" w:rsidR="00D6092B" w:rsidRDefault="00D6092B" w:rsidP="00D6092B">
      <w:pPr>
        <w:rPr>
          <w:rFonts w:hint="eastAsia"/>
        </w:rPr>
      </w:pPr>
      <w:r>
        <w:rPr>
          <w:rFonts w:hint="eastAsia"/>
        </w:rPr>
        <w:t>第三，"预训练+对齐"范式可能误解了智能的形成机制。 预训练本质是对人类知识分布的记忆压缩与插值，而非因果发现与假设生成。RLHF对齐在提升安全性的同时，系统性地抑制了模型的探索性与创造性，可能难以产生真正的科学洞见。此外，当前路</w:t>
      </w:r>
      <w:r>
        <w:rPr>
          <w:rFonts w:hint="eastAsia"/>
        </w:rPr>
        <w:lastRenderedPageBreak/>
        <w:t>线是"语言中心主义"的，缺乏对世界物理因果的直接建模，可能本末倒置。</w:t>
      </w:r>
    </w:p>
    <w:p w14:paraId="5959AA4D" w14:textId="77777777" w:rsidR="00D6092B" w:rsidRDefault="00D6092B" w:rsidP="00D6092B">
      <w:pPr>
        <w:rPr>
          <w:rFonts w:hint="eastAsia"/>
        </w:rPr>
      </w:pPr>
      <w:r>
        <w:rPr>
          <w:rFonts w:hint="eastAsia"/>
        </w:rPr>
        <w:t>第四，算法效率革命可能瞬间瓦解算力壁垒。 DeepSeek以极低成本达到第一梯队性能，表明当前性能差距很大程度上源于工程优化不足而非算力投入不足。若算法效率存在十倍甚至百倍的提升空间，基于"算力军备竞赛"的产业格局将面临需求崩塌风险，巨额资本开支的叙事逻辑也将被撕裂。</w:t>
      </w:r>
    </w:p>
    <w:p w14:paraId="5FE7371E" w14:textId="77777777" w:rsidR="00D6092B" w:rsidRDefault="00D6092B" w:rsidP="00D6092B">
      <w:pPr>
        <w:rPr>
          <w:rFonts w:hint="eastAsia"/>
        </w:rPr>
      </w:pPr>
      <w:r>
        <w:rPr>
          <w:rFonts w:hint="eastAsia"/>
        </w:rPr>
        <w:t>第五，视野边缘的替代路线不容忽视。 具身智能强调感知-行动闭环，神经符号AI追求因果推理，而人脑以20瓦功耗实现持续学习与小样本泛化，能效比上的巨大差距暗示架构层面可能存在根本弯路。</w:t>
      </w:r>
    </w:p>
    <w:p w14:paraId="739ADC3A" w14:textId="443A705C" w:rsidR="00D6092B" w:rsidRPr="00D6092B" w:rsidRDefault="00D6092B" w:rsidP="00D6092B">
      <w:pPr>
        <w:rPr>
          <w:rFonts w:hint="eastAsia"/>
        </w:rPr>
      </w:pPr>
      <w:r>
        <w:rPr>
          <w:rFonts w:hint="eastAsia"/>
        </w:rPr>
        <w:t>对投资而言，当前路线短期内仍具产业惯性，但若未来2-4年出现Scaling Law显著边际失效、替代架构代际超越或算法效率持续跃升等信号，行业将面临范式级别的重估。大模型投资的核心风险不是技术失败，而是"当前路线能走多远"的技术路线二元风险。</w:t>
      </w:r>
    </w:p>
    <w:p w14:paraId="3AB9F6A4" w14:textId="54280740" w:rsidR="002B152A" w:rsidRDefault="002B152A" w:rsidP="002B152A">
      <w:pPr>
        <w:pStyle w:val="1"/>
      </w:pPr>
      <w:r>
        <w:rPr>
          <w:rFonts w:hint="eastAsia"/>
        </w:rPr>
        <w:t>六.附录</w:t>
      </w:r>
    </w:p>
    <w:p w14:paraId="05D58BDE" w14:textId="77777777" w:rsidR="002B152A" w:rsidRDefault="002B152A" w:rsidP="002B152A">
      <w:pPr>
        <w:pStyle w:val="2"/>
      </w:pPr>
      <w:r>
        <w:rPr>
          <w:rFonts w:hint="eastAsia"/>
        </w:rPr>
        <w:t>技术历史与突破过程 √</w:t>
      </w:r>
    </w:p>
    <w:p w14:paraId="6C6365F7" w14:textId="77777777" w:rsidR="002B152A" w:rsidRDefault="002B152A" w:rsidP="002B152A">
      <w:pPr>
        <w:rPr>
          <w:rFonts w:hint="eastAsia"/>
        </w:rPr>
      </w:pPr>
      <w:r>
        <w:rPr>
          <w:rFonts w:hint="eastAsia"/>
        </w:rPr>
        <w:t>Transformer 架构的发展历程，本质上是一部围绕"如何突破序列计算的结构性约束，使模型具备全局信息感知能力，并在此基础上持续扩展能力边界"的技术演进史。以下按时间脉络梳理其关键节点与范式转移。</w:t>
      </w:r>
    </w:p>
    <w:p w14:paraId="3C4B95EA" w14:textId="77777777" w:rsidR="002B152A" w:rsidRDefault="002B152A" w:rsidP="002B152A">
      <w:pPr>
        <w:pStyle w:val="4"/>
        <w:rPr>
          <w:rFonts w:hint="eastAsia"/>
        </w:rPr>
      </w:pPr>
      <w:r>
        <w:rPr>
          <w:rFonts w:hint="eastAsia"/>
        </w:rPr>
        <w:t>一、RNN 时代：循环结构的统治与内在瓶颈</w:t>
      </w:r>
    </w:p>
    <w:p w14:paraId="3AC2FC1D" w14:textId="77777777" w:rsidR="002B152A" w:rsidRDefault="002B152A" w:rsidP="002B152A">
      <w:pPr>
        <w:rPr>
          <w:rFonts w:hint="eastAsia"/>
        </w:rPr>
      </w:pPr>
      <w:r>
        <w:rPr>
          <w:rFonts w:hint="eastAsia"/>
        </w:rPr>
        <w:t>在深度学习介入自然语言处理的早期阶段，循环神经网络（RNN）及其改进变体长短期记忆网络（LSTM）与门控循环单元（GRU）构成了主流技术范式。其核心机制在于按时间步逐个处理输入 token，通过隐藏状态向量传递历史信息。</w:t>
      </w:r>
    </w:p>
    <w:p w14:paraId="654EB0A9" w14:textId="77777777" w:rsidR="002B152A" w:rsidRDefault="002B152A" w:rsidP="002B152A">
      <w:pPr>
        <w:rPr>
          <w:rFonts w:hint="eastAsia"/>
        </w:rPr>
      </w:pPr>
      <w:r>
        <w:rPr>
          <w:rFonts w:hint="eastAsia"/>
        </w:rPr>
        <w:t>然而，该架构存在三个根本性约束。其一，长序列训练时梯度消失与梯度爆炸问题显著，模型难以有效捕捉超过五十个时间步的远距离依赖关系。其二，计算过程严格串行，当前时刻的处理必须等待前一时刻完成，导致 GPU 并行加速能力无法充分利用。其三，所有历史信息被压缩至固定维度的隐藏向量中，远期信息的保真度随距离增加而指数级衰减。</w:t>
      </w:r>
    </w:p>
    <w:p w14:paraId="16DC3237" w14:textId="77777777" w:rsidR="002B152A" w:rsidRDefault="002B152A" w:rsidP="002B152A">
      <w:pPr>
        <w:rPr>
          <w:rFonts w:hint="eastAsia"/>
        </w:rPr>
      </w:pPr>
      <w:r>
        <w:rPr>
          <w:rFonts w:hint="eastAsia"/>
        </w:rPr>
        <w:t>这一时期，Seq2Seq 模型结合注意力机制的方案已初步显示出突破潜力——让解码器直接访问编码器的全部输出，而非依赖单一上下文向量。这一思路为后续架构变革提供了关键铺垫。</w:t>
      </w:r>
    </w:p>
    <w:p w14:paraId="187F3443" w14:textId="77777777" w:rsidR="002B152A" w:rsidRDefault="002B152A" w:rsidP="002B152A">
      <w:pPr>
        <w:pStyle w:val="4"/>
        <w:rPr>
          <w:rFonts w:hint="eastAsia"/>
        </w:rPr>
      </w:pPr>
      <w:r>
        <w:rPr>
          <w:rFonts w:hint="eastAsia"/>
        </w:rPr>
        <w:lastRenderedPageBreak/>
        <w:t>二、2017 年：Transformer 的诞生与注意力机制的确立</w:t>
      </w:r>
    </w:p>
    <w:p w14:paraId="63049E5E" w14:textId="77777777" w:rsidR="002B152A" w:rsidRDefault="002B152A" w:rsidP="002B152A">
      <w:pPr>
        <w:rPr>
          <w:rFonts w:hint="eastAsia"/>
        </w:rPr>
      </w:pPr>
      <w:r>
        <w:rPr>
          <w:rFonts w:hint="eastAsia"/>
        </w:rPr>
        <w:t>2017 年 6 月，Google 发表重要论文论文</w:t>
      </w:r>
      <w:r w:rsidRPr="005B66B5">
        <w:rPr>
          <w:rFonts w:hint="eastAsia"/>
          <w:b/>
          <w:bCs/>
        </w:rPr>
        <w:t>Attention Is All You Need</w:t>
      </w:r>
      <w:r>
        <w:rPr>
          <w:rFonts w:hint="eastAsia"/>
        </w:rPr>
        <w:t>，正式提出 Transformer 架构，彻底摒弃了循环结构。</w:t>
      </w:r>
    </w:p>
    <w:p w14:paraId="433C668C" w14:textId="77777777" w:rsidR="002B152A" w:rsidRDefault="002B152A" w:rsidP="002B152A">
      <w:pPr>
        <w:rPr>
          <w:rFonts w:hint="eastAsia"/>
        </w:rPr>
      </w:pPr>
      <w:r>
        <w:rPr>
          <w:rFonts w:hint="eastAsia"/>
        </w:rPr>
        <w:t>该架构的核心创新在于自注意力机制（Self-Attention）。在这一机制下，序列中的每个 token 均可直接与所有其他 token 建立关联，关联强度通过缩放点积注意力计算得出。这意味着无论两个 token 在序列中相距多远，其信息交互都只需一步矩阵运算即可完成，从根本上解除了距离对信息传递的制约。</w:t>
      </w:r>
    </w:p>
    <w:p w14:paraId="7F36DFFF" w14:textId="77777777" w:rsidR="002B152A" w:rsidRDefault="002B152A" w:rsidP="002B152A">
      <w:pPr>
        <w:rPr>
          <w:rFonts w:hint="eastAsia"/>
        </w:rPr>
      </w:pPr>
      <w:r>
        <w:rPr>
          <w:rFonts w:hint="eastAsia"/>
        </w:rPr>
        <w:t>为支撑这一机制，Transformer 引入了多头注意力（Multi-Head Attention），通过多组并行的注意力头捕捉不同子空间中的关系模式，如语法结构、语义关联与指代消解。同时，由于注意力本身不具备位置感知能力，架构通过位置编码（Position Encoding）注入序列顺序信息。此外，前馈神经网络层、层归一化（Layer Normalization）与残差连接（Residual Connection）共同构成了稳定的非线性变换骨架。</w:t>
      </w:r>
    </w:p>
    <w:p w14:paraId="773C435A" w14:textId="77777777" w:rsidR="002B152A" w:rsidRPr="005B66B5" w:rsidRDefault="002B152A" w:rsidP="002B152A">
      <w:pPr>
        <w:pStyle w:val="4"/>
        <w:rPr>
          <w:rFonts w:hint="eastAsia"/>
        </w:rPr>
      </w:pPr>
      <w:r>
        <w:rPr>
          <w:rFonts w:hint="eastAsia"/>
        </w:rPr>
        <w:t>三、架构分化：三条预训练范式的形成（2018–2019）</w:t>
      </w:r>
    </w:p>
    <w:p w14:paraId="5DF0CE80" w14:textId="77777777" w:rsidR="002B152A" w:rsidRDefault="002B152A" w:rsidP="002B152A">
      <w:pPr>
        <w:rPr>
          <w:rFonts w:hint="eastAsia"/>
        </w:rPr>
      </w:pPr>
      <w:r>
        <w:rPr>
          <w:rFonts w:hint="eastAsia"/>
        </w:rPr>
        <w:t>Transformer问世后，其编码器-解码器结构被迅速拆解，演化出三种差异化的预训练路线。</w:t>
      </w:r>
    </w:p>
    <w:p w14:paraId="7A2EF99C" w14:textId="77777777" w:rsidR="002B152A" w:rsidRDefault="002B152A" w:rsidP="002B152A">
      <w:pPr>
        <w:rPr>
          <w:rFonts w:hint="eastAsia"/>
        </w:rPr>
      </w:pPr>
      <w:r>
        <w:rPr>
          <w:rFonts w:hint="eastAsia"/>
        </w:rPr>
        <w:t>第一条路线为编码器-only 架构，以 BERT（2018）为代表。该路线采用掩码语言模型（Masked Language Modeling）作为预训练目标，随机遮蔽输入序列中的部分 token，要求模型基于双向上下文进行预测。这一机制使模型在文本理解、分类与信息抽取任务上表现突出，但自回归生成能力相对受限。</w:t>
      </w:r>
    </w:p>
    <w:p w14:paraId="772AD233" w14:textId="77777777" w:rsidR="002B152A" w:rsidRDefault="002B152A" w:rsidP="002B152A">
      <w:pPr>
        <w:rPr>
          <w:rFonts w:hint="eastAsia"/>
        </w:rPr>
      </w:pPr>
      <w:r>
        <w:rPr>
          <w:rFonts w:hint="eastAsia"/>
        </w:rPr>
        <w:t>第二条路线为解码器-only 架构，以 GPT 系列为代表。该路线采用因果掩码（Causal Masking），强制模型从左至右逐词预测。这种自回归机制使生成流畅度显著提升，且后续被证明是 Scaling Law 表现最为显著的架构形态。此后的大模型浪潮，包括 GPT-4、Claude、Llama 及 DeepSeek 系列，均沿用了这一路线。</w:t>
      </w:r>
    </w:p>
    <w:p w14:paraId="40CEEA89" w14:textId="77777777" w:rsidR="002B152A" w:rsidRDefault="002B152A" w:rsidP="002B152A">
      <w:pPr>
        <w:rPr>
          <w:rFonts w:hint="eastAsia"/>
        </w:rPr>
      </w:pPr>
      <w:r>
        <w:rPr>
          <w:rFonts w:hint="eastAsia"/>
        </w:rPr>
        <w:t>第三条路线为编码器-解码器统一架构，以 T5（2019）和 BART 为代表。该架构保留了完整的编码器与解码器结构，适用于机器翻译、文本摘要等序列到序列任务。尽管在通用大模型的竞争中，该路线逐渐被解码器-only 的"大一统"趋势边缘化，但在特定任务领域仍保持技术优势。</w:t>
      </w:r>
    </w:p>
    <w:p w14:paraId="5D0854EC" w14:textId="77777777" w:rsidR="002B152A" w:rsidRDefault="002B152A" w:rsidP="002B152A">
      <w:pPr>
        <w:pStyle w:val="4"/>
        <w:rPr>
          <w:rFonts w:hint="eastAsia"/>
        </w:rPr>
      </w:pPr>
      <w:r>
        <w:rPr>
          <w:rFonts w:hint="eastAsia"/>
        </w:rPr>
        <w:t>四、规模革命：Scaling Law 与涌现能力（2020–2022）</w:t>
      </w:r>
    </w:p>
    <w:p w14:paraId="23AEC2B2" w14:textId="77777777" w:rsidR="002B152A" w:rsidRPr="00305D10" w:rsidRDefault="002B152A" w:rsidP="002B152A">
      <w:pPr>
        <w:rPr>
          <w:rFonts w:hint="eastAsia"/>
        </w:rPr>
      </w:pPr>
      <w:r>
        <w:rPr>
          <w:rFonts w:hint="eastAsia"/>
        </w:rPr>
        <w:t>OpenAI 发布的 GPT-3（1750 亿参数）验证了 Scaling Law 的有效性：当模型参数量、训练数据量与算力投入同步指数级增长时，模型能力会出现非线性的"涌现"现象，即在某一规模阈值后突然具备小模型无法实现的复杂能力。</w:t>
      </w:r>
    </w:p>
    <w:p w14:paraId="026FDBCB" w14:textId="77777777" w:rsidR="002B152A" w:rsidRDefault="002B152A" w:rsidP="002B152A">
      <w:pPr>
        <w:rPr>
          <w:rFonts w:hint="eastAsia"/>
        </w:rPr>
      </w:pPr>
      <w:r>
        <w:rPr>
          <w:rFonts w:hint="eastAsia"/>
        </w:rPr>
        <w:t xml:space="preserve">这一阶段的技术基础设施也趋于成熟。NVIDIA A100 等专用加速器、Megatron-LM 与 </w:t>
      </w:r>
      <w:r>
        <w:rPr>
          <w:rFonts w:hint="eastAsia"/>
        </w:rPr>
        <w:lastRenderedPageBreak/>
        <w:t>DeepSpeed 等分布式训练框架，以及模型并行与流水线并行技术，使万亿参数级别的训练成为可能。上下文窗口从早期的 2K 逐步扩展，少样本学习（Few-shot Learning）能力使模型无需微调即可通过提示词完成新任务。至此，大模型的性质发生根本转变：它不再仅是算法创新，而是算力、数据与系统工程的综合产物。</w:t>
      </w:r>
    </w:p>
    <w:p w14:paraId="184FA5E8" w14:textId="77777777" w:rsidR="002B152A" w:rsidRDefault="002B152A" w:rsidP="002B152A">
      <w:pPr>
        <w:pStyle w:val="4"/>
        <w:rPr>
          <w:rFonts w:hint="eastAsia"/>
        </w:rPr>
      </w:pPr>
      <w:r>
        <w:rPr>
          <w:rFonts w:hint="eastAsia"/>
        </w:rPr>
        <w:t>五、对齐时代：从文本续写到意图遵循（2022–2023）</w:t>
      </w:r>
    </w:p>
    <w:p w14:paraId="429C80BD" w14:textId="77777777" w:rsidR="002B152A" w:rsidRDefault="002B152A" w:rsidP="002B152A">
      <w:pPr>
        <w:rPr>
          <w:rFonts w:hint="eastAsia"/>
        </w:rPr>
      </w:pPr>
      <w:r>
        <w:rPr>
          <w:rFonts w:hint="eastAsia"/>
        </w:rPr>
        <w:t>纯自回归模型存在生成有害内容、偏见言论及无效输出的倾向。2022 至 2023 年间，研究重心转向对齐技术（Alignment），旨在使模型输出符合人类意图与价值偏好。</w:t>
      </w:r>
    </w:p>
    <w:p w14:paraId="090399C5" w14:textId="77777777" w:rsidR="002B152A" w:rsidRDefault="002B152A" w:rsidP="002B152A">
      <w:pPr>
        <w:rPr>
          <w:rFonts w:hint="eastAsia"/>
        </w:rPr>
      </w:pPr>
      <w:r>
        <w:rPr>
          <w:rFonts w:hint="eastAsia"/>
        </w:rPr>
        <w:t>监督微调（SFT）通过高质量指令数据集训练模型遵循特定格式与任务要求。在此基础上，基于人类反馈的强化学习（RLHF）引入奖励模型（Reward Model），利用 PPO 算法优化生成结果的人类偏好排序。Anthropic 提出的 Constitutional AI 及 RLAIF 则尝试以预设规则替代昂贵的人工标注，降低对齐成本。</w:t>
      </w:r>
    </w:p>
    <w:p w14:paraId="6A2EDC80" w14:textId="77777777" w:rsidR="002B152A" w:rsidRDefault="002B152A" w:rsidP="002B152A">
      <w:pPr>
        <w:rPr>
          <w:rFonts w:hint="eastAsia"/>
        </w:rPr>
      </w:pPr>
      <w:r>
        <w:rPr>
          <w:rFonts w:hint="eastAsia"/>
        </w:rPr>
        <w:t>2022 年 11 月 ChatGPT 的发布标志着 Transformer 从技术演示转向产品化应用，对话式交互成为主流形态。</w:t>
      </w:r>
    </w:p>
    <w:p w14:paraId="22CE14B6" w14:textId="77777777" w:rsidR="002B152A" w:rsidRPr="00D0013B" w:rsidRDefault="002B152A" w:rsidP="002B152A">
      <w:pPr>
        <w:pStyle w:val="4"/>
        <w:rPr>
          <w:rFonts w:hint="eastAsia"/>
        </w:rPr>
      </w:pPr>
      <w:r>
        <w:rPr>
          <w:rFonts w:hint="eastAsia"/>
        </w:rPr>
        <w:t>六、效率与长上下文：突破二次复杂度约束（2023–2024）</w:t>
      </w:r>
    </w:p>
    <w:p w14:paraId="56FD4768" w14:textId="77777777" w:rsidR="002B152A" w:rsidRDefault="002B152A" w:rsidP="002B152A">
      <w:pPr>
        <w:rPr>
          <w:rFonts w:hint="eastAsia"/>
        </w:rPr>
      </w:pPr>
      <w:r>
        <w:rPr>
          <w:rFonts w:hint="eastAsia"/>
        </w:rPr>
        <w:t>标准自注意力的计算复杂度为序列长度的平方级 O(n^2)，即上下文窗口翻倍将导致算力消耗增至四倍。这一特性构成 Transformer 最核心的工程瓶颈，催生了多条优化路线。</w:t>
      </w:r>
    </w:p>
    <w:p w14:paraId="4DA950F3" w14:textId="77777777" w:rsidR="002B152A" w:rsidRDefault="002B152A" w:rsidP="002B152A">
      <w:pPr>
        <w:rPr>
          <w:rFonts w:hint="eastAsia"/>
        </w:rPr>
      </w:pPr>
      <w:r>
        <w:rPr>
          <w:rFonts w:hint="eastAsia"/>
        </w:rPr>
        <w:t>稀疏注意力（Sparse Attention）通过限制每个 token 的交互范围，将复杂度降至线性或次线性级别，代表性工作包括 Sparse Transformer、Longformer 与 BigBird，其代价是牺牲部分全局连接能力。Flash Attention 系列则从内存访问模式入手，通过 IO-Aware 优化显存读写效率，在不改变理论复杂度的前提下大幅提升实际训练与推理速度。</w:t>
      </w:r>
    </w:p>
    <w:p w14:paraId="739350E4" w14:textId="77777777" w:rsidR="002B152A" w:rsidRDefault="002B152A" w:rsidP="002B152A">
      <w:pPr>
        <w:rPr>
          <w:rFonts w:hint="eastAsia"/>
        </w:rPr>
      </w:pPr>
      <w:r>
        <w:rPr>
          <w:rFonts w:hint="eastAsia"/>
        </w:rPr>
        <w:t>位置编码层面，RoPE、ALiBi 与 xPos 等方案改善了模型对长距离相对位置的感知与外推能力。位置插值（Position Interpolation）、NTK-aware 扩展与 YaRN 等技术使预训练阶段的 4K 或 8K 模型能够被扩展至 128K、1M 乃至 10M  token 的上下文窗口。</w:t>
      </w:r>
    </w:p>
    <w:p w14:paraId="75933A21" w14:textId="77777777" w:rsidR="002B152A" w:rsidRDefault="002B152A" w:rsidP="002B152A">
      <w:pPr>
        <w:rPr>
          <w:rFonts w:hint="eastAsia"/>
        </w:rPr>
      </w:pPr>
      <w:r>
        <w:rPr>
          <w:rFonts w:hint="eastAsia"/>
        </w:rPr>
        <w:t>2024 年成为长上下文应用的里程碑年份：Gemini 1.5 Pro 实现 1M token 上下文，Claude 3 达到 200K，开源社区如 Llama 3 与 Qwen2.5 系列亦普遍推进至 128K 至 1M 级别。</w:t>
      </w:r>
    </w:p>
    <w:p w14:paraId="2C29F535" w14:textId="77777777" w:rsidR="002B152A" w:rsidRPr="00D0013B" w:rsidRDefault="002B152A" w:rsidP="002B152A">
      <w:pPr>
        <w:pStyle w:val="4"/>
        <w:rPr>
          <w:rFonts w:hint="eastAsia"/>
        </w:rPr>
      </w:pPr>
      <w:r>
        <w:rPr>
          <w:rFonts w:hint="eastAsia"/>
        </w:rPr>
        <w:t>七、多模态统一：从文本模型到世界模型（2023–2025）</w:t>
      </w:r>
    </w:p>
    <w:p w14:paraId="60B0B769" w14:textId="77777777" w:rsidR="002B152A" w:rsidRDefault="002B152A" w:rsidP="002B152A">
      <w:pPr>
        <w:rPr>
          <w:rFonts w:hint="eastAsia"/>
        </w:rPr>
      </w:pPr>
      <w:r>
        <w:rPr>
          <w:rFonts w:hint="eastAsia"/>
        </w:rPr>
        <w:t>Transformer 的通用性使其迅速超越自然语言处理领域，成为多模态大一统建模的骨架架构。</w:t>
      </w:r>
    </w:p>
    <w:p w14:paraId="76792A15" w14:textId="77777777" w:rsidR="002B152A" w:rsidRDefault="002B152A" w:rsidP="002B152A">
      <w:pPr>
        <w:rPr>
          <w:rFonts w:hint="eastAsia"/>
        </w:rPr>
      </w:pPr>
    </w:p>
    <w:p w14:paraId="215059E6" w14:textId="77777777" w:rsidR="002B152A" w:rsidRDefault="002B152A" w:rsidP="002B152A">
      <w:pPr>
        <w:rPr>
          <w:rFonts w:hint="eastAsia"/>
        </w:rPr>
      </w:pPr>
      <w:r>
        <w:rPr>
          <w:rFonts w:hint="eastAsia"/>
        </w:rPr>
        <w:t>在视觉领域，Vision Transformer（ViT）将图像切分为固定大小的 Patch 并作为 token 序列输入，证明了 Transformer 在图像识别任务上的有效性。CLIP 与 ALIGN 通过双塔对比学习架构实现了图像与文本表征的统一对齐。在生成领域，扩散模型（Diffusion Model）的噪声预测网络逐渐从 U-Net 转向 Transformer 骨架，DiT（Diffusion Transformer）的出现尤为关键，它验证了 Transformer 在生成任务中的普适性。Sora 在此基础上进一步引入时空联合注意力机制，将视频帧作为时空 token 处理，实现了对物理世界动态的初步模拟。</w:t>
      </w:r>
    </w:p>
    <w:p w14:paraId="2295802F" w14:textId="77777777" w:rsidR="002B152A" w:rsidRDefault="002B152A" w:rsidP="002B152A">
      <w:pPr>
        <w:pStyle w:val="4"/>
        <w:rPr>
          <w:rFonts w:hint="eastAsia"/>
        </w:rPr>
      </w:pPr>
      <w:r>
        <w:rPr>
          <w:rFonts w:hint="eastAsia"/>
        </w:rPr>
        <w:t>八、后 Transformer 探索：状态空间模型与混合架构（2023–2025）</w:t>
      </w:r>
    </w:p>
    <w:p w14:paraId="5C634451" w14:textId="77777777" w:rsidR="002B152A" w:rsidRDefault="002B152A" w:rsidP="002B152A">
      <w:pPr>
        <w:rPr>
          <w:rFonts w:hint="eastAsia"/>
        </w:rPr>
      </w:pPr>
      <w:r>
        <w:rPr>
          <w:rFonts w:hint="eastAsia"/>
        </w:rPr>
        <w:t>尽管 Transformer 保持主流地位，但其平方级复杂度催生了替代架构的持续探索。Mamba（2023）基于状态空间模型（State Space Model, SSM），通过选择性状态压缩机制编码历史信息，将序列建模复杂度降至线性级别，在长文档、DNA 序列与音频处理等特定场景下效率显著优于标准 Transformer。后续 Mamba-2 与 Jamba 引入结构化矩阵与混合注意力层，试图在计算效率与表达能力之间取得平衡。RWKV 与 RetNet 则通过线性注意力或衰减机制保留部分全局感知能力，同时回归循环结构的常数级内存占用特征。</w:t>
      </w:r>
    </w:p>
    <w:p w14:paraId="6740CEEF" w14:textId="77777777" w:rsidR="002B152A" w:rsidRDefault="002B152A" w:rsidP="002B152A">
      <w:pPr>
        <w:rPr>
          <w:rFonts w:hint="eastAsia"/>
        </w:rPr>
      </w:pPr>
      <w:r>
        <w:rPr>
          <w:rFonts w:hint="eastAsia"/>
        </w:rPr>
        <w:t>当前行业共识倾向于混合架构路线：在局部上下文采用 SSM 或线性注意力降低开销，在全局聚合阶段保留标准注意力机制，而非完全替代 Transformer。这一选择主要受限于硬件生态（CUDA Kernel 优化）、训练框架成熟度及 Scaling 经验的积累。</w:t>
      </w:r>
    </w:p>
    <w:p w14:paraId="3C4F9C2A" w14:textId="77777777" w:rsidR="002B152A" w:rsidRDefault="002B152A" w:rsidP="002B152A">
      <w:pPr>
        <w:pStyle w:val="4"/>
        <w:rPr>
          <w:rFonts w:hint="eastAsia"/>
        </w:rPr>
      </w:pPr>
      <w:r>
        <w:rPr>
          <w:rFonts w:hint="eastAsia"/>
        </w:rPr>
        <w:t>九、推理范式转移：从训练时规模到测试时计算（2024–2026）</w:t>
      </w:r>
    </w:p>
    <w:p w14:paraId="5526BBF7" w14:textId="77777777" w:rsidR="002B152A" w:rsidRDefault="002B152A" w:rsidP="002B152A">
      <w:pPr>
        <w:rPr>
          <w:rFonts w:hint="eastAsia"/>
        </w:rPr>
      </w:pPr>
      <w:r>
        <w:rPr>
          <w:rFonts w:hint="eastAsia"/>
        </w:rPr>
        <w:t>2024 年后，Transformer 的发展重心从"训练更大模型"转向"在推理阶段赋予模型更多计算资源"。</w:t>
      </w:r>
    </w:p>
    <w:p w14:paraId="4A05E239" w14:textId="77777777" w:rsidR="002B152A" w:rsidRDefault="002B152A" w:rsidP="002B152A">
      <w:pPr>
        <w:rPr>
          <w:rFonts w:hint="eastAsia"/>
        </w:rPr>
      </w:pPr>
      <w:r>
        <w:rPr>
          <w:rFonts w:hint="eastAsia"/>
        </w:rPr>
        <w:t>思维链（Chain-of-Thought, CoT）提示技术通过强制模型输出中间推理步骤，显著提升了复杂任务的求解准确率。在此基础上，OpenAI o1/o3 系列与 DeepSeek-R1（2025 年 1 月）代表了推理模型的成熟形态。这类模型通过强化学习训练生成更长的内部思考链，自发涌现出反思、验证与回溯等行为模式。</w:t>
      </w:r>
    </w:p>
    <w:p w14:paraId="5EC48956" w14:textId="77777777" w:rsidR="002B152A" w:rsidRDefault="002B152A" w:rsidP="002B152A">
      <w:pPr>
        <w:rPr>
          <w:rFonts w:hint="eastAsia"/>
        </w:rPr>
      </w:pPr>
      <w:r>
        <w:rPr>
          <w:rFonts w:hint="eastAsia"/>
        </w:rPr>
        <w:t>DeepSeek-R1 尤为值得关注：其采用 GRPO（Group Relative Policy Optimization）简化版强化学习算法，以极低的训练成本达到与 o1 相当的推理性能，直接引发了全球推理算力需求的井喷式增长。与此同时，测试时计算扩展（Test-time Compute Scaling）通过增加推理阶段的采样步数、验证轮次或蒙特卡洛树搜索（MCTS），以时间换准确率，成为提升模型能力的新维度。</w:t>
      </w:r>
    </w:p>
    <w:p w14:paraId="34D57FE9" w14:textId="77777777" w:rsidR="002B152A" w:rsidRDefault="002B152A" w:rsidP="002B152A">
      <w:pPr>
        <w:pStyle w:val="4"/>
        <w:rPr>
          <w:rFonts w:hint="eastAsia"/>
        </w:rPr>
      </w:pPr>
      <w:r>
        <w:rPr>
          <w:rFonts w:hint="eastAsia"/>
        </w:rPr>
        <w:lastRenderedPageBreak/>
        <w:t>十、当前前沿：Agent 架构、混合专家与端侧部署（2025–2026）</w:t>
      </w:r>
    </w:p>
    <w:p w14:paraId="7D98D50C" w14:textId="77777777" w:rsidR="002B152A" w:rsidRDefault="002B152A" w:rsidP="002B152A">
      <w:pPr>
        <w:rPr>
          <w:rFonts w:hint="eastAsia"/>
        </w:rPr>
      </w:pPr>
      <w:r>
        <w:rPr>
          <w:rFonts w:hint="eastAsia"/>
        </w:rPr>
        <w:t>Transformer 的当代应用已远超对话机器人范畴，向三个方向深度延伸。</w:t>
      </w:r>
    </w:p>
    <w:p w14:paraId="6B323188" w14:textId="77777777" w:rsidR="002B152A" w:rsidRDefault="002B152A" w:rsidP="002B152A">
      <w:pPr>
        <w:rPr>
          <w:rFonts w:hint="eastAsia"/>
        </w:rPr>
      </w:pPr>
      <w:r>
        <w:rPr>
          <w:rFonts w:hint="eastAsia"/>
        </w:rPr>
        <w:t>第一，Agent 架构。当前的前沿系统由基础模型、工具调用接口（如 MCP 协议）、外部记忆模块与规划循环共同构成，使模型能够执行多步骤自主任务，如 OpenClaw 与 Manus 等系统所展示的能力。</w:t>
      </w:r>
    </w:p>
    <w:p w14:paraId="7FA31820" w14:textId="77777777" w:rsidR="002B152A" w:rsidRDefault="002B152A" w:rsidP="002B152A">
      <w:pPr>
        <w:rPr>
          <w:rFonts w:hint="eastAsia"/>
        </w:rPr>
      </w:pPr>
      <w:r>
        <w:rPr>
          <w:rFonts w:hint="eastAsia"/>
        </w:rPr>
        <w:t>第二，混合专家模型（Mixture of Experts, MoE）。通过稀疏激活机制，模型在每次前向传播中仅调用部分参数子集，以三分之一的算力消耗达到同等性能水平。DeepSeek-V3、Mixtral 与 Qwen3 等主流模型已广泛采用该架构。</w:t>
      </w:r>
    </w:p>
    <w:p w14:paraId="2EE18F38" w14:textId="77777777" w:rsidR="002B152A" w:rsidRDefault="002B152A" w:rsidP="002B152A">
      <w:pPr>
        <w:rPr>
          <w:rFonts w:hint="eastAsia"/>
        </w:rPr>
      </w:pPr>
      <w:r>
        <w:rPr>
          <w:rFonts w:hint="eastAsia"/>
        </w:rPr>
        <w:t>第三，端侧与本地推理。通过模型量化、剪枝与蒸馏等压缩技术，结合 NPU 专用芯片，使数十亿至数百亿参数规模的模型能够在消费级设备上运行，手机端部署 7B 至 70B 参数模型已成为常态。</w:t>
      </w:r>
    </w:p>
    <w:p w14:paraId="1E401A1B" w14:textId="77777777" w:rsidR="002B152A" w:rsidRDefault="002B152A" w:rsidP="002B152A">
      <w:pPr>
        <w:rPr>
          <w:rFonts w:hint="eastAsia"/>
        </w:rPr>
      </w:pPr>
      <w:r>
        <w:rPr>
          <w:rFonts w:hint="eastAsia"/>
        </w:rPr>
        <w:t>在物理 AI 领域，Transformer 开始直接处理传感器 token 流并预测物理世界状态，应用于端到端自动驾驶（如 Tesla FSD V12）与机器人策略生成。配套基础设施层面，产业重心从训练集群转向推理集群，推动 1.6T 与 3.2T 光模块、CPO（共封装光学）与液冷散热等技术的迭代。</w:t>
      </w:r>
    </w:p>
    <w:p w14:paraId="1C365195" w14:textId="77777777" w:rsidR="002B152A" w:rsidRDefault="002B152A" w:rsidP="002B152A">
      <w:pPr>
        <w:rPr>
          <w:rFonts w:hint="eastAsia"/>
        </w:rPr>
      </w:pPr>
      <w:r>
        <w:rPr>
          <w:rFonts w:hint="eastAsia"/>
        </w:rPr>
        <w:t>Transformer 的发展可概括为三次范式跃迁。第一次为结构跃迁（2017），以注意力机制取代循环结构，解决了并行计算与长距离依赖问题。第二次为规模跃迁（2020–2023），通过算力、数据与参数规模的同步扩张催生涌现能力，并经对齐技术转化为可产品化的对话系统。第三次为范式跃迁（2024–2026），发展重心从训练时参数规模转向测试时计算扩展，模型形态从文本生成工具演进为具备推理、规划与工具调用能力的通用智能基础设施。</w:t>
      </w:r>
    </w:p>
    <w:p w14:paraId="6AE47773" w14:textId="77777777" w:rsidR="002B152A" w:rsidRPr="00C958CC" w:rsidRDefault="002B152A" w:rsidP="002B152A">
      <w:pPr>
        <w:rPr>
          <w:rFonts w:hint="eastAsia"/>
        </w:rPr>
      </w:pPr>
      <w:r>
        <w:rPr>
          <w:rFonts w:hint="eastAsia"/>
        </w:rPr>
        <w:t>当前 Transformer 已不仅是自然语言处理的算法创新，而是通用人工智能的默认技术底座。后续竞争的核心不在于是否采用 Transformer，而在于如何以更低能耗、更长记忆窗口与更强推理能力，使其可靠地连接并作用于物理世界。</w:t>
      </w:r>
    </w:p>
    <w:p w14:paraId="207BF132" w14:textId="77777777" w:rsidR="002B152A" w:rsidRPr="002B152A" w:rsidRDefault="002B152A" w:rsidP="002B152A">
      <w:pPr>
        <w:rPr>
          <w:rFonts w:hint="eastAsia"/>
        </w:rPr>
      </w:pPr>
    </w:p>
    <w:sectPr w:rsidR="002B152A" w:rsidRPr="002B152A">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张曦瑾" w:date="2026-04-28T16:33:00Z" w:initials="ZX">
    <w:p w14:paraId="748A7553" w14:textId="77777777" w:rsidR="001C0E59" w:rsidRDefault="001C0E59" w:rsidP="001C0E59">
      <w:pPr>
        <w:pStyle w:val="af8"/>
      </w:pPr>
      <w:r>
        <w:rPr>
          <w:rStyle w:val="af7"/>
          <w:rFonts w:hint="eastAsia"/>
        </w:rPr>
        <w:annotationRef/>
      </w:r>
      <w:r>
        <w:rPr>
          <w:rFonts w:hint="eastAsia"/>
        </w:rPr>
        <w:t>一会下去看一眼智谱数据到底是什么情况</w:t>
      </w:r>
    </w:p>
  </w:comment>
  <w:comment w:id="1" w:author="张曦瑾" w:date="2026-04-28T16:43:00Z" w:initials="ZX">
    <w:p w14:paraId="24DED4B4" w14:textId="77777777" w:rsidR="006E3EE6" w:rsidRDefault="006E3EE6" w:rsidP="006E3EE6">
      <w:pPr>
        <w:pStyle w:val="af8"/>
      </w:pPr>
      <w:r>
        <w:rPr>
          <w:rStyle w:val="af7"/>
          <w:rFonts w:hint="eastAsia"/>
        </w:rPr>
        <w:annotationRef/>
      </w:r>
      <w:r>
        <w:rPr>
          <w:rFonts w:hint="eastAsia"/>
        </w:rPr>
        <w:t>这里还可以加点国外案例</w:t>
      </w:r>
    </w:p>
  </w:comment>
  <w:comment w:id="2" w:author="张曦瑾" w:date="2026-04-28T17:02:00Z" w:initials="ZX">
    <w:p w14:paraId="4CBD6B8E" w14:textId="77777777" w:rsidR="006B17D5" w:rsidRDefault="006B17D5" w:rsidP="006B17D5">
      <w:pPr>
        <w:pStyle w:val="af8"/>
      </w:pPr>
      <w:r>
        <w:rPr>
          <w:rStyle w:val="af7"/>
          <w:rFonts w:hint="eastAsia"/>
        </w:rPr>
        <w:annotationRef/>
      </w:r>
      <w:r>
        <w:rPr>
          <w:rFonts w:hint="eastAsia"/>
        </w:rPr>
        <w:t>这里可以提一下下半年的超节点</w:t>
      </w:r>
    </w:p>
  </w:comment>
  <w:comment w:id="3" w:author="张曦瑾" w:date="2026-04-28T17:07:00Z" w:initials="ZX">
    <w:p w14:paraId="1CBE37AA" w14:textId="77777777" w:rsidR="00303327" w:rsidRDefault="00303327" w:rsidP="00303327">
      <w:pPr>
        <w:pStyle w:val="af8"/>
      </w:pPr>
      <w:r>
        <w:rPr>
          <w:rStyle w:val="af7"/>
          <w:rFonts w:hint="eastAsia"/>
        </w:rPr>
        <w:annotationRef/>
      </w:r>
      <w:r>
        <w:rPr>
          <w:rFonts w:hint="eastAsia"/>
        </w:rPr>
        <w:t>待验证</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8A7553" w15:done="0"/>
  <w15:commentEx w15:paraId="24DED4B4" w15:done="0"/>
  <w15:commentEx w15:paraId="4CBD6B8E" w15:done="0"/>
  <w15:commentEx w15:paraId="1CBE37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9EA294" w16cex:dateUtc="2026-04-28T08:33:00Z"/>
  <w16cex:commentExtensible w16cex:durableId="183365DD" w16cex:dateUtc="2026-04-28T08:43:00Z"/>
  <w16cex:commentExtensible w16cex:durableId="4190EADE" w16cex:dateUtc="2026-04-28T09:02:00Z"/>
  <w16cex:commentExtensible w16cex:durableId="77E019AE" w16cex:dateUtc="2026-04-28T0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8A7553" w16cid:durableId="249EA294"/>
  <w16cid:commentId w16cid:paraId="24DED4B4" w16cid:durableId="183365DD"/>
  <w16cid:commentId w16cid:paraId="4CBD6B8E" w16cid:durableId="4190EADE"/>
  <w16cid:commentId w16cid:paraId="1CBE37AA" w16cid:durableId="77E019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2949B" w14:textId="77777777" w:rsidR="008C2032" w:rsidRDefault="008C2032" w:rsidP="00ED5BD8">
      <w:pPr>
        <w:spacing w:after="0" w:line="240" w:lineRule="auto"/>
        <w:rPr>
          <w:rFonts w:hint="eastAsia"/>
        </w:rPr>
      </w:pPr>
      <w:r>
        <w:separator/>
      </w:r>
    </w:p>
  </w:endnote>
  <w:endnote w:type="continuationSeparator" w:id="0">
    <w:p w14:paraId="297DC37F" w14:textId="77777777" w:rsidR="008C2032" w:rsidRDefault="008C2032" w:rsidP="00ED5BD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0000000000000000000"/>
    <w:charset w:val="86"/>
    <w:family w:val="roman"/>
    <w:notTrueType/>
    <w:pitch w:val="default"/>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F93C0" w14:textId="77777777" w:rsidR="008C2032" w:rsidRDefault="008C2032" w:rsidP="00ED5BD8">
      <w:pPr>
        <w:spacing w:after="0" w:line="240" w:lineRule="auto"/>
        <w:rPr>
          <w:rFonts w:hint="eastAsia"/>
        </w:rPr>
      </w:pPr>
      <w:r>
        <w:separator/>
      </w:r>
    </w:p>
  </w:footnote>
  <w:footnote w:type="continuationSeparator" w:id="0">
    <w:p w14:paraId="0F66E1E1" w14:textId="77777777" w:rsidR="008C2032" w:rsidRDefault="008C2032" w:rsidP="00ED5BD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435F"/>
    <w:multiLevelType w:val="multilevel"/>
    <w:tmpl w:val="A200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9332D"/>
    <w:multiLevelType w:val="multilevel"/>
    <w:tmpl w:val="E578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64B47"/>
    <w:multiLevelType w:val="hybridMultilevel"/>
    <w:tmpl w:val="646AAAA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431F3355"/>
    <w:multiLevelType w:val="multilevel"/>
    <w:tmpl w:val="FE48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650EB8"/>
    <w:multiLevelType w:val="hybridMultilevel"/>
    <w:tmpl w:val="B3A8BAE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58F034AC"/>
    <w:multiLevelType w:val="multilevel"/>
    <w:tmpl w:val="F15A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916724">
    <w:abstractNumId w:val="1"/>
  </w:num>
  <w:num w:numId="2" w16cid:durableId="1276331340">
    <w:abstractNumId w:val="5"/>
  </w:num>
  <w:num w:numId="3" w16cid:durableId="1749885008">
    <w:abstractNumId w:val="3"/>
  </w:num>
  <w:num w:numId="4" w16cid:durableId="1451164397">
    <w:abstractNumId w:val="0"/>
  </w:num>
  <w:num w:numId="5" w16cid:durableId="805704556">
    <w:abstractNumId w:val="4"/>
  </w:num>
  <w:num w:numId="6" w16cid:durableId="124375432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张曦瑾">
    <w15:presenceInfo w15:providerId="None" w15:userId="张曦瑾"/>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C7F"/>
    <w:rsid w:val="00024FDB"/>
    <w:rsid w:val="000271F1"/>
    <w:rsid w:val="0003199B"/>
    <w:rsid w:val="00043F4A"/>
    <w:rsid w:val="00051E29"/>
    <w:rsid w:val="00056BAE"/>
    <w:rsid w:val="000604DE"/>
    <w:rsid w:val="00095A8E"/>
    <w:rsid w:val="000A5EFB"/>
    <w:rsid w:val="000B1790"/>
    <w:rsid w:val="000C7B8B"/>
    <w:rsid w:val="000E1CBC"/>
    <w:rsid w:val="000E3FAC"/>
    <w:rsid w:val="000F03F7"/>
    <w:rsid w:val="00123A11"/>
    <w:rsid w:val="00123EB4"/>
    <w:rsid w:val="00125EBC"/>
    <w:rsid w:val="001506AE"/>
    <w:rsid w:val="0015187D"/>
    <w:rsid w:val="001530C3"/>
    <w:rsid w:val="001577D2"/>
    <w:rsid w:val="001630F9"/>
    <w:rsid w:val="001650E9"/>
    <w:rsid w:val="001668B0"/>
    <w:rsid w:val="00186848"/>
    <w:rsid w:val="00191FB0"/>
    <w:rsid w:val="001C0E59"/>
    <w:rsid w:val="001E5969"/>
    <w:rsid w:val="001F2331"/>
    <w:rsid w:val="001F5B5D"/>
    <w:rsid w:val="00200C80"/>
    <w:rsid w:val="00201B38"/>
    <w:rsid w:val="00202714"/>
    <w:rsid w:val="0020273E"/>
    <w:rsid w:val="00226F19"/>
    <w:rsid w:val="00230CC8"/>
    <w:rsid w:val="002576D6"/>
    <w:rsid w:val="00283F56"/>
    <w:rsid w:val="00284EEB"/>
    <w:rsid w:val="00285142"/>
    <w:rsid w:val="00285D82"/>
    <w:rsid w:val="00295861"/>
    <w:rsid w:val="002A6C7F"/>
    <w:rsid w:val="002A7ABA"/>
    <w:rsid w:val="002B152A"/>
    <w:rsid w:val="002B7155"/>
    <w:rsid w:val="002D2712"/>
    <w:rsid w:val="002D42B4"/>
    <w:rsid w:val="002E2ADA"/>
    <w:rsid w:val="00302DA0"/>
    <w:rsid w:val="00303327"/>
    <w:rsid w:val="00305D10"/>
    <w:rsid w:val="0032078D"/>
    <w:rsid w:val="00321AA2"/>
    <w:rsid w:val="0032523A"/>
    <w:rsid w:val="0033367F"/>
    <w:rsid w:val="00334673"/>
    <w:rsid w:val="003518D6"/>
    <w:rsid w:val="00352BE2"/>
    <w:rsid w:val="0035324D"/>
    <w:rsid w:val="00355EB6"/>
    <w:rsid w:val="00374E1B"/>
    <w:rsid w:val="00392096"/>
    <w:rsid w:val="00394936"/>
    <w:rsid w:val="003C28D7"/>
    <w:rsid w:val="003C3D71"/>
    <w:rsid w:val="003C612B"/>
    <w:rsid w:val="003D13CA"/>
    <w:rsid w:val="003E3D4A"/>
    <w:rsid w:val="003F6332"/>
    <w:rsid w:val="00411C12"/>
    <w:rsid w:val="0041670E"/>
    <w:rsid w:val="00431645"/>
    <w:rsid w:val="004476CF"/>
    <w:rsid w:val="004745AC"/>
    <w:rsid w:val="0049155E"/>
    <w:rsid w:val="004919A6"/>
    <w:rsid w:val="00497691"/>
    <w:rsid w:val="004B23DD"/>
    <w:rsid w:val="004C0C4B"/>
    <w:rsid w:val="004D35EB"/>
    <w:rsid w:val="004E0DBF"/>
    <w:rsid w:val="004E197F"/>
    <w:rsid w:val="004E2B3F"/>
    <w:rsid w:val="004E7111"/>
    <w:rsid w:val="005021C0"/>
    <w:rsid w:val="00502A8D"/>
    <w:rsid w:val="00507D96"/>
    <w:rsid w:val="005207AD"/>
    <w:rsid w:val="0054710A"/>
    <w:rsid w:val="0056114B"/>
    <w:rsid w:val="0056725F"/>
    <w:rsid w:val="00583DC5"/>
    <w:rsid w:val="005852F8"/>
    <w:rsid w:val="005870B1"/>
    <w:rsid w:val="00595591"/>
    <w:rsid w:val="005B66B5"/>
    <w:rsid w:val="005C20A7"/>
    <w:rsid w:val="005C37A9"/>
    <w:rsid w:val="005C7CF0"/>
    <w:rsid w:val="005F537F"/>
    <w:rsid w:val="005F60E0"/>
    <w:rsid w:val="006077D9"/>
    <w:rsid w:val="00616B09"/>
    <w:rsid w:val="00621C0E"/>
    <w:rsid w:val="00640657"/>
    <w:rsid w:val="00640E09"/>
    <w:rsid w:val="006458B1"/>
    <w:rsid w:val="00670567"/>
    <w:rsid w:val="00676291"/>
    <w:rsid w:val="00695D4E"/>
    <w:rsid w:val="00697D7C"/>
    <w:rsid w:val="006B17D5"/>
    <w:rsid w:val="006C08FF"/>
    <w:rsid w:val="006D7A4C"/>
    <w:rsid w:val="006E3EE6"/>
    <w:rsid w:val="006E47D3"/>
    <w:rsid w:val="006F19A7"/>
    <w:rsid w:val="007017EE"/>
    <w:rsid w:val="007066EE"/>
    <w:rsid w:val="00706CB6"/>
    <w:rsid w:val="00715D18"/>
    <w:rsid w:val="00717324"/>
    <w:rsid w:val="007331D0"/>
    <w:rsid w:val="007433F7"/>
    <w:rsid w:val="007437A2"/>
    <w:rsid w:val="007470EE"/>
    <w:rsid w:val="007529B1"/>
    <w:rsid w:val="007677E5"/>
    <w:rsid w:val="00772A2F"/>
    <w:rsid w:val="00786349"/>
    <w:rsid w:val="007877C6"/>
    <w:rsid w:val="00787DD9"/>
    <w:rsid w:val="007A5695"/>
    <w:rsid w:val="007A6F08"/>
    <w:rsid w:val="007B42F1"/>
    <w:rsid w:val="007B672F"/>
    <w:rsid w:val="007C4D23"/>
    <w:rsid w:val="007C59C6"/>
    <w:rsid w:val="007C5F09"/>
    <w:rsid w:val="007D0D0D"/>
    <w:rsid w:val="007E3166"/>
    <w:rsid w:val="007F032A"/>
    <w:rsid w:val="00804767"/>
    <w:rsid w:val="008323C7"/>
    <w:rsid w:val="00834FE0"/>
    <w:rsid w:val="0084086B"/>
    <w:rsid w:val="00852E95"/>
    <w:rsid w:val="0086181D"/>
    <w:rsid w:val="008675F9"/>
    <w:rsid w:val="008A0847"/>
    <w:rsid w:val="008B727D"/>
    <w:rsid w:val="008C0151"/>
    <w:rsid w:val="008C081F"/>
    <w:rsid w:val="008C2032"/>
    <w:rsid w:val="008C207A"/>
    <w:rsid w:val="008C6C65"/>
    <w:rsid w:val="008D0FD5"/>
    <w:rsid w:val="008D416D"/>
    <w:rsid w:val="008D64F8"/>
    <w:rsid w:val="008D6F95"/>
    <w:rsid w:val="008F37E4"/>
    <w:rsid w:val="00903F5B"/>
    <w:rsid w:val="00916A2C"/>
    <w:rsid w:val="0094272B"/>
    <w:rsid w:val="0094627B"/>
    <w:rsid w:val="00952AAA"/>
    <w:rsid w:val="00963E1A"/>
    <w:rsid w:val="00976034"/>
    <w:rsid w:val="0098006A"/>
    <w:rsid w:val="009824F1"/>
    <w:rsid w:val="009876D7"/>
    <w:rsid w:val="009933AA"/>
    <w:rsid w:val="009B4A67"/>
    <w:rsid w:val="009C2CE9"/>
    <w:rsid w:val="009C4AF1"/>
    <w:rsid w:val="009C74CB"/>
    <w:rsid w:val="009D545F"/>
    <w:rsid w:val="009E6ACD"/>
    <w:rsid w:val="009F0B3E"/>
    <w:rsid w:val="00A054F9"/>
    <w:rsid w:val="00A175AC"/>
    <w:rsid w:val="00A2761B"/>
    <w:rsid w:val="00A27798"/>
    <w:rsid w:val="00A33732"/>
    <w:rsid w:val="00A410A7"/>
    <w:rsid w:val="00A42112"/>
    <w:rsid w:val="00A670C9"/>
    <w:rsid w:val="00A91E4D"/>
    <w:rsid w:val="00A973A2"/>
    <w:rsid w:val="00AB1CFB"/>
    <w:rsid w:val="00AB7A53"/>
    <w:rsid w:val="00AC20A2"/>
    <w:rsid w:val="00AC2670"/>
    <w:rsid w:val="00AC39E4"/>
    <w:rsid w:val="00AC637A"/>
    <w:rsid w:val="00AD5736"/>
    <w:rsid w:val="00AD5738"/>
    <w:rsid w:val="00AD7077"/>
    <w:rsid w:val="00AE61E5"/>
    <w:rsid w:val="00B01A0A"/>
    <w:rsid w:val="00B104F9"/>
    <w:rsid w:val="00B123F7"/>
    <w:rsid w:val="00B23F1D"/>
    <w:rsid w:val="00B2437D"/>
    <w:rsid w:val="00B358D3"/>
    <w:rsid w:val="00B417DC"/>
    <w:rsid w:val="00B471C8"/>
    <w:rsid w:val="00B4783E"/>
    <w:rsid w:val="00B47AA5"/>
    <w:rsid w:val="00B54E1E"/>
    <w:rsid w:val="00B563C8"/>
    <w:rsid w:val="00B660DB"/>
    <w:rsid w:val="00BA3AFA"/>
    <w:rsid w:val="00BA5607"/>
    <w:rsid w:val="00BB477E"/>
    <w:rsid w:val="00BD42A1"/>
    <w:rsid w:val="00BE5EC9"/>
    <w:rsid w:val="00BF1C60"/>
    <w:rsid w:val="00BF2A01"/>
    <w:rsid w:val="00BF76FA"/>
    <w:rsid w:val="00C03062"/>
    <w:rsid w:val="00C04682"/>
    <w:rsid w:val="00C10975"/>
    <w:rsid w:val="00C162B2"/>
    <w:rsid w:val="00C2236D"/>
    <w:rsid w:val="00C22F0C"/>
    <w:rsid w:val="00C3234E"/>
    <w:rsid w:val="00C35FE9"/>
    <w:rsid w:val="00C363A7"/>
    <w:rsid w:val="00C42458"/>
    <w:rsid w:val="00C51BBE"/>
    <w:rsid w:val="00C546AE"/>
    <w:rsid w:val="00C7160C"/>
    <w:rsid w:val="00C756A5"/>
    <w:rsid w:val="00C958CC"/>
    <w:rsid w:val="00CB4E84"/>
    <w:rsid w:val="00CC04E8"/>
    <w:rsid w:val="00CD79AB"/>
    <w:rsid w:val="00CE3A56"/>
    <w:rsid w:val="00CF0BD1"/>
    <w:rsid w:val="00CF1798"/>
    <w:rsid w:val="00CF4646"/>
    <w:rsid w:val="00CF5688"/>
    <w:rsid w:val="00D0013B"/>
    <w:rsid w:val="00D030E0"/>
    <w:rsid w:val="00D1336A"/>
    <w:rsid w:val="00D22639"/>
    <w:rsid w:val="00D4361A"/>
    <w:rsid w:val="00D6092B"/>
    <w:rsid w:val="00D616A2"/>
    <w:rsid w:val="00D6582C"/>
    <w:rsid w:val="00D711DA"/>
    <w:rsid w:val="00D72D41"/>
    <w:rsid w:val="00D72F3D"/>
    <w:rsid w:val="00D7733C"/>
    <w:rsid w:val="00D807B9"/>
    <w:rsid w:val="00D941B8"/>
    <w:rsid w:val="00D968D6"/>
    <w:rsid w:val="00DB5844"/>
    <w:rsid w:val="00DC3515"/>
    <w:rsid w:val="00DC38C7"/>
    <w:rsid w:val="00DD3AD6"/>
    <w:rsid w:val="00DD5A00"/>
    <w:rsid w:val="00E0149C"/>
    <w:rsid w:val="00E15B8F"/>
    <w:rsid w:val="00E2535F"/>
    <w:rsid w:val="00E26856"/>
    <w:rsid w:val="00E33CB9"/>
    <w:rsid w:val="00E46432"/>
    <w:rsid w:val="00E5628C"/>
    <w:rsid w:val="00EA085A"/>
    <w:rsid w:val="00EB1A24"/>
    <w:rsid w:val="00EB261C"/>
    <w:rsid w:val="00EB5EA6"/>
    <w:rsid w:val="00EC0A6E"/>
    <w:rsid w:val="00ED491D"/>
    <w:rsid w:val="00ED5BD8"/>
    <w:rsid w:val="00ED7D24"/>
    <w:rsid w:val="00EE4224"/>
    <w:rsid w:val="00F02816"/>
    <w:rsid w:val="00F03515"/>
    <w:rsid w:val="00F06280"/>
    <w:rsid w:val="00F07763"/>
    <w:rsid w:val="00F078F9"/>
    <w:rsid w:val="00F23CFB"/>
    <w:rsid w:val="00F3119A"/>
    <w:rsid w:val="00F414BF"/>
    <w:rsid w:val="00F4738C"/>
    <w:rsid w:val="00F52A30"/>
    <w:rsid w:val="00F632BD"/>
    <w:rsid w:val="00F72912"/>
    <w:rsid w:val="00F7444A"/>
    <w:rsid w:val="00F8698F"/>
    <w:rsid w:val="00FA494B"/>
    <w:rsid w:val="00FB2BF4"/>
    <w:rsid w:val="00FC5A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1E24B2"/>
  <w15:chartTrackingRefBased/>
  <w15:docId w15:val="{6D8F260F-F15E-41A1-9F35-212C16AA8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A6C7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2A6C7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2A6C7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2A6C7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rsid w:val="002A6C7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A6C7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A6C7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6C7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A6C7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6C7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2A6C7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2A6C7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2A6C7F"/>
    <w:rPr>
      <w:rFonts w:cstheme="majorBidi"/>
      <w:color w:val="2F5496" w:themeColor="accent1" w:themeShade="BF"/>
      <w:sz w:val="28"/>
      <w:szCs w:val="28"/>
    </w:rPr>
  </w:style>
  <w:style w:type="character" w:customStyle="1" w:styleId="50">
    <w:name w:val="标题 5 字符"/>
    <w:basedOn w:val="a0"/>
    <w:link w:val="5"/>
    <w:uiPriority w:val="9"/>
    <w:rsid w:val="002A6C7F"/>
    <w:rPr>
      <w:rFonts w:cstheme="majorBidi"/>
      <w:color w:val="2F5496" w:themeColor="accent1" w:themeShade="BF"/>
      <w:sz w:val="24"/>
    </w:rPr>
  </w:style>
  <w:style w:type="character" w:customStyle="1" w:styleId="60">
    <w:name w:val="标题 6 字符"/>
    <w:basedOn w:val="a0"/>
    <w:link w:val="6"/>
    <w:uiPriority w:val="9"/>
    <w:semiHidden/>
    <w:rsid w:val="002A6C7F"/>
    <w:rPr>
      <w:rFonts w:cstheme="majorBidi"/>
      <w:b/>
      <w:bCs/>
      <w:color w:val="2F5496" w:themeColor="accent1" w:themeShade="BF"/>
    </w:rPr>
  </w:style>
  <w:style w:type="character" w:customStyle="1" w:styleId="70">
    <w:name w:val="标题 7 字符"/>
    <w:basedOn w:val="a0"/>
    <w:link w:val="7"/>
    <w:uiPriority w:val="9"/>
    <w:semiHidden/>
    <w:rsid w:val="002A6C7F"/>
    <w:rPr>
      <w:rFonts w:cstheme="majorBidi"/>
      <w:b/>
      <w:bCs/>
      <w:color w:val="595959" w:themeColor="text1" w:themeTint="A6"/>
    </w:rPr>
  </w:style>
  <w:style w:type="character" w:customStyle="1" w:styleId="80">
    <w:name w:val="标题 8 字符"/>
    <w:basedOn w:val="a0"/>
    <w:link w:val="8"/>
    <w:uiPriority w:val="9"/>
    <w:semiHidden/>
    <w:rsid w:val="002A6C7F"/>
    <w:rPr>
      <w:rFonts w:cstheme="majorBidi"/>
      <w:color w:val="595959" w:themeColor="text1" w:themeTint="A6"/>
    </w:rPr>
  </w:style>
  <w:style w:type="character" w:customStyle="1" w:styleId="90">
    <w:name w:val="标题 9 字符"/>
    <w:basedOn w:val="a0"/>
    <w:link w:val="9"/>
    <w:uiPriority w:val="9"/>
    <w:semiHidden/>
    <w:rsid w:val="002A6C7F"/>
    <w:rPr>
      <w:rFonts w:eastAsiaTheme="majorEastAsia" w:cstheme="majorBidi"/>
      <w:color w:val="595959" w:themeColor="text1" w:themeTint="A6"/>
    </w:rPr>
  </w:style>
  <w:style w:type="paragraph" w:styleId="a3">
    <w:name w:val="Title"/>
    <w:basedOn w:val="a"/>
    <w:next w:val="a"/>
    <w:link w:val="a4"/>
    <w:uiPriority w:val="10"/>
    <w:qFormat/>
    <w:rsid w:val="002A6C7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6C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6C7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6C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6C7F"/>
    <w:pPr>
      <w:spacing w:before="160"/>
      <w:jc w:val="center"/>
    </w:pPr>
    <w:rPr>
      <w:i/>
      <w:iCs/>
      <w:color w:val="404040" w:themeColor="text1" w:themeTint="BF"/>
    </w:rPr>
  </w:style>
  <w:style w:type="character" w:customStyle="1" w:styleId="a8">
    <w:name w:val="引用 字符"/>
    <w:basedOn w:val="a0"/>
    <w:link w:val="a7"/>
    <w:uiPriority w:val="29"/>
    <w:rsid w:val="002A6C7F"/>
    <w:rPr>
      <w:i/>
      <w:iCs/>
      <w:color w:val="404040" w:themeColor="text1" w:themeTint="BF"/>
    </w:rPr>
  </w:style>
  <w:style w:type="paragraph" w:styleId="a9">
    <w:name w:val="List Paragraph"/>
    <w:basedOn w:val="a"/>
    <w:uiPriority w:val="34"/>
    <w:qFormat/>
    <w:rsid w:val="002A6C7F"/>
    <w:pPr>
      <w:ind w:left="720"/>
      <w:contextualSpacing/>
    </w:pPr>
  </w:style>
  <w:style w:type="character" w:styleId="aa">
    <w:name w:val="Intense Emphasis"/>
    <w:basedOn w:val="a0"/>
    <w:uiPriority w:val="21"/>
    <w:qFormat/>
    <w:rsid w:val="002A6C7F"/>
    <w:rPr>
      <w:i/>
      <w:iCs/>
      <w:color w:val="2F5496" w:themeColor="accent1" w:themeShade="BF"/>
    </w:rPr>
  </w:style>
  <w:style w:type="paragraph" w:styleId="ab">
    <w:name w:val="Intense Quote"/>
    <w:basedOn w:val="a"/>
    <w:next w:val="a"/>
    <w:link w:val="ac"/>
    <w:uiPriority w:val="30"/>
    <w:qFormat/>
    <w:rsid w:val="002A6C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A6C7F"/>
    <w:rPr>
      <w:i/>
      <w:iCs/>
      <w:color w:val="2F5496" w:themeColor="accent1" w:themeShade="BF"/>
    </w:rPr>
  </w:style>
  <w:style w:type="character" w:styleId="ad">
    <w:name w:val="Intense Reference"/>
    <w:basedOn w:val="a0"/>
    <w:uiPriority w:val="32"/>
    <w:qFormat/>
    <w:rsid w:val="002A6C7F"/>
    <w:rPr>
      <w:b/>
      <w:bCs/>
      <w:smallCaps/>
      <w:color w:val="2F5496" w:themeColor="accent1" w:themeShade="BF"/>
      <w:spacing w:val="5"/>
    </w:rPr>
  </w:style>
  <w:style w:type="paragraph" w:styleId="ae">
    <w:name w:val="header"/>
    <w:basedOn w:val="a"/>
    <w:link w:val="af"/>
    <w:uiPriority w:val="99"/>
    <w:unhideWhenUsed/>
    <w:rsid w:val="00ED5BD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D5BD8"/>
    <w:rPr>
      <w:sz w:val="18"/>
      <w:szCs w:val="18"/>
    </w:rPr>
  </w:style>
  <w:style w:type="paragraph" w:styleId="af0">
    <w:name w:val="footer"/>
    <w:basedOn w:val="a"/>
    <w:link w:val="af1"/>
    <w:uiPriority w:val="99"/>
    <w:unhideWhenUsed/>
    <w:rsid w:val="00ED5BD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D5BD8"/>
    <w:rPr>
      <w:sz w:val="18"/>
      <w:szCs w:val="18"/>
    </w:rPr>
  </w:style>
  <w:style w:type="table" w:styleId="af2">
    <w:name w:val="Table Grid"/>
    <w:basedOn w:val="a1"/>
    <w:uiPriority w:val="39"/>
    <w:rsid w:val="00834F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B4783E"/>
    <w:rPr>
      <w:color w:val="0563C1" w:themeColor="hyperlink"/>
      <w:u w:val="single"/>
    </w:rPr>
  </w:style>
  <w:style w:type="character" w:styleId="af4">
    <w:name w:val="Unresolved Mention"/>
    <w:basedOn w:val="a0"/>
    <w:uiPriority w:val="99"/>
    <w:semiHidden/>
    <w:unhideWhenUsed/>
    <w:rsid w:val="00B4783E"/>
    <w:rPr>
      <w:color w:val="605E5C"/>
      <w:shd w:val="clear" w:color="auto" w:fill="E1DFDD"/>
    </w:rPr>
  </w:style>
  <w:style w:type="paragraph" w:styleId="af5">
    <w:name w:val="Body Text"/>
    <w:basedOn w:val="a"/>
    <w:link w:val="af6"/>
    <w:qFormat/>
    <w:rsid w:val="00200C80"/>
    <w:pPr>
      <w:widowControl/>
      <w:spacing w:after="0" w:line="360" w:lineRule="auto"/>
    </w:pPr>
    <w:rPr>
      <w:rFonts w:ascii="Arial" w:eastAsia="宋体" w:hAnsi="Arial" w:cs="Times New Roman (正文 CS 字体)"/>
      <w:kern w:val="0"/>
      <w:sz w:val="24"/>
      <w:lang w:eastAsia="en-US"/>
      <w14:ligatures w14:val="none"/>
    </w:rPr>
  </w:style>
  <w:style w:type="character" w:customStyle="1" w:styleId="af6">
    <w:name w:val="正文文本 字符"/>
    <w:basedOn w:val="a0"/>
    <w:link w:val="af5"/>
    <w:rsid w:val="00200C80"/>
    <w:rPr>
      <w:rFonts w:ascii="Arial" w:eastAsia="宋体" w:hAnsi="Arial" w:cs="Times New Roman (正文 CS 字体)"/>
      <w:kern w:val="0"/>
      <w:sz w:val="24"/>
      <w:lang w:eastAsia="en-US"/>
      <w14:ligatures w14:val="none"/>
    </w:rPr>
  </w:style>
  <w:style w:type="paragraph" w:customStyle="1" w:styleId="FirstParagraph">
    <w:name w:val="First Paragraph"/>
    <w:basedOn w:val="af5"/>
    <w:next w:val="af5"/>
    <w:qFormat/>
    <w:rsid w:val="00200C80"/>
  </w:style>
  <w:style w:type="paragraph" w:customStyle="1" w:styleId="Compact">
    <w:name w:val="Compact"/>
    <w:basedOn w:val="af5"/>
    <w:qFormat/>
    <w:rsid w:val="008D64F8"/>
    <w:pPr>
      <w:spacing w:before="36" w:after="36"/>
    </w:pPr>
  </w:style>
  <w:style w:type="table" w:customStyle="1" w:styleId="Table">
    <w:name w:val="Table"/>
    <w:semiHidden/>
    <w:unhideWhenUsed/>
    <w:qFormat/>
    <w:rsid w:val="008D64F8"/>
    <w:pPr>
      <w:spacing w:after="200" w:line="240" w:lineRule="auto"/>
    </w:pPr>
    <w:rPr>
      <w:kern w:val="0"/>
      <w:sz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af7">
    <w:name w:val="annotation reference"/>
    <w:basedOn w:val="a0"/>
    <w:uiPriority w:val="99"/>
    <w:semiHidden/>
    <w:unhideWhenUsed/>
    <w:rsid w:val="001C0E59"/>
    <w:rPr>
      <w:sz w:val="21"/>
      <w:szCs w:val="21"/>
    </w:rPr>
  </w:style>
  <w:style w:type="paragraph" w:styleId="af8">
    <w:name w:val="annotation text"/>
    <w:basedOn w:val="a"/>
    <w:link w:val="af9"/>
    <w:uiPriority w:val="99"/>
    <w:unhideWhenUsed/>
    <w:rsid w:val="001C0E59"/>
  </w:style>
  <w:style w:type="character" w:customStyle="1" w:styleId="af9">
    <w:name w:val="批注文字 字符"/>
    <w:basedOn w:val="a0"/>
    <w:link w:val="af8"/>
    <w:uiPriority w:val="99"/>
    <w:rsid w:val="001C0E59"/>
  </w:style>
  <w:style w:type="paragraph" w:styleId="afa">
    <w:name w:val="annotation subject"/>
    <w:basedOn w:val="af8"/>
    <w:next w:val="af8"/>
    <w:link w:val="afb"/>
    <w:uiPriority w:val="99"/>
    <w:semiHidden/>
    <w:unhideWhenUsed/>
    <w:rsid w:val="001C0E59"/>
    <w:rPr>
      <w:b/>
      <w:bCs/>
    </w:rPr>
  </w:style>
  <w:style w:type="character" w:customStyle="1" w:styleId="afb">
    <w:name w:val="批注主题 字符"/>
    <w:basedOn w:val="af9"/>
    <w:link w:val="afa"/>
    <w:uiPriority w:val="99"/>
    <w:semiHidden/>
    <w:rsid w:val="001C0E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6/09/relationships/commentsIds" Target="commentsIds.xm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s://xueqiu.com/1107854878/330815418" TargetMode="External"/><Relationship Id="rId7" Type="http://schemas.openxmlformats.org/officeDocument/2006/relationships/image" Target="media/image1.png"/><Relationship Id="rId12" Type="http://schemas.microsoft.com/office/2011/relationships/commentsExtended" Target="commentsExtended.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8/08/relationships/commentsExtensible" Target="commentsExtensible.xml"/><Relationship Id="rId22"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TotalTime>
  <Pages>36</Pages>
  <Words>14218</Words>
  <Characters>16352</Characters>
  <Application>Microsoft Office Word</Application>
  <DocSecurity>0</DocSecurity>
  <Lines>908</Lines>
  <Paragraphs>587</Paragraphs>
  <ScaleCrop>false</ScaleCrop>
  <Company/>
  <LinksUpToDate>false</LinksUpToDate>
  <CharactersWithSpaces>29983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张曦瑾</cp:lastModifiedBy>
  <cp:revision>7</cp:revision>
  <dcterms:created xsi:type="dcterms:W3CDTF">2026-04-28T04:34:00Z</dcterms:created>
  <dcterms:modified xsi:type="dcterms:W3CDTF">2026-04-28T09:45:00Z</dcterms:modified>
</cp:coreProperties>
</file>