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574E" w14:textId="06CA9A87" w:rsidR="00B22B3E" w:rsidRDefault="00B22B3E" w:rsidP="00B22B3E">
      <w:pPr>
        <w:jc w:val="center"/>
        <w:rPr>
          <w:rFonts w:hint="eastAsia"/>
        </w:rPr>
      </w:pPr>
      <w:r>
        <w:rPr>
          <w:rFonts w:hint="eastAsia"/>
        </w:rPr>
        <w:t>4月月度工作报告</w:t>
      </w:r>
    </w:p>
    <w:p w14:paraId="370ACC41" w14:textId="77777777" w:rsidR="00B22B3E" w:rsidRDefault="00B22B3E" w:rsidP="00B22B3E"/>
    <w:p w14:paraId="44C1AD77" w14:textId="2DC343BF" w:rsidR="00B22B3E" w:rsidRDefault="00B22B3E" w:rsidP="00B22B3E">
      <w:pPr>
        <w:rPr>
          <w:rFonts w:hint="eastAsia"/>
        </w:rPr>
      </w:pPr>
      <w:r>
        <w:rPr>
          <w:rFonts w:hint="eastAsia"/>
        </w:rPr>
        <w:t>一、投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工作</w:t>
      </w:r>
    </w:p>
    <w:p w14:paraId="55287EA1" w14:textId="77777777" w:rsidR="00B22B3E" w:rsidRDefault="00B22B3E" w:rsidP="00B22B3E">
      <w:pPr>
        <w:rPr>
          <w:rFonts w:hint="eastAsia"/>
        </w:rPr>
      </w:pPr>
      <w:r>
        <w:rPr>
          <w:rFonts w:hint="eastAsia"/>
        </w:rPr>
        <w:t>本月完成大模型行业深度投资报告一篇，全文约三万字。报告系统梳理了国内外大模型行业发展现状、竞争格局及投资关注点，涵盖技术路线对比、商业模式分析及潜在风险识别，已提交一级部门审阅并对外投递。通信ETF相关研究同步推进，目前完成度约60%，重点梳理产业链上下游结构、政策驱动因素及估值逻辑，持续跟进产业动态与配置策略。</w:t>
      </w:r>
    </w:p>
    <w:p w14:paraId="0D8EBC82" w14:textId="47593105" w:rsidR="00B22B3E" w:rsidRDefault="00B22B3E" w:rsidP="00B22B3E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>配权</w:t>
      </w:r>
      <w:r>
        <w:rPr>
          <w:rFonts w:hint="eastAsia"/>
        </w:rPr>
        <w:t>系统开发</w:t>
      </w:r>
    </w:p>
    <w:p w14:paraId="37E28EC9" w14:textId="77777777" w:rsidR="00B22B3E" w:rsidRDefault="00B22B3E" w:rsidP="00B22B3E">
      <w:pPr>
        <w:rPr>
          <w:rFonts w:hint="eastAsia"/>
        </w:rPr>
      </w:pPr>
      <w:r>
        <w:rPr>
          <w:rFonts w:hint="eastAsia"/>
        </w:rPr>
        <w:t>配</w:t>
      </w:r>
      <w:proofErr w:type="gramStart"/>
      <w:r>
        <w:rPr>
          <w:rFonts w:hint="eastAsia"/>
        </w:rPr>
        <w:t>权软件</w:t>
      </w:r>
      <w:proofErr w:type="gramEnd"/>
      <w:r>
        <w:rPr>
          <w:rFonts w:hint="eastAsia"/>
        </w:rPr>
        <w:t>完成功能迭代，在原有均匀配权、最小风险、均匀风险及最优夏普四种模型基础上，新增Black-</w:t>
      </w:r>
      <w:proofErr w:type="spellStart"/>
      <w:r>
        <w:rPr>
          <w:rFonts w:hint="eastAsia"/>
        </w:rPr>
        <w:t>Litterman</w:t>
      </w:r>
      <w:proofErr w:type="spellEnd"/>
      <w:r>
        <w:rPr>
          <w:rFonts w:hint="eastAsia"/>
        </w:rPr>
        <w:t>算法模块。该模块通过融合市场均衡收益与主观观点，优化预期收益估计，进一步丰富资产配置工具箱，提升组合构建的灵活性与实用性，为后续策略实盘化提供技术支撑。</w:t>
      </w:r>
    </w:p>
    <w:p w14:paraId="098C7A68" w14:textId="77777777" w:rsidR="00B22B3E" w:rsidRDefault="00B22B3E" w:rsidP="00B22B3E">
      <w:pPr>
        <w:rPr>
          <w:rFonts w:hint="eastAsia"/>
        </w:rPr>
      </w:pPr>
      <w:r>
        <w:rPr>
          <w:rFonts w:hint="eastAsia"/>
        </w:rPr>
        <w:t>三、早</w:t>
      </w:r>
      <w:proofErr w:type="gramStart"/>
      <w:r>
        <w:rPr>
          <w:rFonts w:hint="eastAsia"/>
        </w:rPr>
        <w:t>盘信息</w:t>
      </w:r>
      <w:proofErr w:type="gramEnd"/>
      <w:r>
        <w:rPr>
          <w:rFonts w:hint="eastAsia"/>
        </w:rPr>
        <w:t>监控</w:t>
      </w:r>
    </w:p>
    <w:p w14:paraId="6D40A2E6" w14:textId="77777777" w:rsidR="00B22B3E" w:rsidRDefault="00B22B3E" w:rsidP="00B22B3E">
      <w:pPr>
        <w:rPr>
          <w:rFonts w:hint="eastAsia"/>
        </w:rPr>
      </w:pPr>
      <w:r>
        <w:rPr>
          <w:rFonts w:hint="eastAsia"/>
        </w:rPr>
        <w:t>早</w:t>
      </w:r>
      <w:proofErr w:type="gramStart"/>
      <w:r>
        <w:rPr>
          <w:rFonts w:hint="eastAsia"/>
        </w:rPr>
        <w:t>盘消息</w:t>
      </w:r>
      <w:proofErr w:type="gramEnd"/>
      <w:r>
        <w:rPr>
          <w:rFonts w:hint="eastAsia"/>
        </w:rPr>
        <w:t>监控体系新增美股中型企业（市值20亿美元以上）每日涨幅前20榜单的自动化抓取与跟踪。该模块覆盖盘前异动、成交量突增及催化事件，拓宽海外市场信息覆盖维度，为投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决策提供更及时的国际市场参考，辅助识别跨市场联动机会。</w:t>
      </w:r>
    </w:p>
    <w:p w14:paraId="63B63775" w14:textId="77777777" w:rsidR="00B22B3E" w:rsidRDefault="00B22B3E" w:rsidP="00B22B3E">
      <w:pPr>
        <w:rPr>
          <w:rFonts w:hint="eastAsia"/>
        </w:rPr>
      </w:pPr>
      <w:r>
        <w:rPr>
          <w:rFonts w:hint="eastAsia"/>
        </w:rPr>
        <w:t>四、AI技术跟踪与工具优化</w:t>
      </w:r>
    </w:p>
    <w:p w14:paraId="00C04F68" w14:textId="607A5E8A" w:rsidR="00F143A2" w:rsidRDefault="00B22B3E" w:rsidP="00B22B3E">
      <w:r>
        <w:rPr>
          <w:rFonts w:hint="eastAsia"/>
        </w:rPr>
        <w:t>持续跟踪AI领域技术进展，对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及Claude Code等工具进行配置优化与使用流程完善。重点优化了自动</w:t>
      </w:r>
      <w:proofErr w:type="gramStart"/>
      <w:r>
        <w:rPr>
          <w:rFonts w:hint="eastAsia"/>
        </w:rPr>
        <w:t>化工作流搭建</w:t>
      </w:r>
      <w:proofErr w:type="gramEnd"/>
      <w:r>
        <w:rPr>
          <w:rFonts w:hint="eastAsia"/>
        </w:rPr>
        <w:t>、长文本处理及代码生成场景的应用效率，保持对前沿AI应用的知识更新与实践探索，提升日常投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及开发工作的自动化水平。</w:t>
      </w:r>
    </w:p>
    <w:sectPr w:rsidR="00F14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A2"/>
    <w:rsid w:val="00632BBD"/>
    <w:rsid w:val="00B22B3E"/>
    <w:rsid w:val="00F1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C892"/>
  <w15:chartTrackingRefBased/>
  <w15:docId w15:val="{3D27EB24-77FF-4DCC-A676-EA3248B8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43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3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3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3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3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3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3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3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3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3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3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3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3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3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3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3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3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3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3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3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4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2</cp:revision>
  <dcterms:created xsi:type="dcterms:W3CDTF">2026-05-08T01:51:00Z</dcterms:created>
  <dcterms:modified xsi:type="dcterms:W3CDTF">2026-05-08T01:52:00Z</dcterms:modified>
</cp:coreProperties>
</file>