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52"/>
        </w:rPr>
        <w:t>通信行业深度研究报告：光模块与PCB</w:t>
      </w:r>
    </w:p>
    <w:p>
      <w:pPr>
        <w:jc w:val="center"/>
      </w:pPr>
      <w:r>
        <w:rPr>
          <w:rFonts w:ascii="宋体" w:hAnsi="宋体" w:eastAsia="宋体"/>
          <w:sz w:val="28"/>
        </w:rPr>
        <w:t>——AI算力时代的投资机遇与风险审视</w:t>
      </w:r>
    </w:p>
    <w:p>
      <w:pPr>
        <w:jc w:val="center"/>
      </w:pPr>
      <w:r>
        <w:rPr>
          <w:rFonts w:ascii="宋体" w:hAnsi="宋体" w:eastAsia="宋体"/>
          <w:sz w:val="28"/>
        </w:rPr>
      </w:r>
    </w:p>
    <w:p>
      <w:pPr>
        <w:jc w:val="center"/>
      </w:pPr>
      <w:r>
        <w:rPr>
          <w:rFonts w:ascii="宋体" w:hAnsi="宋体" w:eastAsia="宋体"/>
          <w:sz w:val="28"/>
        </w:rPr>
        <w:t>（仅供内部研究参考，不构成投资建议）</w:t>
      </w:r>
    </w:p>
    <w:p>
      <w:pPr>
        <w:jc w:val="center"/>
      </w:pPr>
      <w:r>
        <w:rPr>
          <w:rFonts w:ascii="宋体" w:hAnsi="宋体" w:eastAsia="宋体"/>
          <w:sz w:val="28"/>
        </w:rPr>
        <w:t>2025年4月</w:t>
      </w:r>
    </w:p>
    <w:p>
      <w:r>
        <w:br w:type="page"/>
      </w:r>
    </w:p>
    <w:p>
      <w:pPr>
        <w:pStyle w:val="Heading1"/>
      </w:pPr>
      <w:r>
        <w:t>前言</w:t>
      </w:r>
    </w:p>
    <w:p>
      <w:pPr>
        <w:ind w:firstLine="420"/>
      </w:pPr>
      <w:r>
        <w:t>通信行业正经历一场前所未有的结构性变革。以ChatGPT为代表的大模型技术掀起的AI浪潮，正在深刻重塑通信产业的需求格局。传统上，通信行业的增长动力主要来自电信运营商的资本开支周期——从3G到4G、从4G到5G，每一次网络代际更迭都会带来一波通信设备投资的高峰与低谷。然而，当前行业面临的核心变量已发生根本性转变：AI算力基础设施的建设正成为通信子行业，尤其是光模块和PCB（印制电路板）两大细分领域的核心驱动力。</w:t>
      </w:r>
    </w:p>
    <w:p>
      <w:pPr>
        <w:ind w:firstLine="420"/>
      </w:pPr>
      <w:r>
        <w:t>光模块作为数据中心GPU集群互联的核心部件，直接受益于全球科技巨头在AI训练和推理方面的巨额投资。英伟达Blackwell架构GPU的大规模部署催生了800G光模块的爆发式需求，1.6T光模块的商用也已在2025年拉开序幕。与此同时，AI服务器对高频高速PCB的需求同样呈现井喷态势，高层数、高密度互连（HDI）板的价值量大幅提升，带动PCB行业从传统消费电子的低增长轨道转向高附加值产品的结构性繁荣。</w:t>
      </w:r>
    </w:p>
    <w:p>
      <w:pPr>
        <w:ind w:firstLine="420"/>
      </w:pPr>
      <w:r>
        <w:t>本报告从A股二级市场买方机构的视角出发，系统梳理光模块和PCB两个子行业的市场规模、技术演进、竞争格局和产业链关系，评估其投资价值和风险因素，旨在为投资决策提供全面、客观的研究参考。报告数据主要来源于公开市场信息、券商研究报告、企业财报及行业研究机构，数据缺失处已标注说明。</w:t>
      </w:r>
    </w:p>
    <w:p>
      <w:pPr>
        <w:pStyle w:val="Heading1"/>
      </w:pPr>
      <w:r>
        <w:t>第一章 行业总览：通信设备行业的结构性变革</w:t>
      </w:r>
    </w:p>
    <w:p>
      <w:pPr>
        <w:pStyle w:val="Heading2"/>
      </w:pPr>
      <w:r>
        <w:t>1.1 行业定义与分类</w:t>
      </w:r>
    </w:p>
    <w:p>
      <w:pPr>
        <w:ind w:firstLine="420"/>
      </w:pPr>
      <w:r>
        <w:t>通信设备行业广义上涵盖电信运营商网络设备、企业通信设备以及数据中心互联设备等多个子领域。从A股市场投资的角度，通信行业通常被划分为运营商板块、通信设备制造板块和通信服务板块三大类。其中，通信设备制造板块又可进一步细分为无线主设备、光通信设备、网络交换设备、数据通信设备以及配套的电子元器件等。光模块和PCB作为光通信设备和数据通信设备的核心组件，是产业链中附加值较高的环节。</w:t>
      </w:r>
    </w:p>
    <w:p>
      <w:pPr>
        <w:ind w:firstLine="420"/>
      </w:pPr>
      <w:r>
        <w:t>光模块（Optical Module）是光纤通信系统中的核心有源器件，承担光电转换和电光转换的功能。根据传输速率和应用场景的不同，光模块可分为数通光模块和电信光模块两大类。数通光模块主要用于数据中心内部和数据中心之间的互联，是近年来增长最快的细分市场。PCB（Printed Circuit Board，印制电路板）则是所有电子设备的基础载体，为电子元器件提供电气连接和机械支撑。在通信领域，PCB广泛应用于服务器、交换机、路由器、基站等设备中。</w:t>
      </w:r>
    </w:p>
    <w:p>
      <w:pPr>
        <w:pStyle w:val="Heading2"/>
      </w:pPr>
      <w:r>
        <w:t>1.2 2024-2025年通信行业全景回顾</w:t>
      </w:r>
    </w:p>
    <w:p>
      <w:pPr>
        <w:ind w:firstLine="420"/>
      </w:pPr>
      <w:r>
        <w:t>2024年是通信行业从传统电信驱动向AI算力驱动全面转型的标志性年份。从行业整体来看，全球通信设备市场呈现出"冰火两重天"的格局：一方面，电信运营商的资本开支进入下行通道，三大运营商2025年计划资本开支合计2898亿元，较2024年下降约9.1%（来源：东方财富网，2025年3月），中国移动、中国电信、中国联通分别下调资本开支8.5%、10.6%和10.4%。其中，中国移动2025年计划资本开支1512亿元，中国电信836亿元，中国联通550亿元。运营商投资结构正在从传统的5G网络建设转向算力基础设施，移动网投资大幅削减，而算力相关投资保持增长或持平。</w:t>
      </w:r>
    </w:p>
    <w:p>
      <w:pPr>
        <w:ind w:firstLine="420"/>
      </w:pPr>
      <w:r>
        <w:t>另一方面，AI算力基础设施建设则呈现爆发式增长态势。全球超大规模云服务商（AWS、微软Azure、谷歌云、Meta、字节跳动等）的AI相关资本开支在2024-2025年大幅攀升。据IEEE光通信组件市场报告引用的数据，2025年全球数据中心资本开支预计接近3500亿美元，2030年预计将达到5450亿美元。这种结构性转变意味着，通信行业的增长引擎已经从传统的电信运营商切换到了以AI为核心的科技巨头。对于光模块和PCB这两个高度依赖数据中心需求的子行业而言，这是一个根本性的利好。</w:t>
      </w:r>
    </w:p>
    <w:p>
      <w:pPr>
        <w:pStyle w:val="Heading2"/>
      </w:pPr>
      <w:r>
        <w:t>1.3 从传统电信到AI算力的范式转移</w:t>
      </w:r>
    </w:p>
    <w:p>
      <w:pPr>
        <w:ind w:firstLine="420"/>
      </w:pPr>
      <w:r>
        <w:t>理解当前通信行业的投资逻辑，核心在于把握从传统电信到AI算力的范式转移。这一转移体现在多个维度。在客户结构上，通信设备的主要采购方从电信运营商转向了互联网云服务商和AI基础设施提供商。在技术路线上，从面向公众用户的移动通信网络转向面向AI训练和推理的高性能计算网络。在增长模式上，从周期性的网络代际更迭转向持续性的算力扩张。</w:t>
      </w:r>
    </w:p>
    <w:p>
      <w:pPr>
        <w:ind w:firstLine="420"/>
      </w:pPr>
      <w:r>
        <w:t>这一范式转移对投资的影响是深远的。首先，需求增长更加持续。电信运营商的资本开支受政策、牌照周期和用户增长饱和等因素影响，呈现明显的周期性。而AI算力的需求则与技术进步、模型参数规模增长和应用落地深度密切相关，呈现出更持久的增长态势。其次，产品价值量显著提升。AI场景下的光模块和PCB对性能的要求远高于传统电信场景，产品单价和利润率均大幅提高。第三，竞争格局正在重塑。在光模块领域，中国企业已经占据了全球市场的领先地位，而在PCB领域，中国企业同样具备强大的制造能力和成本优势。</w:t>
      </w:r>
    </w:p>
    <w:p>
      <w:pPr>
        <w:ind w:firstLine="420"/>
      </w:pPr>
      <w:r>
        <w:t>当然，范式转移也带来了新的风险。AI投资热潮是否会出现过度建设？如果AI应用的商业化进程不及预期，算力基础设施的投资可能出现阶段性调整。此外，地缘政治因素对中国通信企业海外业务的影响也不容忽视。这些都是我们在后续章节中需要深入分析的重要议题。</w:t>
      </w:r>
    </w:p>
    <w:p>
      <w:pPr>
        <w:pStyle w:val="Heading1"/>
      </w:pPr>
      <w:r>
        <w:t>第二章 光模块行业深度分析</w:t>
      </w:r>
    </w:p>
    <w:p>
      <w:pPr>
        <w:pStyle w:val="Heading2"/>
      </w:pPr>
      <w:r>
        <w:t>2.1 光模块定义、分类与技术原理</w:t>
      </w:r>
    </w:p>
    <w:p>
      <w:pPr>
        <w:ind w:firstLine="420"/>
      </w:pPr>
      <w:r>
        <w:t>光模块是实现光信号与电信号相互转换的关键器件，主要由光发射组件（TOSA）、光接收组件（ROSA）、光接口、电接口和控制电路等部分组成。其核心工作原理为：在发送端，电信号经过驱动芯片放大后输入光发射组件，由激光器（如DFB、EML、VCSEL等）将电信号调制成光信号，经光纤传输；在接收端，光信号由光电探测器（如PIN、APD）转换为电信号，经放大和均衡处理后输出。</w:t>
      </w:r>
    </w:p>
    <w:p>
      <w:pPr>
        <w:ind w:firstLine="420"/>
      </w:pPr>
      <w:r>
        <w:t>按照封装形式，光模块主要分为SFP、SFP+、QSFP、QSFP28、QSFP-DD、OSFP等类型。按照传输速率，当前主流产品涵盖100G、200G、400G、800G和1.6T等。按照传输距离，可分为短距（SR，500米以内）、中距（DR/FR，2-10公里）、长距（LR/ZR，10-80公里及以上）等。在数据中心场景中，光模块主要用于服务器与交换机之间（Access层）、交换机与交换机之间（Aggregation层和Core层）的互联，以及数据中心之间的互联（DCI）。</w:t>
      </w:r>
    </w:p>
    <w:p>
      <w:pPr>
        <w:ind w:firstLine="420"/>
      </w:pPr>
      <w:r>
        <w:t>光模块的成本结构中，光芯片（激光器和探测器芯片）占比最高，约占26%，在高速产品中甚至超过50%。电芯片（驱动芯片、TIA、DSP等）约占20-25%，光组件（透镜、光纤阵列、隔离器等）约占20-25%，封装和测试约占15-20%。因此，光芯片的国产化程度和成本控制能力，是决定光模块企业盈利能力的关键因素。</w:t>
      </w:r>
    </w:p>
    <w:p>
      <w:pPr>
        <w:pStyle w:val="Heading2"/>
      </w:pPr>
      <w:r>
        <w:t>2.2 市场规模与增长驱动力</w:t>
      </w:r>
    </w:p>
    <w:p>
      <w:pPr>
        <w:ind w:firstLine="420"/>
      </w:pPr>
      <w:r>
        <w:t>全球光模块市场规模近年来保持高速增长，但不同研究机构的统计口径和预测数据存在一定差异。根据LightCounting的数据，全球光模块市场2020年约为66.7亿美元，预计2025年将达到约113亿美元（来源：易飞扬社区，转引自LightCounting）。另一家研究机构Research and Markets的报告显示，2025年全球光模块市场规模约为265.3亿美元，预计2026年增至300.1亿美元，2032年达到669.4亿美元，CAGR为14.13%。DataIntelo的预测则更为保守，认为2025年市场规模为148亿美元，2034年达到396亿美元。</w:t>
      </w:r>
    </w:p>
    <w:p>
      <w:pPr>
        <w:ind w:firstLine="420"/>
      </w:pPr>
      <w:r>
        <w:t>数据口径差异的主要原因在于统计范围的宽窄——狭义的光模块仅指可插拔收发器（如SFP、QSFP-DD等），而广义的光模块市场还包括嵌入式光模块、AOC有源光缆、EOM等。从产业研究的角度，我们更关注数通光模块这一核心细分市场。据Cignal AI的数据，高速数通光模块（400G/800G/1.6T）市场规模从2024年的约90亿美元增长至2025年的约120亿美元，预计2026年将进一步扩大。LightCounting预测，AI集群用的光模块、LPO和CPO市场到2026年将超过100亿美元，到2030年翻倍。</w:t>
      </w:r>
    </w:p>
    <w:p>
      <w:pPr>
        <w:ind w:firstLine="420"/>
      </w:pPr>
      <w:r>
        <w:t>驱动光模块市场增长的核心因素是AI算力需求的爆发。大模型训练需要万卡级别的GPU集群，每个GPU需要100Gbps以上的互联带宽。以组建三层网络为例，GPU和光模块的配置比约为1:3.5，即每张GPU需要3.5个光模块。以一个包含10万张GPU的AI集群为例，光模块需求量高达35万只。全球主要科技巨头2025年部署的AI优化服务器约120万台，每台集成8-16颗GPU加速器，对应的光模块需求量极大。据讯石光通讯网的数据，2025年北美数通市场800G光模块需求量达到2000万只量级，1.6T光模块需求量在数十万到百万量级。中国数通市场方面，400G光模块2025年需求量超过600万只，800G光模块需求也在快速增长。</w:t>
      </w:r>
    </w:p>
    <w:p>
      <w:pPr>
        <w:pStyle w:val="Heading2"/>
      </w:pPr>
      <w:r>
        <w:t>2.3 技术演进路径：100G→400G→800G→1.6T→3.2T</w:t>
      </w:r>
    </w:p>
    <w:p>
      <w:pPr>
        <w:ind w:firstLine="420"/>
      </w:pPr>
      <w:r>
        <w:t>光模块的技术演进遵循着明确的代际路径，每一代产品的速率大约是上一代的2倍，周期约为2-3年。当前，光模块行业正处于从800G向1.6T过渡的关键时期。</w:t>
      </w:r>
    </w:p>
    <w:p>
      <w:pPr>
        <w:ind w:firstLine="420"/>
      </w:pPr>
      <w:r>
        <w:t>400G光模块自2020年左右开始规模商用，经历了初期需求不足到2023-2024年的快速增长。目前400G仍是数据中心部署的主流选择之一，尤其在非AI场景中应用广泛。随着800G的渗透率提升，400G的需求增速有所放缓，但考虑到现有数据中心的兼容性和成本因素，400G在未来2-3年内仍将保持相当的出货量。</w:t>
      </w:r>
    </w:p>
    <w:p>
      <w:pPr>
        <w:ind w:firstLine="420"/>
      </w:pPr>
      <w:r>
        <w:t>800G光模块自2023年开始小批量出货，2024年进入规模商用阶段。据Cignal AI的数据，2024年全球400G和800G数通光模块出货量超过2000万只，高速数通光模块市场规模约90亿美元。800G光模块的出货量在2025年预计增长约60%，成为光模块市场收入增长的最大贡献者。800G光模块的技术方案主要包括2x400G（DR4/FR4）和8x100G（SR8）两种路线。其中，2x400G方案采用200G/lane技术，是当前高端市场的首选方案，带宽效率更高、功耗更低。博通Tomahawk 5交换芯片和英伟达Quantum-2 InfiniBand交换机均支持800G端口，推动了800G光模块的大规模部署。</w:t>
      </w:r>
    </w:p>
    <w:p>
      <w:pPr>
        <w:ind w:firstLine="420"/>
      </w:pPr>
      <w:r>
        <w:t>1.6T光模块是当前行业最前沿的产品。英伟达在2024年ComputeX大会上展示了下一代网络路线图，Blackwell Ultra和Rubin GPU计划于2025-2026年推出，配套的网络设备将支持1.6T速率。中际旭创在投资者调研中明确表示，AI大客户已经提出了1.6T光模块的需求，真正的规模上量将在2025年开始。据行业数据，2025年全球1.6T光模块需求约为300-500万只，出货量预计低于100万只，但增速惊人。Coherent CEO James Anderson在2025年末表示，1.6T光模块的上量速度快于前几代产品。1.6T光模块的技术方案主要为8x200G，高度依赖硅光技术和EML/CW光源芯片。</w:t>
      </w:r>
    </w:p>
    <w:p>
      <w:pPr>
        <w:ind w:firstLine="420"/>
      </w:pPr>
      <w:r>
        <w:t>展望未来，3.2T光模块的预研工作已经开始。中际旭创已启动3.2T CPO的研发工作。3.2T光模块预计采用16x200G或更高速率的方案，需要224G PAM4 SerDes和更先进的封装技术。不过，3.2T产品的规模化商用预计要到2027-2028年。</w:t>
      </w:r>
    </w:p>
    <w:p>
      <w:pPr>
        <w:pStyle w:val="Heading2"/>
      </w:pPr>
      <w:r>
        <w:t>2.4 竞争格局分析</w:t>
      </w:r>
    </w:p>
    <w:p>
      <w:pPr>
        <w:ind w:firstLine="420"/>
      </w:pPr>
      <w:r>
        <w:t>光模块市场的竞争格局在过去数年间发生了深刻变化。中国企业在全球光模块市场的份额持续提升，目前在TOP10中占据7席，展现出强大的竞争力。根据LightCounting的排名，全球光模块市场份额排名中，中际旭创已跃居全球第一，新易盛排名第三，华工科技和光迅科技也位居前列。全球光模块市场已从"美日韩主导"转变为"中国企业主导"的格局。</w:t>
      </w:r>
    </w:p>
    <w:p>
      <w:pPr>
        <w:ind w:firstLine="420"/>
      </w:pPr>
      <w:r>
        <w:t>中际旭创是当前全球光模块的绝对龙头。2024年，公司实现营业收入238.62亿元，同比增长122.64%；归属于上市公司股东的净利润51.71亿元，同比增长137.93%。其中，光通信收发模块业务收入228.86亿元，占总营收95.9%，同比增长124.77%。毛利率提升至33.81%，同比增加0.81个百分点。800G产品成为收入主力，推动产品结构持续优化。2025年上半年，公司净利润约45亿元，继续保持高速增长。公司已率先建成首条CPO量产线，量产进度领先同行约6个月，自研硅光芯片成功应用于800G/1.6T模块，核心组件自制率高，成本控制能力突出。</w:t>
      </w:r>
    </w:p>
    <w:p>
      <w:pPr>
        <w:ind w:firstLine="420"/>
      </w:pPr>
      <w:r>
        <w:t>新易盛是近年来的强势崛起者。2024年公司实现营业收入86.47亿元，同比增长179.15%；归母净利润28.38亿元，同比增长312.26%。2025年上半年净利润达39.42亿元，直逼中际旭创的约45亿元，展现出极强的追赶势头。公司推出了基于单波200G光器件的800G/1.6T光模块产品，在硅光技术和LPO（线性直驱光模块）技术方面有积极布局。值得注意的是，新易盛以更低的产品价格实现了更强的盈利水准，这与其出色的成本控制和工艺优化能力密切相关。</w:t>
      </w:r>
    </w:p>
    <w:p>
      <w:pPr>
        <w:ind w:firstLine="420"/>
      </w:pPr>
      <w:r>
        <w:t>光迅科技作为国内光模块领域的传统强者，在电信光模块市场保持优势地位，同时在数通市场也在积极追赶。华工科技2024年营收达117.09亿元，位列光通信行业第二。天孚通信作为光模块上游的光器件平台型企业，2024年预计归母净利润12.55-14.01亿元，为多家光模块客户提供光无源器件和组件。</w:t>
      </w:r>
    </w:p>
    <w:p>
      <w:pPr>
        <w:ind w:firstLine="420"/>
      </w:pPr>
      <w:r>
        <w:t>在海外竞争对手方面，Coherent（原II-VI与Coherent合并）和Lumentum是全球光通信器件和模块领域的主要玩家。Coherent在800G ZR/ZR+相干光模块市场占据领先地位，Lumentum则是EML激光器芯片的全球主要供应商（市占率30-40%）。不过，在可插拔数通光模块领域，中国企业的市场份额优势已经非常明显。住友电工等日本企业在高端光芯片领域仍有技术优势，但产能有限，2024年EML芯片产量仅2000-3000万颗，难以满足快速增长的市场需求。</w:t>
      </w:r>
    </w:p>
    <w:p>
      <w:pPr>
        <w:pStyle w:val="Heading2"/>
      </w:pPr>
      <w:r>
        <w:t>2.5 AI驱动的需求逻辑：GPU集群互联</w:t>
      </w:r>
    </w:p>
    <w:p>
      <w:pPr>
        <w:ind w:firstLine="420"/>
      </w:pPr>
      <w:r>
        <w:t>光模块需求增长的根本逻辑是AI训练和推理对GPU集群互联的极致追求。大模型训练需要数千至数万张GPU协同工作，高效的集群互联是确保训练效率和规模的关键。英伟达的GPU集群互联方案包括两层：Scale-Up（NVLink/NVSwitch）用于同一节点内GPU之间的高带宽互联，Scale-Out（网络交换）用于不同节点之间的互联。</w:t>
      </w:r>
    </w:p>
    <w:p>
      <w:pPr>
        <w:ind w:firstLine="420"/>
      </w:pPr>
      <w:r>
        <w:t>在Scale-Up层面，英伟达采用NVLink互联技术，单GPU双向带宽可达900GB/s（Blackwell架构），远高于以太网或InfiniBand的网络带宽。这部分互联主要通过铜缆和PCB实现，对光模块的需求较少。在Scale-Out层面，英伟达通过Quantum系列InfiniBand交换机和Spectrum系列以太网交换机构建大规模集群网络。这部分网络需要大量的光模块来实现交换机与交换机之间、交换机与服务器之间的互联。</w:t>
      </w:r>
    </w:p>
    <w:p>
      <w:pPr>
        <w:ind w:firstLine="420"/>
      </w:pPr>
      <w:r>
        <w:t>以典型的三层Spine-Leaf网络架构为例：Leaf交换机连接服务器，每台Leaf交换机配备数十个光模块（400G或800G）；Spine交换机连接Leaf交换机，配备更多高速光模块（800G或1.6T）。在一个包含3万张GPU的集群中，光模块的总需求量可达10万只以上。更重要的是，随着GPU算力的提升（从H100到B200再到Rubin），对网络带宽的需求同步增长，推动光模块从400G→800G→1.6T持续迭代，不仅出货量增长，单只光模块的价值量也在大幅提升。</w:t>
      </w:r>
    </w:p>
    <w:p>
      <w:pPr>
        <w:ind w:firstLine="420"/>
      </w:pPr>
      <w:r>
        <w:t>从投资逻辑的角度，光模块需求的核心跟踪指标包括：（1）全球AI服务器的出货量和GPU加速卡的搭载量；（2）主要云厂商的AI资本开支计划；（3）新GPU架构的网络带宽需求和配套光模块方案；（4）光模块各速率的渗透率和出货量变化。目前来看，以上指标均指向光模块市场在未来2-3年内将保持强劲增长。</w:t>
      </w:r>
    </w:p>
    <w:p>
      <w:pPr>
        <w:pStyle w:val="Heading1"/>
      </w:pPr>
      <w:r>
        <w:t>第三章 硅光技术与CPO：下一代光互连</w:t>
      </w:r>
    </w:p>
    <w:p>
      <w:pPr>
        <w:pStyle w:val="Heading2"/>
      </w:pPr>
      <w:r>
        <w:t>3.1 硅光技术原理与优势</w:t>
      </w:r>
    </w:p>
    <w:p>
      <w:pPr>
        <w:ind w:firstLine="420"/>
      </w:pPr>
      <w:r>
        <w:t>硅光技术（Silicon Photonics）是将光学器件集成在硅基衬底上的技术，利用成熟的CMOS半导体制造工艺来实现光子器件与电子芯片的高密度集成。硅光技术的基本原理是利用硅材料的高折射率差，通过光波导结构来引导和调制光信号。通过在硅芯片上集成调制器（如Mach-Zehnder调制器或微环调制器）、光栅耦合器、分束器等光学元件，再搭配外部激光光源，可以实现高度集成的光收发功能。</w:t>
      </w:r>
    </w:p>
    <w:p>
      <w:pPr>
        <w:ind w:firstLine="420"/>
      </w:pPr>
      <w:r>
        <w:t>硅光技术的主要优势在于：（1）高集成度，可以在单芯片上集成数百个光学元件，大幅缩小光模块的尺寸；（2）利用成熟的CMOS制造工艺，具备规模化量产能力和成本下降潜力；（3）低功耗，光信号传输的能耗远低于电信号传输；（4）与电子芯片的良好兼容性，为后续的光电融合奠定基础。</w:t>
      </w:r>
    </w:p>
    <w:p>
      <w:pPr>
        <w:ind w:firstLine="420"/>
      </w:pPr>
      <w:r>
        <w:t>在光模块的应用中，硅光技术目前主要用于800G和1.6T产品。预计2025年硅光在光模块中的渗透率将达到30-50%，其中1.6T光模块中硅光的渗透率可能超过80%。硅光芯片的全球销售额从2023年的约8亿美元增长至2029年预计的约30亿美元（来源：LightCounting）。台积电、Tower Semiconductor、GlobalFoundries等晶圆代工厂商已建立硅光代工产线，博通、英特尔、Cisco等公司均有成熟的硅光产品。国内方面，中芯国际等代工厂也在积极推进硅光代工能力的建设。</w:t>
      </w:r>
    </w:p>
    <w:p>
      <w:pPr>
        <w:pStyle w:val="Heading2"/>
      </w:pPr>
      <w:r>
        <w:t>3.2 CPO共封装光学技术进展</w:t>
      </w:r>
    </w:p>
    <w:p>
      <w:pPr>
        <w:ind w:firstLine="420"/>
      </w:pPr>
      <w:r>
        <w:t>CPO（Co-Packaged Optics，共封装光学）是将光引擎（光收发组件）与交换芯片（ASIC）或GPU芯片直接封装在同一基板上的技术。与传统的可插拔光模块相比，CPO缩短了光电转换的距离（从厘米级缩短至毫米级），可以显著降低功耗、提高带宽密度和信号完整性。据行业估计，CPO技术可带来约3.5倍的能效提升。</w:t>
      </w:r>
    </w:p>
    <w:p>
      <w:pPr>
        <w:ind w:firstLine="420"/>
      </w:pPr>
      <w:r>
        <w:t>CPO技术的发展进程经历了从概念验证到小规模试产的阶段。2023-2025年，CPO技术突然成为行业焦点，这是技术演进、市场需求和产业布局多重因素共同作用的结果。LightCounting预计，CPO出货将从800G和1.6T端口开始，于2024-2025年开始商用，2026-2027年开始规模上量，主要应用于超大型云服务商的数通短距场景。英伟达计划在2025-2026年的硬件中有限使用CPO技术。</w:t>
      </w:r>
    </w:p>
    <w:p>
      <w:pPr>
        <w:ind w:firstLine="420"/>
      </w:pPr>
      <w:r>
        <w:t>台积电在CPO领域扮演关键角色，与博通、英伟达等大客户联手开发硅光及CPO光学元件，2025年有望迈入放量产出阶段。中际旭创已率先建成首条CPO量产线，并启动3.2T CPO的研发工作。不过，CPO技术的商业化仍面临可靠性验证、散热设计、供应链整合等挑战，短期内不会完全替代可插拔光模块，而是与其形成互补。对于投资者而言，CPO的量产进度和渗透率是重要的跟踪变量。</w:t>
      </w:r>
    </w:p>
    <w:p>
      <w:pPr>
        <w:pStyle w:val="Heading2"/>
      </w:pPr>
      <w:r>
        <w:t>3.3 光芯片产业链与国产替代</w:t>
      </w:r>
    </w:p>
    <w:p>
      <w:pPr>
        <w:ind w:firstLine="420"/>
      </w:pPr>
      <w:r>
        <w:t>光芯片是光模块的核心组件，主要包括激光器芯片（DFB、EML、VCSEL）和探测器芯片（PIN、APD）。在光模块成本中，光芯片占比约26%，在高速产品中超过50%，因此光芯片的自主化水平直接决定了光模块企业的盈利能力和供应链安全。</w:t>
      </w:r>
    </w:p>
    <w:p>
      <w:pPr>
        <w:ind w:firstLine="420"/>
      </w:pPr>
      <w:r>
        <w:t>当前，全球EML芯片市场主要由Lumentum（市占率30-40%）、住友电工等海外企业主导。EML芯片订单排期已至2026年中，渠道库存天数增至60天，供给严重紧张。国内企业源杰科技是国内少数具备磷化铟（InP）激光器芯片全自主工艺能力的厂商，其100G EML芯片已完成设计定型，2025年进入量产爬坡阶段，良率突破85%。仕佳光子的CW激光器也已获客户验证并小批量出货，50mW-200mW全系列产品完成产能配置。源杰科技的70mW CW产品已批量交付，100mW产品完成客户验证。</w:t>
      </w:r>
    </w:p>
    <w:p>
      <w:pPr>
        <w:ind w:firstLine="420"/>
      </w:pPr>
      <w:r>
        <w:t>在DFB激光器芯片领域，国内企业已实现较大突破，25G DFB激光器芯片的国产化率从2020年的不足5%跃升至2023年的约25%，源杰科技、云岭光电等企业已具备国际竞争力。硅光CW光源是另一个国产替代的重要方向。CW光源供给短缺问题突出，这为源杰科技、仕佳光子等国内企业提供了切入供应链的契机。根据中国电子元件协会的规划，到2025年，国内光芯片总产能将提升至26万片/月，武汉、苏州、厦门三大光芯片产业集群已初步形成。</w:t>
      </w:r>
    </w:p>
    <w:p>
      <w:pPr>
        <w:ind w:firstLine="420"/>
      </w:pPr>
      <w:r>
        <w:t>然而，高端光芯片的国产化仍面临较大挑战。EML芯片的高端型号（100G及以上速率）仍是海外企业的优势领域，国产化率较低。光芯片制造工艺复杂，涉及MOCVD外延生长、光栅制作、端面镀膜等多个精密工艺环节，良率和一致性是核心难点。不过，供需错配和地缘政治因素正在加速国产替代的进程，预计未来2-3年内国内光芯片企业将在高速EML和CW光源领域取得更大突破。</w:t>
      </w:r>
    </w:p>
    <w:p>
      <w:pPr>
        <w:pStyle w:val="Heading1"/>
      </w:pPr>
      <w:r>
        <w:t>第四章 PCB行业深度分析</w:t>
      </w:r>
    </w:p>
    <w:p>
      <w:pPr>
        <w:pStyle w:val="Heading2"/>
      </w:pPr>
      <w:r>
        <w:t>4.1 PCB行业概述与市场规模</w:t>
      </w:r>
    </w:p>
    <w:p>
      <w:pPr>
        <w:ind w:firstLine="420"/>
      </w:pPr>
      <w:r>
        <w:t>PCB（Printed Circuit Board，印制电路板）是电子产品的核心基础组件，为电子元器件提供电气连接和机械支撑。PCB行业是全球电子制造业的重要支柱，产值规模巨大。根据Prismark的数据，2024年全球PCB市场规模约为876亿美元，预计2025年将超过900亿美元，复合年增长率约5.2%。中国是全球最大的PCB生产国，占全球产能的50%以上。全球PCB市场的集中度较低，CR5约为34%，鹏鼎控股（12%）、东山精密（8%）、健鼎科技（5%）、深南电路（5%）、华通（4%）是排名前五的企业。</w:t>
      </w:r>
    </w:p>
    <w:p>
      <w:pPr>
        <w:ind w:firstLine="420"/>
      </w:pPr>
      <w:r>
        <w:t>从产品结构来看，PCB行业可分为多层板、HDI（高密度互连板）、IC载板、柔性板（FPC）等。其中，多层板是传统的主流产品，应用范围最广。HDI板具有更高的线路密度和更小的孔径，主要用于智能手机、服务器等高密度电子设备。IC载板是半导体封装的核心载体，技术门槛最高，价值量最大，但主要被日本和台湾企业主导。</w:t>
      </w:r>
    </w:p>
    <w:p>
      <w:pPr>
        <w:ind w:firstLine="420"/>
      </w:pPr>
      <w:r>
        <w:t>AI浪潮为PCB行业带来了结构性增长机遇。Prismark预计2023-2026年全球PCB产值的复合增长率为14%，远高于历史平均水平。2025年A股PCB板块38家上市公司前三季度营收总额突破1560亿元，净利润超168亿元，双双创下历史同期新高。AI服务器PCB需求占比从2025年的15%跃升至2026年的25%以上（来源：UGPCB），成为行业增长的核心驱动力。</w:t>
      </w:r>
    </w:p>
    <w:p>
      <w:pPr>
        <w:pStyle w:val="Heading2"/>
      </w:pPr>
      <w:r>
        <w:t>4.2 高频高速板与AI服务器PCB</w:t>
      </w:r>
    </w:p>
    <w:p>
      <w:pPr>
        <w:ind w:firstLine="420"/>
      </w:pPr>
      <w:r>
        <w:t>AI服务器对PCB的要求远高于传统服务器和消费电子产品。首先，AI服务器PCB需要更高的层数——传统服务器PCB通常为8-16层，而AI服务器PCB层数可达20-30层甚至更高，以确保足够多的信号层和电源层。其次，高频高速材料是必不可少的，AI服务器需要支持PCIe 5.0（32GT/s）、DDR5（8Gbps及以上）等高速接口，对PCB基材的介电常数、介质损耗等指标要求极高。第三，HDI技术的应用越来越广泛，高阶HDI可以实现更高的布线密度和更小的过孔尺寸，满足AI芯片的高密度封装需求。</w:t>
      </w:r>
    </w:p>
    <w:p>
      <w:pPr>
        <w:ind w:firstLine="420"/>
      </w:pPr>
      <w:r>
        <w:t>AI服务器PCB的ASP（平均售价）远高于普通PCB。据行业数据，AI服务器PCB的平均售价约为560美元/件，远高于普通PCB的几十美元。2024年全球AI服务器PCB产能约为58万件，市场规模约120亿美元。国内企业深南电路、沪电股份等在该领域的市场份额已超过30%（来源：Nepcon China，2025年9月）。随着AI服务器的持续放量，预计2025年全球AI服务器PCB市场需求将增长至约190亿美元，年增速超过20%。</w:t>
      </w:r>
    </w:p>
    <w:p>
      <w:pPr>
        <w:ind w:firstLine="420"/>
      </w:pPr>
      <w:r>
        <w:t>从技术演进的角度，AI服务器PCB正在向更高层数、更精细线路和更先进材料方向迭代。未来几年，支持224G PAM4 SerDes的PCB、集成SoCAMM（压缩连接存储模块）的PCB、以及面向下一代GPU封装的高密度PCB将成为技术竞争的焦点。这些技术要求对PCB制造商的工艺能力、品质管控和良率提升提出了更高要求，具备高端制造能力的企业将获得更大的市场份额和利润空间。</w:t>
      </w:r>
    </w:p>
    <w:p>
      <w:pPr>
        <w:pStyle w:val="Heading2"/>
      </w:pPr>
      <w:r>
        <w:t>4.3 覆铜板（CCL）产业链分析</w:t>
      </w:r>
    </w:p>
    <w:p>
      <w:pPr>
        <w:ind w:firstLine="420"/>
      </w:pPr>
      <w:r>
        <w:t>覆铜板（Copper Clad Laminate，CCL）是PCB的核心原材料，在PCB成本中占比约30-40%。覆铜板由铜箔、树脂（环氧树脂、聚酰亚胺等）、玻璃纤维布等原材料经过层压工艺制成。覆铜板的性能直接决定了PCB的电气性能、热性能和可靠性。2024年全球覆铜板行业产值约为138亿美元（来源：前瞻产业研究院）。</w:t>
      </w:r>
    </w:p>
    <w:p>
      <w:pPr>
        <w:ind w:firstLine="420"/>
      </w:pPr>
      <w:r>
        <w:t>覆铜板市场呈现较高的集中度，CR5超过55%。全球主要厂商包括建滔积层板（市占率约10-15%）、生益科技（10-15%）、台光电子（10-15%）、南亚塑料（5-10%）、松下（5-10%）（来源：生益科技深度研报，开源证券，2025年5月）。其中，建滔积层板是全球最大的覆铜板生产商，业务覆盖从上游原材料（铜箔、玻纤布、树脂）到下游PCB的全产业链。生益科技是国内最大的覆铜板和PCB一体化企业，近年来积极布局高速高频CCL产品，已实现多款高速材料的产品化和量产。</w:t>
      </w:r>
    </w:p>
    <w:p>
      <w:pPr>
        <w:ind w:firstLine="420"/>
      </w:pPr>
      <w:r>
        <w:t>AI服务器PCB的需求增长正在带动覆铜板产品结构向高端化升级。传统FR-4覆铜板已无法满足AI服务器对高频高速性能的要求，高端CCL材料（如生益科技的S7136/S7439系列、松下的MEGTRON系列、Rogers的RO4000系列等）的需求快速增长。这些高端材料的单价远高于普通FR-4，毛利率通常在20-35%之间。生益科技作为国内高速CCL的领先者，其高端产品正受益于AI服务器的放量。不过，在超高端CCL材料领域（如极低损耗材料），日本企业松下和美国企业Rogers仍占据技术优势，国产替代空间较大。</w:t>
      </w:r>
    </w:p>
    <w:p>
      <w:pPr>
        <w:ind w:firstLine="420"/>
      </w:pPr>
      <w:r>
        <w:t>覆铜板的上游原材料中，电子铜箔和玻璃纤维布也是值得关注的关键环节。电子铜箔是覆铜板导电层的基础材料，高端电子铜箔（超薄铜箔、低轮廓铜箔）的供应主要集中在日本（三井金属、日本电解）和韩国（乐金化学）企业手中，国内企业如诺德股份、嘉元科技等正在积极推进高端铜箔的国产化。玻璃纤维布的供应相对集中，国内企业中国巨石是全球最大的玻璃纤维生产商，但在电子级玻纤布领域，台玻、南亚塑胶等台湾企业仍有优势。</w:t>
      </w:r>
    </w:p>
    <w:p>
      <w:pPr>
        <w:pStyle w:val="Heading2"/>
      </w:pPr>
      <w:r>
        <w:t>4.4 竞争格局与核心企业</w:t>
      </w:r>
    </w:p>
    <w:p>
      <w:pPr>
        <w:ind w:firstLine="420"/>
      </w:pPr>
      <w:r>
        <w:t>中国PCB行业在AI浪潮中呈现出明确的分化趋势：面向AI算力和数据中心的高端PCB企业业绩爆发式增长，而面向传统消费电子的中低端PCB企业增长相对缓慢。这种分化造就了一批"AI PCB概念股"的崛起。</w:t>
      </w:r>
    </w:p>
    <w:p>
      <w:pPr>
        <w:ind w:firstLine="420"/>
      </w:pPr>
      <w:r>
        <w:t>胜宏科技是本轮AI PCB行情的最大受益者之一。公司以AI服务器和高性能算力PCB为核心业务方向，2025年第一季度实现营业收入43.12亿元，同比增长80.31%，AI算力和数据中心相关产品收入占比超过40%；归母净利润9.21亿元，同比暴增339.22%。2025年第二季度毛利率达38.83%，同比提升17.14个百分点，净利率达25.91%，同比提升15.79个百分点。前三季度净利润增长324.38%。以2025年第一季度AI及高性能算力PCB收入规模计算，胜宏科技在该领域的市场份额位居全球第一。公司在高阶HDI技术上具备显著优势和先发地位，产能稀缺性突出。不过，公司估值较高，2025年PE约59倍，显著高于行业均值。</w:t>
      </w:r>
    </w:p>
    <w:p>
      <w:pPr>
        <w:ind w:firstLine="420"/>
      </w:pPr>
      <w:r>
        <w:t>沪电股份是另一家深度受益于AI的PCB龙头企业。公司在高速网络交换机相关产品方面表现突出，2025年上半年高速网络交换机产品收入同比增长161.46%。公司800G交换机产品已实现批量出货，并率先布局下一代1.6T交换机技术，已进入客户打样认证阶段。公司持续加大产能扩张和关键制程投资，预计2025年下半年产能将得到有效改善。</w:t>
      </w:r>
    </w:p>
    <w:p>
      <w:pPr>
        <w:ind w:firstLine="420"/>
      </w:pPr>
      <w:r>
        <w:t>深南电路在AI服务器PCB和IC载板领域均有布局，是国内少数同时具备高端PCB和封装基板能力的上市公司。2025年第一季度数据中心领域订单量环比持续增长。据市场数据，阿里云2025年上半年AI服务器采购量同比增长60%，其中深南电路的PCB产品占比约25%。公司深耕通信设备PCB多年，在客户关系和产品品质方面积累了深厚优势。</w:t>
      </w:r>
    </w:p>
    <w:p>
      <w:pPr>
        <w:ind w:firstLine="420"/>
      </w:pPr>
      <w:r>
        <w:t>鹏鼎控股是全球最大的PCB生产企业之一，主要业务集中在消费电子领域（苹果供应链），2025年前三季度实现营业收入268.55亿元，同比增长14.34%；归母净利润24.07亿元，同比增长21.23%。公司也在积极拓展AI服务器PCB业务，稳步推进新产品的认证和投产。但与胜宏科技、沪电股份等相比，鹏鼎控股在AI领域的收入占比和利润弹性相对较低，估值倍数也相对较低（PE约34倍）。</w:t>
      </w:r>
    </w:p>
    <w:p>
      <w:pPr>
        <w:ind w:firstLine="420"/>
      </w:pPr>
      <w:r>
        <w:t>东山精密同样是PCB行业的重要参与者，业务涵盖柔性板（FPC）、刚性板和组件组装，正在积极拓展AI服务器PCB投资项目。生益科技作为覆铜板龙头企业，通过CCL和PCB一体化优势在高端材料领域逐步突破。景旺电子、奥士康、崇达技术等企业也在积极布局AI相关的高端PCB产品。整体来看，PCB行业正在经历从"以量取胜"到"以质取胜"的结构性升级。</w:t>
      </w:r>
    </w:p>
    <w:p>
      <w:pPr>
        <w:pStyle w:val="Heading1"/>
      </w:pPr>
      <w:r>
        <w:t>第五章 产业链上下游分析</w:t>
      </w:r>
    </w:p>
    <w:p>
      <w:pPr>
        <w:pStyle w:val="Heading2"/>
      </w:pPr>
      <w:r>
        <w:t>5.1 网络芯片：博通、Marvell的主导地位</w:t>
      </w:r>
    </w:p>
    <w:p>
      <w:pPr>
        <w:ind w:firstLine="420"/>
      </w:pPr>
      <w:r>
        <w:t>网络交换芯片是数据通信网络的核心，其性能直接决定了网络的带宽、时延和端口密度。当前全球数据中心以太网交换芯片市场高度集中，博通占据约80%的市场份额，Marvell占据剩余的大部分份额，两家公司合计市场份额超过80%（来源：IEEE ComSoc技术博客，2025年1月）。Cisco拥有自研的交换芯片，但主要用于自有品牌交换机。</w:t>
      </w:r>
    </w:p>
    <w:p>
      <w:pPr>
        <w:ind w:firstLine="420"/>
      </w:pPr>
      <w:r>
        <w:t>博通在数据中心网络芯片领域的统治地位建立在Tomahawk系列交换芯片的成功之上。从Tomahawk 3（12.8Tbps）到Tomahawk 4（25.6Tbps）再到2024年推出的Tomahawk 5（51.2Tbps），博通持续引领交换芯片的带宽升级。2025年，博通发布了Tomahawk 6 Davisson交换芯片，继续巩固其在以太网硬件集成领域的领先地位。博通还推出了CPO版本的Tomahawk 4 Humboldt和Tomahawk 5 Bailly，将光电共封装技术引入交换芯片。据The Next Platform报道，博通仅AI业务的规模就接近Marvell的全部业务收入。</w:t>
      </w:r>
    </w:p>
    <w:p>
      <w:pPr>
        <w:ind w:firstLine="420"/>
      </w:pPr>
      <w:r>
        <w:t>Marvell虽然规模较小，但增长迅速。公司的Teralynx系列以太网交换芯片面向云数据中心和AI数据中心市场，提供统一的交换解决方案。Marvell还在定制ASIC（专用芯片）领域发力，与多家云服务商合作开发定制AI加速芯片和定制交换芯片。2026年，Marvell有望推出支持更高带宽的新一代交换芯片。Marvell的增长逻辑在于为寻求博通替代方案的云服务商提供多元化的选择。</w:t>
      </w:r>
    </w:p>
    <w:p>
      <w:pPr>
        <w:ind w:firstLine="420"/>
      </w:pPr>
      <w:r>
        <w:t>网络交换芯片的演进路线直接决定了光模块的速率需求和PCB的设计要求。Tomahawk 5（51.2Tbps）支持800G端口，推动了800G光模块和配套PCB的大规模部署。下一代交换芯片将支持1.6T端口，这将驱动1.6T光模块和更高规格PCB的需求。因此，跟踪博通和Marvell的芯片路线图，对于判断光模块和PCB的技术迭代节奏和需求时间节点至关重要。</w:t>
      </w:r>
    </w:p>
    <w:p>
      <w:pPr>
        <w:pStyle w:val="Heading2"/>
      </w:pPr>
      <w:r>
        <w:t>5.2 交换机市场格局</w:t>
      </w:r>
    </w:p>
    <w:p>
      <w:pPr>
        <w:ind w:firstLine="420"/>
      </w:pPr>
      <w:r>
        <w:t>以太网交换机市场的格局正在因AI而发生深刻变化。传统上，Cisco在企业级网络交换机市场占据主导地位，但在AI数据中心的Scale-Out网络中，白盒交换机（White-box Switch）的模式越来越流行。白盒交换机采用博通或Marvell的商用交换芯片，搭配开源网络操作系统，由ODM厂商代工生产。这种模式大幅降低了成本，同时提供了更高的灵活性，受到AWS、Meta、微软等超大规模云服务商的青睐。</w:t>
      </w:r>
    </w:p>
    <w:p>
      <w:pPr>
        <w:ind w:firstLine="420"/>
      </w:pPr>
      <w:r>
        <w:t>Arista Networks是当前AI数据中心交换机市场的重要供应商，与Meta、微软等客户建立了深度合作关系。Arista的7800R3系列交换机支持51.2Tbps带宽，采用博通Tomahawk 5芯片。Cisco也在积极布局AI数据中心市场，但其市场份额受到白盒交换机的侵蚀。思科和Marvell在2026年前预计不会推出成熟的AI交换芯片解决方案，这为博通和Arista的组合提供了窗口期。</w:t>
      </w:r>
    </w:p>
    <w:p>
      <w:pPr>
        <w:ind w:firstLine="420"/>
      </w:pPr>
      <w:r>
        <w:t>英伟达的Quantum系列InfiniBand交换机是AI训练集群的另一种网络选择。InfiniBand在低延迟和高效流控方面具有优势，是AI训练的首选网络方案。不过，以太网方案的成本优势正在缩小差距，Ultra Ethernet Consortium（超级以太网联盟）由AMD、Arista、博通、思科等公司联合发起，旨在提升以太网在AI场景下的性能。长期来看，以太网和InfiniBand可能在AI数据中心中并存，各自占据不同的应用场景。</w:t>
      </w:r>
    </w:p>
    <w:p>
      <w:pPr>
        <w:pStyle w:val="Heading2"/>
      </w:pPr>
      <w:r>
        <w:t>5.3 上游原材料分析</w:t>
      </w:r>
    </w:p>
    <w:p>
      <w:pPr>
        <w:ind w:firstLine="420"/>
      </w:pPr>
      <w:r>
        <w:t>光模块和PCB的产业链上游涉及多种关键原材料。在光模块方面，上游主要包括光芯片、电芯片、光组件和封装材料。光芯片（激光器和探测器芯片）是最核心的上游组件，前文已有详细分析。电芯片方面，高速光模块的DSP（数字信号处理器）主要由Marvell、Broadcom、MaxLinear等美国企业提供，这部分是光模块成本中较大的进口依赖项。光组件包括透镜、光纤阵列、隔离器、分束器等，其中部分精密光学组件依赖日本企业（如京瓷的陶瓷套管、住友的光纤阵列）的供应。封装材料方面，陶瓷基板和特种胶水的全球市场规模约28亿美元（2025年），日本京瓷和德国贺利氏主导高端市场。</w:t>
      </w:r>
    </w:p>
    <w:p>
      <w:pPr>
        <w:ind w:firstLine="420"/>
      </w:pPr>
      <w:r>
        <w:t>在PCB方面，上游核心原材料是覆铜板（CCL），覆铜板的上游是铜箔、树脂和玻璃纤维布。这三者的价格波动会直接影响PCB企业的成本和利润。近年来，电子级铜箔因新能源汽车和储能电池的需求增长而出现阶段性紧张，高端超薄铜箔的供给偏紧。树脂方面，高端电子树脂（特种环氧树脂、聚苯醚树脂等）主要依赖进口，国内企业如圣泉集团等正在推进国产化。玻璃纤维布方面，中国巨石是全球最大的玻纤生产商，但电子级玻纤布的品质与台湾企业仍有差距。</w:t>
      </w:r>
    </w:p>
    <w:p>
      <w:pPr>
        <w:pStyle w:val="Heading2"/>
      </w:pPr>
      <w:r>
        <w:t>5.4 产业协同关系梳理</w:t>
      </w:r>
    </w:p>
    <w:p>
      <w:pPr>
        <w:ind w:firstLine="420"/>
      </w:pPr>
      <w:r>
        <w:t>光模块和PCB行业之间存在着紧密的产业协同关系。首先，光模块本身也需要使用PCB作为基板，高速光模块的PCB基板对材料和工艺的要求也很高。其次，光模块和PCB共享部分上游原材料，如高速CCL材料在高端光模块PCB和AI服务器PCB中都有应用。第三，两者的下游需求都来自同一个核心驱动力——AI算力基础设施的建设。当英伟达发布新一代GPU时，不仅推动光模块向更高速率迭代，同时也要求PCB支持更高的层数和更精密的线路。</w:t>
      </w:r>
    </w:p>
    <w:p>
      <w:pPr>
        <w:ind w:firstLine="420"/>
      </w:pPr>
      <w:r>
        <w:t>从产业链的价值分布来看，AI算力基础设施的投资主要流向GPU芯片和内存芯片，光模块和PCB作为配套组件，其市场规模小于GPU芯片，但增长确定性和利润率水平较高。以一个典型AI服务器节点为例，8颗GPU的价值量约占服务器总成本的60-70%，光模块约占10-15%，PCB约占5-8%。但在投资品属性上，光模块和PCB企业的业绩弹性往往大于芯片企业，因为它们的基数更小，且竞争格局更加分散，估值弹性更大。</w:t>
      </w:r>
    </w:p>
    <w:p>
      <w:pPr>
        <w:pStyle w:val="Heading1"/>
      </w:pPr>
      <w:r>
        <w:t>第六章 通信行业宏观环境</w:t>
      </w:r>
    </w:p>
    <w:p>
      <w:pPr>
        <w:pStyle w:val="Heading2"/>
      </w:pPr>
      <w:r>
        <w:t>6.1 运营商资本开支趋势</w:t>
      </w:r>
    </w:p>
    <w:p>
      <w:pPr>
        <w:ind w:firstLine="420"/>
      </w:pPr>
      <w:r>
        <w:t>三大运营商2025年资本开支计划合计2898亿元，较2024年下降约9.1%。中国移动计划资本开支1512亿元（同比-8.5%），其中连接投资716亿元（同比-156亿元），算力投资保持增长。中国电信计划资本开支836亿元（同比-10.6%），其中移动网投资242亿元（同比-19.0%），算力投资373亿元（同比+0.5%）。中国联通资本开支规模为613.7亿元（同比-17%），其中算力投资同比上升19%。</w:t>
      </w:r>
    </w:p>
    <w:p>
      <w:pPr>
        <w:ind w:firstLine="420"/>
      </w:pPr>
      <w:r>
        <w:t>运营商资本开支的结构性调整反映了行业趋势的变化。5G网络建设已进入成熟期，基站覆盖率较高，运营商从大规模建网转向优化运营。中国移动已建成全球最大5G网络，基站数超240万，全球占比超30%，全国行政村覆盖率超90%。在投资重点上，运营商正从移动网转向算力网络，包括智算中心建设、400G算力网络覆盖扩容、AI大模型训练和迭代等。预计运营商在AI智算方面的总投资规模可能超过千亿元，占资本开支总额的三分之一。</w:t>
      </w:r>
    </w:p>
    <w:p>
      <w:pPr>
        <w:ind w:firstLine="420"/>
      </w:pPr>
      <w:r>
        <w:t>运营商的算力投资对光模块和PCB行业也有一定拉动作用，主要体现在：（1）智算中心建设需要大量的高速光模块用于内部互联；（2）400G OTN（光传送网）设备的部署需要电信级光模块；（3）AI推理服务器和存储设备需要PCB。不过，相比北美云服务商，国内运营商的算力投资规模仍相对较小，对高端光模块的拉动更多体现在400G产品上，800G的渗透率相对较低。</w:t>
      </w:r>
    </w:p>
    <w:p>
      <w:pPr>
        <w:pStyle w:val="Heading2"/>
      </w:pPr>
      <w:r>
        <w:t>6.2 5G-A演进与6G展望</w:t>
      </w:r>
    </w:p>
    <w:p>
      <w:pPr>
        <w:ind w:firstLine="420"/>
      </w:pPr>
      <w:r>
        <w:t>5G-Advanced（5G-A）是5G向6G演进的技术过渡阶段，也被称为"5.5G"。5G-A在网络速率、连接密度、定位精度等方面相比5G有显著提升，理论下行速率可达10Gbps，是5G的10倍。中国移动、中国电信、中国联通均在积极推进5G-A的商用部署，重点应用场景包括工业互联网、车联网、低空经济（无人机）等。5G-A的部署对通信设备行业的需求拉动相对温和，主要增量在于基站的升级改造和新型天线的部署。</w:t>
      </w:r>
    </w:p>
    <w:p>
      <w:pPr>
        <w:ind w:firstLine="420"/>
      </w:pPr>
      <w:r>
        <w:t>6G的研发和标准化进程正在加速。2025年被称为"6G标准制定元年"。IMT-2030（6G）推进组计划于2025年6月启动6G技术标准研究，2025-2027年完成技术研究阶段，2029年3月完成第一个版本的技术规范。3GPP已围绕6G愿景、技术路线、系统设计等开展研讨，预计最迟2026年6月敲定第一个正式的6G技术规范。中国移动在2025年7月宣布全球首发6G小规模试验网，累计部署10个站点，形成了6G十大标志性技术。</w:t>
      </w:r>
    </w:p>
    <w:p>
      <w:pPr>
        <w:ind w:firstLine="420"/>
      </w:pPr>
      <w:r>
        <w:t>从投资的角度，6G目前仍处于技术研发和标准制定阶段，距离商用落地还有4-5年时间，短期内对通信设备行业的业绩贡献有限。不过，6G将引入太赫兹通信、通感一体化、原生AI等新技术，这些技术方向值得关注。特别是太赫兹频段的使用可能催生新型射频器件和光电器件的需求，但具体影响仍需等待技术路线的进一步明确。6G的投资机会更多是长期的、主题性的，短期内不是光模块和PCB行业的主要驱动力。</w:t>
      </w:r>
    </w:p>
    <w:p>
      <w:pPr>
        <w:pStyle w:val="Heading2"/>
      </w:pPr>
      <w:r>
        <w:t>6.3 AI算力基础设施建设浪潮</w:t>
      </w:r>
    </w:p>
    <w:p>
      <w:pPr>
        <w:ind w:firstLine="420"/>
      </w:pPr>
      <w:r>
        <w:t>AI算力基础设施的建设是当前通信行业最核心的宏观变量。全球科技巨头在AI基础设施方面的投资规模已达到数千亿美元量级。2025年，全球AI服务器市场规模同比增长85%，其中英伟达芯片的搭载率超过80%（来源：EET China，2025年7月）。全球AI服务器出货量预计从2024年的约150万台增长至2025年的近190万台。高盛预计英伟达2026年收入可达3830亿美元，反映了AI芯片市场巨大的增长潜力。</w:t>
      </w:r>
    </w:p>
    <w:p>
      <w:pPr>
        <w:ind w:firstLine="420"/>
      </w:pPr>
      <w:r>
        <w:t>国内AI算力建设同样呈现加速态势。中国智能算力规模预计到2025年将达到1037.3 EFLOPS。字节跳动、阿里巴巴、腾讯、百度等互联网巨头均在加大AI算力基础设施的投入。字节跳动2025年AI资本开支大幅增长，成为全球最大的GPU采购方之一。阿里云2025年上半年AI服务器采购量同比增长60%。2026年被业界视为算力设施从"纸面规划"向"万卡集群"规模化交付的决胜之年。</w:t>
      </w:r>
    </w:p>
    <w:p>
      <w:pPr>
        <w:ind w:firstLine="420"/>
      </w:pPr>
      <w:r>
        <w:t>AI算力基础设施的投资对光模块和PCB行业的拉动是全方位的。一台AI服务器不仅需要CPU/GPU芯片和内存，还需要主板PCB、电源PCB、风扇控制PCB等多种PCB。一组AI机柜需要交换机（含交换芯片和PCB）、光模块、AOC有源光缆、铜缆等多种组件。一个AI数据中心需要大量的光模块用于各层交换机之间的互联，以及大量的高速PCB用于服务器、交换机和存储设备。可以说，每一美元的AI算力投资都会转化为对光模块和PCB的增量需求，只是转化比例和时间节点有所不同。</w:t>
      </w:r>
    </w:p>
    <w:p>
      <w:pPr>
        <w:ind w:firstLine="420"/>
      </w:pPr>
      <w:r>
        <w:t>需要关注的风险因素是AI投资泡沫的可能性。2025年3月，有分析报告指出微软可能放弃部分在美欧的新数据中心项目，引发市场对AI投资过热的担忧。蔡崇信也曾警告美国厂商的AI数据中心建设可能正出现过度建设的迹象。不过，从当前AI应用的商业化进展来看，大模型在搜索、编程、内容生成、企业服务等领域的应用正在加速落地，推理算力需求也在快速增长，短期内AI投资出现大幅回撤的概率较低。但投资者仍需密切关注AI应用的商业化变现情况和云厂商的投资回报率，作为判断投资持续性的关键指标。</w:t>
      </w:r>
    </w:p>
    <w:p>
      <w:pPr>
        <w:pStyle w:val="Heading1"/>
      </w:pPr>
      <w:r>
        <w:t>第七章 投资价值评估</w:t>
      </w:r>
    </w:p>
    <w:p>
      <w:pPr>
        <w:pStyle w:val="Heading2"/>
      </w:pPr>
      <w:r>
        <w:t>7.1 光模块行业投资价值判断</w:t>
      </w:r>
    </w:p>
    <w:p>
      <w:pPr>
        <w:ind w:firstLine="420"/>
      </w:pPr>
      <w:r>
        <w:t>从投资价值的角度，光模块行业是当前通信行业中最具确定性和弹性的细分赛道。核心判断依据如下：</w:t>
      </w:r>
    </w:p>
    <w:p>
      <w:pPr>
        <w:ind w:firstLine="420"/>
      </w:pPr>
      <w:r>
        <w:t>第一，需求增长的确定性强。光模块的需求直接绑定全球AI算力的投资节奏，而AI算力投资由全球最大的科技公司（英伟达、微软、谷歌、Meta、字节跳动等）驱动，这些公司的投资能力和意愿在短期内不会发生根本性改变。800G光模块在2025年的需求量级已达2000万只（仅北美市场），1.6T光模块也在快速起量。LightCounting预测AI集群用光模块市场到2026年将超过100亿美元，到2030年翻倍。高速数通光模块市场整体CAGR约15-18%，增长确定性很高。</w:t>
      </w:r>
    </w:p>
    <w:p>
      <w:pPr>
        <w:ind w:firstLine="420"/>
      </w:pPr>
      <w:r>
        <w:t>第二，中国企业已建立全球领先优势。中际旭创全球第一，新易盛全球第三，中国企业在全球TOP10中占据7席。这种竞争格局意味着光模块行业的超额利润主要流向中国企业，A股投资者可以较为直接地分享到行业增长的红利。更重要的是，中国企业在成本控制、规模化制造和快速响应方面具有天然优势，这种优势在技术快速迭代的时期尤为突出。</w:t>
      </w:r>
    </w:p>
    <w:p>
      <w:pPr>
        <w:ind w:firstLine="420"/>
      </w:pPr>
      <w:r>
        <w:t>第三，技术迭代带来价值量持续提升。从400G到800G再到1.6T，光模块的单价逐代提升。800G光模块的单价约为400G的2-3倍，1.6T光模块的单价更高。技术迭代不仅带来出货量的增长，更带来产品ASP的提升和毛利率的改善。中际旭创2024年毛利率提升至33.81%，新易盛2025年Q2毛利率更是高达约39%，充分体现了高端产品对盈利能力的拉动。</w:t>
      </w:r>
    </w:p>
    <w:p>
      <w:pPr>
        <w:ind w:firstLine="420"/>
      </w:pPr>
      <w:r>
        <w:t>第四，估值水平需要审慎评估。2024-2025年，光模块相关上市公司股价已有较大涨幅，市场对行业的高增长已有较多定价。以2025年的一致预期PE来看，中际旭创约25-30倍（考虑利润高速增长后的前瞻PE），新易盛约25倍。虽然相对于行业的高增长，当前估值并不算贵，但如果AI投资出现阶段性放缓，高估值个股面临调整的风险。投资者需要密切跟踪光模块的出货量、价格走势和毛利率变化。</w:t>
      </w:r>
    </w:p>
    <w:p>
      <w:pPr>
        <w:pStyle w:val="Heading2"/>
      </w:pPr>
      <w:r>
        <w:t>7.2 PCB行业投资价值判断</w:t>
      </w:r>
    </w:p>
    <w:p>
      <w:pPr>
        <w:ind w:firstLine="420"/>
      </w:pPr>
      <w:r>
        <w:t>PCB行业同样受益于AI算力建设，但投资逻辑与光模块有所不同。PCB行业的核心投资逻辑是"结构性升级带来的价值量跃迁"。</w:t>
      </w:r>
    </w:p>
    <w:p>
      <w:pPr>
        <w:ind w:firstLine="420"/>
      </w:pPr>
      <w:r>
        <w:t>第一，AI PCB的需求增长确定但弹性分化。胜宏科技2025年Q1净利润同比增长339%，沪电股份高速网络交换机产品同比增长161%，深南电路数据中心订单环比持续增长——这些数据证明AI对高端PCB的拉动是真实且强劲的。但需要注意，PCB行业内部的分化非常明显：面向AI算力的高端PCB企业业绩爆发，而面向传统消费电子的中低端PCB企业增长有限。鹏鼎控股作为全球最大的PCB厂商，2025年Q1营收增长21%但净利润下滑2%，反映了消费电子终端需求的疲软对传统PCB业务的拖累。</w:t>
      </w:r>
    </w:p>
    <w:p>
      <w:pPr>
        <w:ind w:firstLine="420"/>
      </w:pPr>
      <w:r>
        <w:t>第二，高端PCB的产能稀缺性是利润率的保障。AI服务器PCB对层数、材料精度和工艺控制的要求极高，全球能够大规模量产20层以上高端PCB的企业数量有限。胜宏科技2025年Q2毛利率达38.83%，净利率达25.91%，远高于PCB行业平均的10-15%毛利率水平，充分体现了高端产能的稀缺性溢价。沪电股份在800G交换机PCB领域已建立先发优势，产能供不应求。这种产能壁垒为新进入者设置了较高的门槛，有助于维持领先企业的利润率。</w:t>
      </w:r>
    </w:p>
    <w:p>
      <w:pPr>
        <w:ind w:firstLine="420"/>
      </w:pPr>
      <w:r>
        <w:t>第三，估值分化明显。胜宏科技2025年PE约59倍，显著高于行业均值（鹏鼎控股约34倍，生益科技约39倍）。高估值反映了市场对其AI PCB业务高增长的预期。如果公司业绩能够持续兑现，当前估值仍有支撑；但如果增长不及预期或行业竞争加剧，估值回撤的风险不可忽视。相比之下，沪电股份和深南电路的估值相对合理，且业务结构更加多元化（涵盖通信设备PCB、汽车PCB等），在AI需求波动时具备更好的抗风险能力。</w:t>
      </w:r>
    </w:p>
    <w:p>
      <w:pPr>
        <w:ind w:firstLine="420"/>
      </w:pPr>
      <w:r>
        <w:t>第四，上游CCL企业值得关注。生益科技作为国内CCL龙头，在高速CCL领域的突破将带来量价齐升的机会。高端CCL材料在AI服务器PCB中的价值量占比提升，且国产替代空间大。生益科技当前的PE约39倍，估值处于合理区间，但业绩释放节奏需要关注高端CCL产品的客户认证和量产进度。</w:t>
      </w:r>
    </w:p>
    <w:p>
      <w:pPr>
        <w:pStyle w:val="Heading2"/>
      </w:pPr>
      <w:r>
        <w:t>7.3 风险因素分析</w:t>
      </w:r>
    </w:p>
    <w:p>
      <w:pPr>
        <w:ind w:firstLine="420"/>
      </w:pPr>
      <w:r>
        <w:t>投资光模块和PCB行业面临以下主要风险：</w:t>
      </w:r>
    </w:p>
    <w:p>
      <w:pPr>
        <w:ind w:firstLine="420"/>
      </w:pPr>
      <w:r>
        <w:t>（1）AI投资周期性风险。虽然当前AI投资如火如荼，但历史上新技术投资都曾经历过泡沫和调整。如果AI应用的商业化变现不及预期，云厂商可能削减或推迟算力投资，导致光模块和PCB需求出现阶段性下滑。2025年3月微软被曝放弃部分数据中心项目的消息就是这种风险的预演。投资者需要建立对AI应用商业化进程的持续跟踪机制，关注ChatGPT等大模型产品的用户增长、付费转化率和企业采购数据。</w:t>
      </w:r>
    </w:p>
    <w:p>
      <w:pPr>
        <w:ind w:firstLine="420"/>
      </w:pPr>
      <w:r>
        <w:t>（2）地缘政治与出口管制风险。美国对中国高端芯片和技术的出口管制持续升级，可能影响国内光模块企业的海外业务。虽然光模块本身不在直接的出口管制清单上，但其下游客户（英伟达等）的中国业务受限可能间接影响国内光模块企业的订单。此外，光芯片（特别是高速EML和CW光源芯片）的进口依赖也是潜在的风险点，如果海外供应商中断供货，可能影响国内光模块企业的产能交付。</w:t>
      </w:r>
    </w:p>
    <w:p>
      <w:pPr>
        <w:ind w:firstLine="420"/>
      </w:pPr>
      <w:r>
        <w:t>（3）技术替代风险。CPO技术和NPO（Near-Packaged Optics，近封装光学）技术的商业化可能对可插拔光模块市场产生结构性冲击。如果CPO在2027-2028年实现大规模渗透，部分可插拔光模块的市场需求可能被替代。不过，从目前的进展来看，CPO在短期内（2025-2026年）主要与可插拔模块互补而非替代，但投资者需要持续关注CPO的商业化进度和对行业格局的影响。</w:t>
      </w:r>
    </w:p>
    <w:p>
      <w:pPr>
        <w:ind w:firstLine="420"/>
      </w:pPr>
      <w:r>
        <w:t>（4）行业竞争加剧风险。光模块行业的高利润率已经吸引了大量新进入者，可能导致部分产品价格竞争加剧。特别是在400G和低规格800G产品领域，随着更多企业实现量产，价格战的风险在上升。PCB行业同样面临类似问题，多家企业正在积极扩产高端PCB产能，未来1-2年可能出现供给过剩的风险。胜宏科技等行业龙头具备技术和客户壁垒，但二三线企业的盈利可能受到挤压。</w:t>
      </w:r>
    </w:p>
    <w:p>
      <w:pPr>
        <w:ind w:firstLine="420"/>
      </w:pPr>
      <w:r>
        <w:t>（5）上游原材料价格波动风险。光模块和PCB的上游原材料价格波动可能影响企业的成本和利润率。电子铜箔、树脂、玻璃纤维布等原材料的价格受供需关系和宏观经济影响较大。如果原材料价格出现大幅上涨，而企业无法将成本转嫁给下游客户，利润率可能受到压缩。反之，原材料价格下跌时，也可能导致产品售价承压。</w:t>
      </w:r>
    </w:p>
    <w:p>
      <w:pPr>
        <w:pStyle w:val="Heading2"/>
      </w:pPr>
      <w:r>
        <w:t>7.4 核心标的推荐与投资建议</w:t>
      </w:r>
    </w:p>
    <w:p>
      <w:pPr>
        <w:ind w:firstLine="420"/>
      </w:pPr>
      <w:r>
        <w:t>综合以上分析，我们提出以下投资建议（仅供研究参考，不构成投资建议）：</w:t>
      </w:r>
    </w:p>
    <w:p>
      <w:pPr>
        <w:ind w:firstLine="420"/>
      </w:pPr>
      <w:r>
        <w:t>光模块领域的首选标的为中际旭创。公司作为全球光模块绝对龙头，在800G/1.6T产品和CPO技术方面均有领先布局，核心组件自制率高，成本控制能力突出。2024年营收238.62亿元，净利润51.71亿元，同比增长均超过120%。考虑到AI算力投资的持续性和公司在高端产品上的技术优势，公司未来2-3年有望维持高速增长。建议关注800G产品出货量、1.6T产品认证和量产进度、以及CPO技术的商业化进展。</w:t>
      </w:r>
    </w:p>
    <w:p>
      <w:pPr>
        <w:ind w:firstLine="420"/>
      </w:pPr>
      <w:r>
        <w:t>光模块领域的弹性标的为新易盛。公司2024年营收86.47亿元，净利润28.38亿元，增速极为亮眼，2025年上半年净利润39.42亿元，与中际旭创的差距快速缩小。公司在LPO技术和成本控制方面有独特优势，是光模块行业增长弹性最大的标的之一。但需注意公司估值波动较大，适合风险承受能力较高的投资者。</w:t>
      </w:r>
    </w:p>
    <w:p>
      <w:pPr>
        <w:ind w:firstLine="420"/>
      </w:pPr>
      <w:r>
        <w:t>PCB领域的首选标的为沪电股份。公司在高速网络交换机PCB和AI服务器PCB领域具有深厚积累，800G交换机PCB已批量出货，1.6T产品进入打样认证阶段。公司估值相对合理（PE约30-35倍），业务多元化（涵盖通信设备、汽车电子等），抗风险能力较强。</w:t>
      </w:r>
    </w:p>
    <w:p>
      <w:pPr>
        <w:ind w:firstLine="420"/>
      </w:pPr>
      <w:r>
        <w:t>PCB领域的高弹性标的为胜宏科技。公司是全球AI PCB市场份额第一的企业，盈利能力极强（净利率25%+），AI业务收入占比超过40%。但当前估值较高（PE约59倍），需要业绩持续超预期才能支撑。建议在回调时关注介入机会。</w:t>
      </w:r>
    </w:p>
    <w:p>
      <w:pPr>
        <w:ind w:firstLine="420"/>
      </w:pPr>
      <w:r>
        <w:t>上游材料领域的关注标的为生益科技和源杰科技。生益科技是国内高速CCL龙头，受益于高端CCL国产替代趋势；源杰科技是国内光芯片领先企业，EML和CW光源芯片的量产进展值得关注。两家公司当前估值相对合理，且在各自细分领域具备较强的成长性。</w:t>
      </w:r>
    </w:p>
    <w:p>
      <w:pPr>
        <w:ind w:firstLine="420"/>
      </w:pPr>
      <w:r>
        <w:t>总体而言，光模块和PCB行业在未来2-3年内受益于AI算力建设的大趋势不会改变。投资策略上，建议优先配置行业龙头（中际旭创、沪电股份），兼顾关注弹性标的（新易盛、胜宏科技），同时关注上游材料国产替代的机会（生益科技、源杰科技）。风险控制方面，需要密切跟踪AI投资的持续性、光模块价格走势和行业竞争格局变化。</w:t>
      </w:r>
    </w:p>
    <w:p>
      <w:r>
        <w:br w:type="page"/>
      </w:r>
    </w:p>
    <w:p>
      <w:pPr>
        <w:pStyle w:val="Heading1"/>
      </w:pPr>
      <w:r>
        <w:t>免责声明</w:t>
      </w:r>
    </w:p>
    <w:p>
      <w:pPr>
        <w:ind w:firstLine="420"/>
      </w:pPr>
      <w:r>
        <w:t>本报告仅供内部研究参考，不构成任何投资建议。报告中引用的数据来源于公开市场信息、券商研究报告、企业财报及行业研究机构，作者已尽力确保数据的准确性和完整性，但不对其准确性和完整性做出任何保证。报告中的观点和判断基于公开信息和研究分析，可能随着市场环境和信息的变化而调整。投资者应根据自身情况独立做出投资决策，并自行承担投资风险。</w:t>
      </w:r>
    </w:p>
    <w:p>
      <w:pPr>
        <w:ind w:firstLine="420"/>
      </w:pPr>
      <w:r>
        <w:t>报告中的公司分析和估值判断不代表对这些公司的投资推荐，市场有风险，投资需谨慎。报告撰写日期为2025年4月，部分数据可能存在时效性限制。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黑体" w:hAnsi="黑体"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