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一、投资逻辑：AI算力浪潮下的通信基础设施黄金期</w:t>
      </w:r>
    </w:p>
    <w:p>
      <w:pPr>
        <w:ind w:firstLine="420"/>
      </w:pPr>
      <w:r>
        <w:t>通信行业正在经历一场由人工智能驱动的结构性变革。过去三年，全球云厂商资本开支的加速增长直接拉动了光模块、光芯片、光纤光缆等通信基础设施的需求，而这一趋势在2025-2026年不仅没有放缓，反而因为大模型训练与推理对网络带宽的指数级需求而进一步强化。对于投资者而言，通信行业ETF提供了一种高效参与这一产业趋势的工具——既能够捕捉光模块等高弹性赛道的成长红利，又通过指数分散化降低了个股选择的风险。当前时点，通信行业已经从5G建设周期的尾声阶段，平稳过渡到了AI算力驱动的新一轮上行周期，这一判断构成了本报告投资逻辑的核心基础。</w:t>
      </w:r>
    </w:p>
    <w:p>
      <w:pPr>
        <w:ind w:firstLine="420"/>
      </w:pPr>
      <w:r>
        <w:t>从宏观层面看，北美四大云厂商（Meta、Google、Microsoft、Amazon）2025年合计资本开支已突破3000亿美元，且2026年指引合计达到7000亿美元以上（数据来源：各公司财报及彭博一致预期）。这一资本开支的绝大部分投向AI基础设施，而其中网络互联设备——尤其是光模块——是核心支出项之一。LightCounting预测，全球以太网光模块市场到2030年将超过350亿美元，其中AI相关光模块占比将达到65%。这意味着，通信行业已经从传统的“基建周期”逻辑切换到了“AI算力周期”逻辑，其成长持续性远超市场此前预期。从产业生命周期的角度分析，当前光模块行业正处于成长期的加速阶段，产品迭代带来的量价齐升效应叠加AI需求的持续拉动，使得行业景气度有望在未来两到三年内维持在高位。</w:t>
      </w:r>
    </w:p>
    <w:p>
      <w:pPr>
        <w:ind w:firstLine="420"/>
      </w:pPr>
      <w:r>
        <w:t>从产业竞争力角度，中国光模块厂商在全球市场已经确立了绝对的领先地位。2024年全球光模块前十供应商中，中国厂商占据七席，中际旭创更是登顶全球市场份额第一（数据来源：LightCounting）。这种在高端制造业领域的全球领先地位，在中国科技产业链中并不多见。更重要的是，光模块行业的壁垒并非简单的成本优势，而是来自于对高速光器件的工艺积累、客户关系的深度绑定以及产品迭代的快速响应能力，这使得领先者的护城河在AI时代仍在持续加宽。全球光模块市场的竞争格局已经从“追赶”变成了“领跑”，中国厂商正在定义下一代光模块的技术标准和产品形态。这种产业链话语权的提升，将使得产业链利润更多地留在A股上市公司中，直接增厚通信ETF持仓公司的盈利水平。</w:t>
      </w:r>
    </w:p>
    <w:p>
      <w:pPr>
        <w:ind w:firstLine="420"/>
      </w:pPr>
      <w:r>
        <w:t>从ETF标的选择角度，当前市场上有两只主流通信ETF值得关注：通信ETF华夏（515050）和通信ETF国泰（515880）。两只ETF在过去一年分别上涨203.01%和244.88%，涨幅显著跑赢沪深300指数，充分验证了通信赛道的投资价值。其中515880跟踪的中证全指通信设备指数对光模块龙头（新易盛、中际旭创）的配置权重更高，前十持仓集中度达68.49%，在AI算力行情中弹性更大；而515050跟踪的中证5G通信主题指数覆盖面更广，包含了立讯精密、兆易创新等消费电子与半导体标的，风格相对均衡。两只ETF分别代表了“纯通信”和“通信+”两种不同的投资策略，为投资者提供了灵活的选择空间。</w:t>
      </w:r>
    </w:p>
    <w:p>
      <w:pPr>
        <w:ind w:firstLine="420"/>
      </w:pPr>
      <w:r>
        <w:t>综上所述，通信行业ETF的投资逻辑可以概括为三个层次：第一，AI算力资本开支的持续高增长为通信基础设施提供了确定性的需求拉动，这一趋势的持续时间可能远超市场共识；第二，中国光模块厂商的全球领先地位确保了产业链的核心利润将留在A股市场，通信ETF成为分享这一红利的最佳工具之一；第三，ETF工具的分散化特性降低了个股选择的风险，使投资者能够以较低的信息成本参与这一产业趋势。在当前时点，通信行业ETF兼具成长性与确定性，是配置AI产业链中不可或缺的一环。从资产配置的角度来看，通信行业ETF可以作为科技成长风格组合的核心持仓，与半导体ETF、计算机ETF等形成互补，共同构建覆盖AI全产业链的投资组合。</w:t>
      </w:r>
    </w:p>
    <w:p>
      <w:pPr>
        <w:pStyle w:val="Heading1"/>
      </w:pPr>
      <w:r>
        <w:t>二、行业情况</w:t>
      </w:r>
    </w:p>
    <w:p>
      <w:pPr>
        <w:pStyle w:val="Heading2"/>
      </w:pPr>
      <w:r>
        <w:t>2.1 光模块：AI时代的网络基石</w:t>
      </w:r>
    </w:p>
    <w:p>
      <w:pPr>
        <w:ind w:firstLine="420"/>
      </w:pPr>
      <w:r>
        <w:t>光模块是通信行业中最核心、最具成长性的子板块，也是本轮AI算力浪潮中受益最直接的硬件环节。光模块的功能在于实现光电信号的转换——在发送端将电信号调制为光信号通过光纤传输，在接收端再将光信号还原为电信号。简单而言，调制就是将信息“贴”在能够远距离传输的电磁波上，这一看似基础的技术环节，却构成了整个现代通信网络的物理层基础。没有光模块，数据中心内的服务器之间、不同数据中心之间都无法进行高效的数据交换，AI模型的训练和推理也就无从谈起。因此，光模块被业界形象地称为AI算力网络的“血管”，其重要性不言而喻。</w:t>
      </w:r>
    </w:p>
    <w:p>
      <w:pPr>
        <w:ind w:firstLine="420"/>
      </w:pPr>
      <w:r>
        <w:t>从市场规模来看，全球光模块市场在2024年已达到178亿美元，预计2024至2029年的复合年增长率约为22%，到2025年市场规模将达到235亿美元（数据来源：LightCounting）。其中，数通光模块的增长更为迅猛，2023至2029年的CAGR高达27%，预计2029年市场规模将达到258亿美元。从结构上看，2024年数通光模块在整体市场中占比已达63.48%，远超电信市场的36.52%，这一比例还在持续提升。数通市场的核心驱动力来自全球大型数据中心对高速互联的旺盛需求，尤其是AI训练集群中GPU之间的海量数据交换。传统电信市场则相对稳定，主要受益于5G基站建设和城域网的扩容升级。</w:t>
      </w:r>
    </w:p>
    <w:p>
      <w:pPr>
        <w:ind w:firstLine="420"/>
      </w:pPr>
      <w:r>
        <w:t>从产品迭代节奏来看，光模块行业正经历着前所未有的加速升级周期。800G光模块在2024年的出货量约为900万支，预计2025年将突破1800万支，实现翻倍增长。而1.6T光模块在2025年已进入量产阶段，预计2026年年出货量有望超过1800万支（数据来源：LightCounting及产业链调研）。这一迭代速度远超以往400G时代的节奏，核心原因在于AI大模型对网络带宽的需求呈指数级增长。以NVIDIA的GB200超级芯片为例，单台机柜内的GPU互联带宽需求就高达数百Tbps，需要大量800G和1.6T光模块来满足。下一代模型的参数规模和训练数据量仍在快速攀升，这为光模块的需求增长提供了持续动力。</w:t>
      </w:r>
    </w:p>
    <w:p>
      <w:pPr>
        <w:ind w:firstLine="420"/>
      </w:pPr>
      <w:r>
        <w:t>中国光模块厂商在这一轮产业机遇中表现极为出色。2024年全球光模块前十供应商中，中国厂商占据七席，中际旭创以显著优势位列全球市场份额第一。从财务表现来看，光模块子行业2025年前三季度营业收入同比增长34.94%，归母净利润同比增幅更是高达128.35%，利润增速远超收入增速，反映出行业进入了一个量价齐升的高景气周期（数据来源：Wind资讯）。这种高盈利能力的背后，一方面是800G等高端产品占比提升带来的ASP（平均售价）上涨，另一方面是规模效应和良率提升带来的成本优化。值得关注的是，光模块行业的高利润率并非短期现象——由于AI对网络带宽的需求具有结构性特征，光模块的高景气度有望在中期内持续。</w:t>
      </w:r>
    </w:p>
    <w:p>
      <w:pPr>
        <w:ind w:firstLine="420"/>
      </w:pPr>
      <w:r>
        <w:t>光模块的价值量分布也值得关注。在光模块的BOM成本中，光器件占比超过70%，其中光芯片又占光器件的50%以上，电芯片占比约15%至20%。这意味着光芯片是光模块中价值量最高的环节，也是国产替代空间最大的方向。当前北美四大云厂商的资本开支不仅拉动了对光模块整体的需求，也直接驱动了上游光芯片和电芯片的景气度上行。从长期来看，AI相关光模块在整体市场中的占比预计将在2030年达到65%，这意味着光模块行业与AI产业的景气周期将深度绑定。对于通信ETF的投资者而言，理解光模块在AI产业链中的核心地位，是把握通信行业投资机会的关键所在。</w:t>
      </w:r>
    </w:p>
    <w:p>
      <w:pPr>
        <w:pStyle w:val="Heading3"/>
      </w:pPr>
      <w:r>
        <w:t>2.1.1 光芯片：国产替代的黄金窗口</w:t>
      </w:r>
    </w:p>
    <w:p>
      <w:pPr>
        <w:ind w:firstLine="420"/>
      </w:pPr>
      <w:r>
        <w:t>光芯片是光模块的核心有源器件，直接决定了光模块的传输速率、功耗和可靠性。目前，在25G及以上的高端光芯片市场中，海外龙头企业——包括Coherent（原II-VI）、Lumentum、博通（Broadcom）、三菱电机和住友电工——仍然占据主导地位。特别是在EML（电吸收调制激光器）芯片这一高端品类中，市场几乎完全被美日厂商垄断。EML芯片是400G及以上光模块的关键组件，其技术壁垒极高，涉及外延生长、纳米级加工、腔体设计等多个核心技术环节。一个合格的EML芯片需要经过数百道工序，任何一道工序的微小偏差都可能导致器件性能不达标，这使得高端光芯片的量产良率成为决定竞争格局的关键因素。</w:t>
      </w:r>
    </w:p>
    <w:p>
      <w:pPr>
        <w:ind w:firstLine="420"/>
      </w:pPr>
      <w:r>
        <w:t>然而，当前的产业格局正在为国产光芯片厂商打开一个历史性的切入窗口。从供给侧看，海外龙头虽然拥有技术优势，但在产能扩张上面临瓶颈。Lumentum的订单能见度已延伸至2028年，并预测其UHP（超高功率）激光器在2025至2030年的CAGR将超过200%。Coherent则计划在2026至2027年实现产能的连续翻倍（数据来源：各公司财报及投资者交流材料）。这种供不应求的状态意味着，海外厂商无法完全满足全球光模块行业快速增长的需求，国产厂商因此获得了宝贵的客户验证和市场份额提升机会。历史经验表明，在半导体和光通信领域，每一次全球性的产能紧张周期都是国产替代加速的关键窗口，当前的情况与此前存储芯片国产化的路径高度相似。</w:t>
      </w:r>
    </w:p>
    <w:p>
      <w:pPr>
        <w:ind w:firstLine="420"/>
      </w:pPr>
      <w:r>
        <w:t>国内光芯片厂商的追赶速度令人瞩目。以源杰科技为例，其2025年前三季度营业收入同比增长115%，已实现扭亏为盈，产品方面CW70mW大功率激光器已实现大批量交付，200G EML芯片也已正式发布（数据来源：公司公告及Wind资讯）。长光华芯和仕佳光子等厂商也在25G DFB和CW光源等领域持续突破。从投资逻辑来看，光芯片环节兼具“AI需求拉动”和“国产替代”双重催化，是通信产业链中弹性最大的细分方向之一。值得关注的是，光芯片的国产化进程已经从“能用”阶段迈入“好用”阶段，部分产品在性能指标上已经接近海外同类产品的水平，这为国产光芯片的大规模商用奠定了基础。从市场空间来看，全球光芯片市场规模预计将从2024年的数十亿美元增长到2030年的数百亿美元，如果国产厂商能够从中获得10%至20%的市场份额，对应的收入空间将达到数十亿美元量级。从产业链投资的完整性来看，光芯片环节也是通信行业ETF投资框架中不可或缺的一环，光芯片的景气度直接关系到光模块厂商的成本结构和利润率，应作为通信ETF投资的间接但重要的参考因素。</w:t>
      </w:r>
    </w:p>
    <w:p>
      <w:pPr>
        <w:pStyle w:val="Heading3"/>
      </w:pPr>
      <w:r>
        <w:t>2.1.2 电芯片：产业链最薄弱环节</w:t>
      </w:r>
    </w:p>
    <w:p>
      <w:pPr>
        <w:ind w:firstLine="420"/>
      </w:pPr>
      <w:r>
        <w:t>电芯片是光模块中负责信号处理的关键组件，包括DSP（数字信号处理器）、TIA（跨阻放大器）和驱动器等。与光芯片相比，电芯片的技术壁垒更高，主要体现在DSP的算法复杂度和先进制程依赖上。目前全球光通信电芯片市场高度集中，主要厂商包括Marvell、Credo、博通以及华为海思。2024年全球光通信电芯片市场规模约为39.4亿美元，预计到2029年将增长至97.2亿美元，数据中心侧的CAGR约为23.6%（数据来源：LightCounting及Yole）。电芯片在光模块中虽然价值量占比不如光芯片高，但其对光模块整体性能的影响却至关重要——一颗优秀的DSP芯片可以让光模块在更远的距离上实现更高的传输速率，同时降低功耗。</w:t>
      </w:r>
    </w:p>
    <w:p>
      <w:pPr>
        <w:ind w:firstLine="420"/>
      </w:pPr>
      <w:r>
        <w:t>中国厂商在25G及以上的电芯片全球市场份额仅约7%，是光通信产业链中最薄弱的环节（数据来源：中国光行业协会）。技术壁垒高是主要原因——高速DSP需要采用先进制程（如7nm或更小），且需要深厚的信号处理算法积累，这些都需要长时间的技术迭代。此外，电芯片的生态黏性极强，客户更换供应商需要经过漫长的验证周期（通常需要12到18个月），新进入者很难在短期内撼动现有格局。优迅股份是国内少数在光通信电芯片领域有所布局的企业，但与海外龙头仍有较大差距。从投资角度，电芯片国产替代是一个长期主题，短期业绩兑现的确定性相对光模块和光芯片要低，但一旦突破将带来巨大的市场空间和投资回报。</w:t>
      </w:r>
    </w:p>
    <w:p>
      <w:pPr>
        <w:pStyle w:val="Heading3"/>
      </w:pPr>
      <w:r>
        <w:t>2.1.3 光纤光缆：AI数据中心的新需求极</w:t>
      </w:r>
    </w:p>
    <w:p>
      <w:pPr>
        <w:ind w:firstLine="420"/>
      </w:pPr>
      <w:r>
        <w:t>光纤光缆是通信网络的物理传输介质，长期以来其需求主要由运营商的5G基站建设和宽带接入网络升级驱动。然而，2025年以来，光纤行业出现了一个新的需求驱动力——AI数据中心内部互联。随着AI训练集群的规模从数千张GPU扩展到数万张甚至更多，数据中心内部需要大量的光纤来连接各个计算节点，尤其是Scale out网络对光纤的需求呈爆发式增长。根据行业测算，2026年仅Scale out网络的光纤需求就将超过1亿芯公里（数据来源：CRU及产业链调研）。这一新增需求正在改变光纤行业的供需格局，推动行业从低景气周期进入新的上行阶段。</w:t>
      </w:r>
    </w:p>
    <w:p>
      <w:pPr>
        <w:ind w:firstLine="420"/>
      </w:pPr>
      <w:r>
        <w:t>光纤价格的持续上涨直接反映了供需格局的变化。2025年第三季度以来，G652D光纤（通用单模光纤）价格持续走高，到2026年1月已涨至31.5元/芯公里，较2025年11月上涨79%。这一涨幅在光纤行业历史上极为罕见，表明供给侧产能紧张而需求侧增长强劲。从全球范围看，2025年中国光棒出口同比增长89.5%，光纤出口同比增长47.1%，海外需求同样旺盛（数据来源：海关总署及CRU）。全球数据中心用光纤在整体光纤市场中的占比，预计将从2024年的8%提升至2029年的11%。对于光纤光缆企业而言，AI数据中心需求叠加传统的5G网络建设需求，有望推动行业景气度在未来两到三年内持续上行。</w:t>
      </w:r>
    </w:p>
    <w:p>
      <w:pPr>
        <w:ind w:firstLine="420"/>
      </w:pPr>
      <w:r>
        <w:t>技术层面，空芯光纤（Hollow Core Fiber）作为下一代光纤技术，正受到越来越多的关注。空芯光纤通过在光纤中留空芯来传输光信号，其损耗比传统实芯光纤下降50%，时延下降30%，非线性效应下降高达1000倍（数据来源：Nature Photonics及相关学术文献）。虽然空芯光纤目前仍处于研发和早期商用阶段，但其优异的性能指标使其在超长距传输和对时延敏感的场景中具有广阔的应用前景。光纤光缆板块的推荐标的包括长飞光纤、亨通光电、中天科技和烽火通信，这些企业在国内光纤市场占据主导地位，同时积极布局海外市场和新一代光纤技术。对于光纤光缆企业而言，AI数据中心需求叠加传统的5G网络建设需求，有望推动行业景气度在未来两到三年内持续上行。从投资时机的角度，光纤光缆板块的启动通常滞后于光模块板块约半年到一年，这是因为光纤需求需要在数据中心建设的中后期才会大规模释放。因此，对于通信ETF投资者而言，光纤光缆相关成分股的权重虽然在当前阶段不是最大的，但随着AI数据中心建设进入高峰期，这些标的的业绩弹性有望逐步释放，为通信ETF提供额外的增长动力。从估值角度看，光纤光缆板块当前的整体估值水平低于光模块板块，具有一定的估值修复空间。</w:t>
      </w:r>
    </w:p>
    <w:p>
      <w:pPr>
        <w:pStyle w:val="Heading2"/>
      </w:pPr>
      <w:r>
        <w:t>2.2 服务器与算力基础设施</w:t>
      </w:r>
    </w:p>
    <w:p>
      <w:pPr>
        <w:ind w:firstLine="420"/>
      </w:pPr>
      <w:r>
        <w:t>通信行业与算力基础设施的关系密不可分。一方面，AI服务器的大规模部署需要高速光模块和光纤网络作为互联支撑；另一方面，通信设备厂商也在向算力领域延伸，提供服务器、交换机等配套产品。2025年全球AI服务器出货量约为21万台，预计到2030年将增长至70万台（数据来源：IDC）。在中国市场，AI算力需求增长更为迅猛——2024年中国AI算力市场规模约为190亿美元，2025年增长至259亿美元，同比增长36.2%，预计2028年将达到552亿美元（数据来源：IDC及前瞻产业研究院）。这一增长态势意味着，作为算力基础设施核心组成部分的网络互联设备，将获得持续且强劲的需求拉动。</w:t>
      </w:r>
    </w:p>
    <w:p>
      <w:pPr>
        <w:ind w:firstLine="420"/>
      </w:pPr>
      <w:r>
        <w:t>国内三大云厂商（阿里巴巴、腾讯、百度）2025年前三季度资本开支合计达到615.8亿元，同比增长168.4%，充分反映了AI算力投入的力度（数据来源：各公司财报）。在服务器架构方面，超节点（SuperNode）正成为主流趋势——英伟达的NVL72将72张GPU互联为一个计算单元，华为的CM384和阿里巴巴的磐久128也在推动GPU集群的规模化和标准化。超节点架构对网络互联提出了更高的要求，进一步强化了光模块和交换设备的需求。通信ETF中的工业富联和立讯精密等标的，正是这一算力基础设施浪潮的间接受益者——工业富联作为全球最大的服务器代工企业，直接受益于AI服务器出货量的增长；立讯精密则凭借其在连接器和精密制造领域的优势，获得了数据中心交换机和光模块代工的订单。</w:t>
      </w:r>
    </w:p>
    <w:p>
      <w:pPr>
        <w:pStyle w:val="Heading2"/>
      </w:pPr>
      <w:r>
        <w:t>2.3 运营商：稳健经营与智算转型</w:t>
      </w:r>
    </w:p>
    <w:p>
      <w:pPr>
        <w:ind w:firstLine="420"/>
      </w:pPr>
      <w:r>
        <w:t>三大运营商（中国移动、中国电信、中国联通）作为通信行业的基础设施运营主体，其业务表现对通信ETF的整体走势有重要影响。2025年，三大运营商合计营收超过2万亿元，全年拟派息合计超过1300亿元。其中，中国移动2025年营收达到10501.87亿元，同比增长0.9%，归母净利润1370.95亿元（数据来源：各公司年报）。从财务表现来看，运营商板块呈现出收入增速放缓但利润率和分红比率持续提升的特点，属于典型的价值型资产。运营商的盈利模式正在从传统的流量经营向“流量+算力+应用”综合经营转型，虽然转型过程中面临增速放缓的压力，但其充沛的现金流和高分红政策为投资者提供了稳定的收益保障。</w:t>
      </w:r>
    </w:p>
    <w:p>
      <w:pPr>
        <w:ind w:firstLine="420"/>
      </w:pPr>
      <w:r>
        <w:t>然而，运营商板块在资本市场上的表现并不理想。2025年运营商板块整体涨幅为-6.72%，显著跑输大盘（数据来源：Wind资讯）。这一表现反映了市场对运营商业务增长乏力的担忧。2026年三大运营商资本开支计划合计约为2596亿元，同比下降9%，表明传统通信网络投资的高峰期可能已经过去（数据来源：各公司年度规划）。但需要注意的是，运营商正在积极向智算领域转型——中国移动智算规模已达61.3 EFLOPS，中国电信达77.0 EFLOPS（数据来源：各公司公告），这些智算中心的网络建设同样需要大量通信设备。从投资角度看，运营商板块的吸引力主要在于其高股息率和估值安全边际，而非成长性。对于通信ETF而言，运营商成分股起到了“压舱石”的作用——在板块回调时提供缓冲，在上涨时适度拖累但增加稳定性。</w:t>
      </w:r>
    </w:p>
    <w:p>
      <w:pPr>
        <w:pStyle w:val="Heading2"/>
      </w:pPr>
      <w:r>
        <w:t>2.4 前沿技术趋势</w:t>
      </w:r>
    </w:p>
    <w:p>
      <w:pPr>
        <w:ind w:firstLine="420"/>
      </w:pPr>
      <w:r>
        <w:t>通信行业的技术创新从未停歇，当前有四个值得关注的技术方向，它们将在未来五到十年内深刻改变通信基础设施的面貌。这些技术趋势不仅关系到光模块行业的竞争格局演变，也可能催生新的投资机会。技术路线的演进是光模块行业持续增长的核心动力之一，每一次技术升级都会带来产品价值量的提升和市场份额的重新分配，因此投资者需要对这些技术趋势保持持续关注。</w:t>
      </w:r>
    </w:p>
    <w:p>
      <w:pPr>
        <w:ind w:firstLine="420"/>
      </w:pPr>
      <w:r>
        <w:t>技术趋势对通信ETF投资的影响是深远的。从短期来看，新技术（如800G硅光方案、1.6T CPO方案）的量产进度直接影响光模块龙头公司的订单结构和毛利率，进而影响通信ETF的净值表现。从长期来看，颠覆性技术（如OIO光学I/O）的出现可能改变整个光互联的产业格局，甚至可能降低对可插拔光模块的需求。因此，通信ETF的投资者需要建立对通信技术发展趋势的基本认知，以便更好地判断行业的中长期增长空间和潜在风险。</w:t>
      </w:r>
    </w:p>
    <w:p>
      <w:pPr>
        <w:ind w:firstLine="420"/>
      </w:pPr>
      <w:r>
        <w:t>硅光技术是第一个重要趋势。硅光子学利用成熟的CMOS工艺在硅芯片上集成光学器件，具有成本低、集成度高、量产一致性好的优势。Yole预测硅光市场将从2024年的2.78亿美元增长至2030年的27亿美元，CAGR高达46%，预计到2026年超过50%的光模块销售额将来自硅光方案（数据来源：Yole Developpement）。硅光技术的意义在于它能够将光模块的成本降低30%至50%，同时提高生产效率和产品一致性，这对于AI数据中心的大规模部署至关重要。中际旭创、新易盛等国内龙头均在硅光领域有深入布局，并已将硅光方案应用于800G产品的量产中。硅光技术的渗透率提升，将进一步巩固中国光模块厂商的成本优势和竞争壁垒。</w:t>
      </w:r>
    </w:p>
    <w:p>
      <w:pPr>
        <w:ind w:firstLine="420"/>
      </w:pPr>
      <w:r>
        <w:t>共封装光学（CPO，Co-Packaged Optics）是第二个关键趋势。传统方案中光模块与交换芯片分离，中间通过可插拔接口连接，信号需要经过较长的铜走线，功耗和延迟较高。CPO将光引擎与交换芯片直接封装在一起，功耗从传统的约30W降至约9W，同时降低了信号衰减。Yole预测CPO市场将从2024年的4600万美元增长至2030年的81亿美元，CAGR高达137%（数据来源：Yole Developpement）。虽然CPO目前仍面临标准化、散热和良率等挑战，但博通、英伟达等巨头的大力推动使其商用化进程显著加速。CPO如果大规模普及，可能部分替代可插拔光模块的市场空间，但中国厂商也在积极布局CPO技术，有望在这一新兴赛道中保持竞争力。</w:t>
      </w:r>
    </w:p>
    <w:p>
      <w:pPr>
        <w:ind w:firstLine="420"/>
      </w:pPr>
      <w:r>
        <w:t>薄膜铌酸锂（TFLN）技术主要面向长距相干通信方向。铌酸锂材料具有优异的电光特性，薄膜化后可以实现更高速率的调制和更低的功耗。目前薄膜铌酸锂调制器已在部分长距相干光模块中开始试用，未来有望在400ZR/ZR+等标准化产品中得到推广。这一技术方向对国内厂商而言是一个潜在的超车机会，因为中国在铌酸锂晶体材料方面有一定的基础。光学I/O（OIO，Optical Input/Output）被视为光互联的终极方案，将光学通道直接集成到计算芯片的封装内，实现芯片到芯片的全光互联，带宽密度可达到1Tbps/mm²。这一技术如果成熟，将彻底颠覆现有的数据中心网络架构，不过目前仍处于早期研发阶段。</w:t>
      </w:r>
    </w:p>
    <w:p>
      <w:pPr>
        <w:pStyle w:val="Heading2"/>
      </w:pPr>
      <w:r>
        <w:t>2.5 政策环境</w:t>
      </w:r>
    </w:p>
    <w:p>
      <w:pPr>
        <w:ind w:firstLine="420"/>
      </w:pPr>
      <w:r>
        <w:t>政策环境是通信行业发展的重要支撑因素。近三年来，中国政府出台了一系列与通信行业密切相关的政策文件，为行业发展提供了方向性指引和制度保障。2025年，工信部发布了《加快推进5G-A/6G网络建设的通知》和《关于加快推进新型工业化的实施方案》，前者明确了5G-A网络建设的时间表和技术路线，后者将通信基础设施定位为新型工业化的关键支撑（数据来源：工信部官网）。2024年，工信部对《十四五信息通信行业发展规划》进行了中期评估，并发布了《算力基础设施高质量发展行动计划》，后者直接将算力网络建设提升到国家战略高度，提出到2025年算力规模超过300 EFLOPS的目标。2023年，《关于推进5G轻量化（RedCap）技术演进和应用创新发展的通知》则推动了5G技术向工业物联网等垂直领域的深化应用。</w:t>
      </w:r>
    </w:p>
    <w:p>
      <w:pPr>
        <w:ind w:firstLine="420"/>
      </w:pPr>
      <w:r>
        <w:t>从投资角度分析，这些政策的共同指向是明确的：通信基础设施是国家数字经济发展的基石，将继续获得政策和资金的支持。特别是算力基础设施相关政策，直接利好光模块、交换机等数据中心网络设备的需求增长。截至2025年底，全国5G基站总数已超过475万站（数据来源：工信部），5G网络的持续覆盖和优化也为通信设备商提供了稳定的业务基础。总体而言，政策面的友好为通信行业的长期发展提供了良好的制度环境，也为通信ETF的投资价值提供了政策底线的支撑。投资者在评估通信行业ETF的长期配置价值时，应将政策因素纳入考量框架。</w:t>
      </w:r>
    </w:p>
    <w:p>
      <w:pPr>
        <w:pStyle w:val="Heading2"/>
      </w:pPr>
      <w:r>
        <w:t>2.7 通信行业与AI产业链的深度耦合</w:t>
      </w:r>
    </w:p>
    <w:p>
      <w:pPr>
        <w:ind w:firstLine="420"/>
      </w:pPr>
      <w:r>
        <w:t>理解通信行业的投资价值，需要将其置于AI产业链的大框架下审视。AI产业链可以分为三层：底层算力基础设施（芯片、服务器、网络）、中层算法与模型（大模型、框架）、上层应用（生成式AI、自动驾驶等）。通信行业主要处于底层算力基础设施中的网络互联环节，但这一环节的重要性正在被市场重新认识。传统的观点认为，AI的核心瓶颈在于算力芯片的供给，但随着GPU出货量的快速增长，网络互联正逐步取代算力芯片成为AI集群性能的主要瓶颈。这一变化的原因在于，大模型训练对数据吞吐的要求远超传统计算任务。以GPT-4为例，其训练过程涉及数千亿参数的梯度计算和同步，每轮迭代都需要在数百张甚至数千张GPU之间传输海量数据。如果网络带宽不足，GPU将花费大量时间等待数据，导致计算资源的严重浪费。这就是为什么AI训练对光模块的需求不仅是数量上的增长，更是速率和密度上的质的飞跃。</w:t>
      </w:r>
    </w:p>
    <w:p>
      <w:pPr>
        <w:ind w:firstLine="420"/>
      </w:pPr>
      <w:r>
        <w:t>从产业链传导机制来看，AI需求对通信行业的拉动路径是清晰且可验证的。第一步，云厂商增加AI资本开支，大量采购GPU服务器和交换机。第二步，GPU服务器和交换机的部署产生对高速光模块（400G、800G、1.6T）的旺盛需求。第三步，光模块需求的增长驱动上游光芯片和电芯片的需求提升。第四步，大规模数据中心的建设拉动光纤光缆和连接器的需求。这一传导链条中，光模块是需求弹性最大的环节，也是A股通信行业ETF中权重最大的板块，因此通信ETF成为捕捉AI算力浪潮的最佳投资工具之一。</w:t>
      </w:r>
    </w:p>
    <w:p>
      <w:pPr>
        <w:ind w:firstLine="420"/>
      </w:pPr>
      <w:r>
        <w:t>值得强调的是，AI对通信行业的需求拉动并非一次性事件，而是一个持续加强的长期过程。随着AI应用从训练阶段逐步走向推理部署阶段，推理侧的网络需求也将快速增长。与训练集群不同，推理集群对成本更为敏感，因此更倾向于使用高性价比的网络方案，这可能推动光模块在消费级和企业级市场的渗透率提升。此外，边缘AI的兴起也可能催生对低功耗光模块和短距光互联的新需求。从投资维度来看，AI对通信行业的需求拉动将从数据中心扩展到边缘计算和终端设备，覆盖面越来越广，这意味着通信行业ETF的投资窗口期可能比市场预期的更长。</w:t>
      </w:r>
    </w:p>
    <w:p>
      <w:pPr>
        <w:pStyle w:val="Heading2"/>
      </w:pPr>
      <w:r>
        <w:t>2.8 全球光模块竞争格局深度分析</w:t>
      </w:r>
    </w:p>
    <w:p>
      <w:pPr>
        <w:ind w:firstLine="420"/>
      </w:pPr>
      <w:r>
        <w:t>中国光模块厂商的崛起是近年来全球光通信产业最显著的结构性变化。2024年全球光模块前十供应商中，中国企业占据七席，分别为中际旭创、新易盛、华工科技（含华工正源）、光迅科技、海信宽带、亨通洛克利和旭创（新加坡）。其中，中际旭创以约15%的全球市场份额位居第一，新易盛排名第二（数据来源：LightCounting）。这一格局的形成并非偶然，而是中国企业多年技术积累和战略布局的成果。中国光模块厂商的竞争优势可以归纳为三个方面：第一，制造工艺的精细化程度高，良率控制能力强，这使得中国厂商在量产阶段具有显著的成本优势；第二，研发响应速度快，能够快速跟进客户需求变化并推出定制化产品；第三，产业链配套完善，从光芯片封装到光模块测试，国内形成了完整的产业生态。</w:t>
      </w:r>
    </w:p>
    <w:p>
      <w:pPr>
        <w:ind w:firstLine="420"/>
      </w:pPr>
      <w:r>
        <w:t>然而，中国光模块厂商面临的挑战也不容忽视。在高端光芯片（尤其是EML和CW光源）方面，国内厂商仍然依赖Coherent、Lumentum等海外供应商，这在当前地缘政治环境下构成了一定的供应链风险。此外，随着硅光技术的渗透率提升，光模块的价值量可能从器件向芯片转移，如果国内厂商不能在光芯片领域实现突破，其利润率可能面临压缩。最后，全球光模块市场的集中度正在提升，龙头厂商的市场份额持续扩大，二线厂商的生存空间受到挤压，这一趋势在ETF投资中表现为指数成分股的进一步集中。对于通信ETF的投资者而言，理解这一竞争格局的演变方向，有助于更好地判断ETF持仓公司的长期价值。</w:t>
      </w:r>
    </w:p>
    <w:p>
      <w:pPr>
        <w:pStyle w:val="Heading2"/>
      </w:pPr>
      <w:r>
        <w:t>2.6 通信行业各子板块概览</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子板块</w:t>
            </w:r>
          </w:p>
        </w:tc>
        <w:tc>
          <w:tcPr>
            <w:tcW w:type="dxa" w:w="1728"/>
          </w:tcPr>
          <w:p>
            <w:r>
              <w:rPr>
                <w:b/>
                <w:sz w:val="20"/>
              </w:rPr>
              <w:t>核心驱动力</w:t>
            </w:r>
          </w:p>
        </w:tc>
        <w:tc>
          <w:tcPr>
            <w:tcW w:type="dxa" w:w="1728"/>
          </w:tcPr>
          <w:p>
            <w:r>
              <w:rPr>
                <w:b/>
                <w:sz w:val="20"/>
              </w:rPr>
              <w:t>增长预期</w:t>
            </w:r>
          </w:p>
        </w:tc>
        <w:tc>
          <w:tcPr>
            <w:tcW w:type="dxa" w:w="1728"/>
          </w:tcPr>
          <w:p>
            <w:r>
              <w:rPr>
                <w:b/>
                <w:sz w:val="20"/>
              </w:rPr>
              <w:t>投资属性</w:t>
            </w:r>
          </w:p>
        </w:tc>
        <w:tc>
          <w:tcPr>
            <w:tcW w:type="dxa" w:w="1728"/>
          </w:tcPr>
          <w:p>
            <w:r>
              <w:rPr>
                <w:b/>
                <w:sz w:val="20"/>
              </w:rPr>
              <w:t>代表性标的</w:t>
            </w:r>
          </w:p>
        </w:tc>
      </w:tr>
      <w:tr>
        <w:tc>
          <w:tcPr>
            <w:tcW w:type="dxa" w:w="1728"/>
          </w:tcPr>
          <w:p>
            <w:r>
              <w:rPr>
                <w:sz w:val="20"/>
              </w:rPr>
              <w:t>光模块</w:t>
            </w:r>
          </w:p>
        </w:tc>
        <w:tc>
          <w:tcPr>
            <w:tcW w:type="dxa" w:w="1728"/>
          </w:tcPr>
          <w:p>
            <w:r>
              <w:rPr>
                <w:sz w:val="20"/>
              </w:rPr>
              <w:t>AI算力资本开支</w:t>
            </w:r>
          </w:p>
        </w:tc>
        <w:tc>
          <w:tcPr>
            <w:tcW w:type="dxa" w:w="1728"/>
          </w:tcPr>
          <w:p>
            <w:r>
              <w:rPr>
                <w:sz w:val="20"/>
              </w:rPr>
              <w:t>2024-2029 CAGR 22%</w:t>
            </w:r>
          </w:p>
        </w:tc>
        <w:tc>
          <w:tcPr>
            <w:tcW w:type="dxa" w:w="1728"/>
          </w:tcPr>
          <w:p>
            <w:r>
              <w:rPr>
                <w:sz w:val="20"/>
              </w:rPr>
              <w:t>高成长</w:t>
            </w:r>
          </w:p>
        </w:tc>
        <w:tc>
          <w:tcPr>
            <w:tcW w:type="dxa" w:w="1728"/>
          </w:tcPr>
          <w:p>
            <w:r>
              <w:rPr>
                <w:sz w:val="20"/>
              </w:rPr>
              <w:t>中际旭创、新易盛</w:t>
            </w:r>
          </w:p>
        </w:tc>
      </w:tr>
      <w:tr>
        <w:tc>
          <w:tcPr>
            <w:tcW w:type="dxa" w:w="1728"/>
          </w:tcPr>
          <w:p>
            <w:r>
              <w:rPr>
                <w:sz w:val="20"/>
              </w:rPr>
              <w:t>光芯片</w:t>
            </w:r>
          </w:p>
        </w:tc>
        <w:tc>
          <w:tcPr>
            <w:tcW w:type="dxa" w:w="1728"/>
          </w:tcPr>
          <w:p>
            <w:r>
              <w:rPr>
                <w:sz w:val="20"/>
              </w:rPr>
              <w:t>光模块升级+国产替代</w:t>
            </w:r>
          </w:p>
        </w:tc>
        <w:tc>
          <w:tcPr>
            <w:tcW w:type="dxa" w:w="1728"/>
          </w:tcPr>
          <w:p>
            <w:r>
              <w:rPr>
                <w:sz w:val="20"/>
              </w:rPr>
              <w:t>供不应求持续</w:t>
            </w:r>
          </w:p>
        </w:tc>
        <w:tc>
          <w:tcPr>
            <w:tcW w:type="dxa" w:w="1728"/>
          </w:tcPr>
          <w:p>
            <w:r>
              <w:rPr>
                <w:sz w:val="20"/>
              </w:rPr>
              <w:t>高弹性</w:t>
            </w:r>
          </w:p>
        </w:tc>
        <w:tc>
          <w:tcPr>
            <w:tcW w:type="dxa" w:w="1728"/>
          </w:tcPr>
          <w:p>
            <w:r>
              <w:rPr>
                <w:sz w:val="20"/>
              </w:rPr>
              <w:t>源杰科技</w:t>
            </w:r>
          </w:p>
        </w:tc>
      </w:tr>
      <w:tr>
        <w:tc>
          <w:tcPr>
            <w:tcW w:type="dxa" w:w="1728"/>
          </w:tcPr>
          <w:p>
            <w:r>
              <w:rPr>
                <w:sz w:val="20"/>
              </w:rPr>
              <w:t>电芯片</w:t>
            </w:r>
          </w:p>
        </w:tc>
        <w:tc>
          <w:tcPr>
            <w:tcW w:type="dxa" w:w="1728"/>
          </w:tcPr>
          <w:p>
            <w:r>
              <w:rPr>
                <w:sz w:val="20"/>
              </w:rPr>
              <w:t>高速互联需求</w:t>
            </w:r>
          </w:p>
        </w:tc>
        <w:tc>
          <w:tcPr>
            <w:tcW w:type="dxa" w:w="1728"/>
          </w:tcPr>
          <w:p>
            <w:r>
              <w:rPr>
                <w:sz w:val="20"/>
              </w:rPr>
              <w:t>2024-2029 CAGR 23.6%</w:t>
            </w:r>
          </w:p>
        </w:tc>
        <w:tc>
          <w:tcPr>
            <w:tcW w:type="dxa" w:w="1728"/>
          </w:tcPr>
          <w:p>
            <w:r>
              <w:rPr>
                <w:sz w:val="20"/>
              </w:rPr>
              <w:t>长期主题</w:t>
            </w:r>
          </w:p>
        </w:tc>
        <w:tc>
          <w:tcPr>
            <w:tcW w:type="dxa" w:w="1728"/>
          </w:tcPr>
          <w:p>
            <w:r>
              <w:rPr>
                <w:sz w:val="20"/>
              </w:rPr>
              <w:t>Marvell、Credo</w:t>
            </w:r>
          </w:p>
        </w:tc>
      </w:tr>
      <w:tr>
        <w:tc>
          <w:tcPr>
            <w:tcW w:type="dxa" w:w="1728"/>
          </w:tcPr>
          <w:p>
            <w:r>
              <w:rPr>
                <w:sz w:val="20"/>
              </w:rPr>
              <w:t>光纤光缆</w:t>
            </w:r>
          </w:p>
        </w:tc>
        <w:tc>
          <w:tcPr>
            <w:tcW w:type="dxa" w:w="1728"/>
          </w:tcPr>
          <w:p>
            <w:r>
              <w:rPr>
                <w:sz w:val="20"/>
              </w:rPr>
              <w:t>数据中心+5G网络</w:t>
            </w:r>
          </w:p>
        </w:tc>
        <w:tc>
          <w:tcPr>
            <w:tcW w:type="dxa" w:w="1728"/>
          </w:tcPr>
          <w:p>
            <w:r>
              <w:rPr>
                <w:sz w:val="20"/>
              </w:rPr>
              <w:t>价格上行周期</w:t>
            </w:r>
          </w:p>
        </w:tc>
        <w:tc>
          <w:tcPr>
            <w:tcW w:type="dxa" w:w="1728"/>
          </w:tcPr>
          <w:p>
            <w:r>
              <w:rPr>
                <w:sz w:val="20"/>
              </w:rPr>
              <w:t>周期反转</w:t>
            </w:r>
          </w:p>
        </w:tc>
        <w:tc>
          <w:tcPr>
            <w:tcW w:type="dxa" w:w="1728"/>
          </w:tcPr>
          <w:p>
            <w:r>
              <w:rPr>
                <w:sz w:val="20"/>
              </w:rPr>
              <w:t>长飞光纤、亨通光电</w:t>
            </w:r>
          </w:p>
        </w:tc>
      </w:tr>
      <w:tr>
        <w:tc>
          <w:tcPr>
            <w:tcW w:type="dxa" w:w="1728"/>
          </w:tcPr>
          <w:p>
            <w:r>
              <w:rPr>
                <w:sz w:val="20"/>
              </w:rPr>
              <w:t>服务器/算力</w:t>
            </w:r>
          </w:p>
        </w:tc>
        <w:tc>
          <w:tcPr>
            <w:tcW w:type="dxa" w:w="1728"/>
          </w:tcPr>
          <w:p>
            <w:r>
              <w:rPr>
                <w:sz w:val="20"/>
              </w:rPr>
              <w:t>AI训练推理需求</w:t>
            </w:r>
          </w:p>
        </w:tc>
        <w:tc>
          <w:tcPr>
            <w:tcW w:type="dxa" w:w="1728"/>
          </w:tcPr>
          <w:p>
            <w:r>
              <w:rPr>
                <w:sz w:val="20"/>
              </w:rPr>
              <w:t>2025-2030 CAGR 27%</w:t>
            </w:r>
          </w:p>
        </w:tc>
        <w:tc>
          <w:tcPr>
            <w:tcW w:type="dxa" w:w="1728"/>
          </w:tcPr>
          <w:p>
            <w:r>
              <w:rPr>
                <w:sz w:val="20"/>
              </w:rPr>
              <w:t>高成长</w:t>
            </w:r>
          </w:p>
        </w:tc>
        <w:tc>
          <w:tcPr>
            <w:tcW w:type="dxa" w:w="1728"/>
          </w:tcPr>
          <w:p>
            <w:r>
              <w:rPr>
                <w:sz w:val="20"/>
              </w:rPr>
              <w:t>工业富联</w:t>
            </w:r>
          </w:p>
        </w:tc>
      </w:tr>
      <w:tr>
        <w:tc>
          <w:tcPr>
            <w:tcW w:type="dxa" w:w="1728"/>
          </w:tcPr>
          <w:p>
            <w:r>
              <w:rPr>
                <w:sz w:val="20"/>
              </w:rPr>
              <w:t>运营商</w:t>
            </w:r>
          </w:p>
        </w:tc>
        <w:tc>
          <w:tcPr>
            <w:tcW w:type="dxa" w:w="1728"/>
          </w:tcPr>
          <w:p>
            <w:r>
              <w:rPr>
                <w:sz w:val="20"/>
              </w:rPr>
              <w:t>智算转型+高分红</w:t>
            </w:r>
          </w:p>
        </w:tc>
        <w:tc>
          <w:tcPr>
            <w:tcW w:type="dxa" w:w="1728"/>
          </w:tcPr>
          <w:p>
            <w:r>
              <w:rPr>
                <w:sz w:val="20"/>
              </w:rPr>
              <w:t>营收低增利润稳</w:t>
            </w:r>
          </w:p>
        </w:tc>
        <w:tc>
          <w:tcPr>
            <w:tcW w:type="dxa" w:w="1728"/>
          </w:tcPr>
          <w:p>
            <w:r>
              <w:rPr>
                <w:sz w:val="20"/>
              </w:rPr>
              <w:t>价值防御</w:t>
            </w:r>
          </w:p>
        </w:tc>
        <w:tc>
          <w:tcPr>
            <w:tcW w:type="dxa" w:w="1728"/>
          </w:tcPr>
          <w:p>
            <w:r>
              <w:rPr>
                <w:sz w:val="20"/>
              </w:rPr>
              <w:t>中国移动、中国电信</w:t>
            </w:r>
          </w:p>
        </w:tc>
      </w:tr>
    </w:tbl>
    <w:p>
      <w:pPr>
        <w:ind w:firstLine="420"/>
      </w:pPr>
      <w:r>
        <w:t>数据来源：Wind资讯、LightCounting、IDC、各公司公告，作者整理</w:t>
      </w:r>
    </w:p>
    <w:p>
      <w:pPr>
        <w:pStyle w:val="Heading1"/>
      </w:pPr>
      <w:r>
        <w:t>三、标的情况：通信ETF华夏（515050）与通信ETF国泰（515880）</w:t>
      </w:r>
    </w:p>
    <w:p>
      <w:pPr>
        <w:pStyle w:val="Heading2"/>
      </w:pPr>
      <w:r>
        <w:t>3.1 基金基本信息对比</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指标</w:t>
            </w:r>
          </w:p>
        </w:tc>
        <w:tc>
          <w:tcPr>
            <w:tcW w:type="dxa" w:w="2880"/>
          </w:tcPr>
          <w:p>
            <w:r>
              <w:rPr>
                <w:b/>
                <w:sz w:val="20"/>
              </w:rPr>
              <w:t>通信ETF华夏（515050）</w:t>
            </w:r>
          </w:p>
        </w:tc>
        <w:tc>
          <w:tcPr>
            <w:tcW w:type="dxa" w:w="2880"/>
          </w:tcPr>
          <w:p>
            <w:r>
              <w:rPr>
                <w:b/>
                <w:sz w:val="20"/>
              </w:rPr>
              <w:t>通信ETF国泰（515880）</w:t>
            </w:r>
          </w:p>
        </w:tc>
      </w:tr>
      <w:tr>
        <w:tc>
          <w:tcPr>
            <w:tcW w:type="dxa" w:w="2880"/>
          </w:tcPr>
          <w:p>
            <w:r>
              <w:rPr>
                <w:sz w:val="20"/>
              </w:rPr>
              <w:t>基金全称</w:t>
            </w:r>
          </w:p>
        </w:tc>
        <w:tc>
          <w:tcPr>
            <w:tcW w:type="dxa" w:w="2880"/>
          </w:tcPr>
          <w:p>
            <w:r>
              <w:rPr>
                <w:sz w:val="20"/>
              </w:rPr>
              <w:t>华夏中证5G通信主题交易型开放式指数证券投资基金</w:t>
            </w:r>
          </w:p>
        </w:tc>
        <w:tc>
          <w:tcPr>
            <w:tcW w:type="dxa" w:w="2880"/>
          </w:tcPr>
          <w:p>
            <w:r>
              <w:rPr>
                <w:sz w:val="20"/>
              </w:rPr>
              <w:t>国泰中证全指通信设备交易型开放式指数证券投资基金</w:t>
            </w:r>
          </w:p>
        </w:tc>
      </w:tr>
      <w:tr>
        <w:tc>
          <w:tcPr>
            <w:tcW w:type="dxa" w:w="2880"/>
          </w:tcPr>
          <w:p>
            <w:r>
              <w:rPr>
                <w:sz w:val="20"/>
              </w:rPr>
              <w:t>基金类型</w:t>
            </w:r>
          </w:p>
        </w:tc>
        <w:tc>
          <w:tcPr>
            <w:tcW w:type="dxa" w:w="2880"/>
          </w:tcPr>
          <w:p>
            <w:r>
              <w:rPr>
                <w:sz w:val="20"/>
              </w:rPr>
              <w:t>指数型-股票</w:t>
            </w:r>
          </w:p>
        </w:tc>
        <w:tc>
          <w:tcPr>
            <w:tcW w:type="dxa" w:w="2880"/>
          </w:tcPr>
          <w:p>
            <w:r>
              <w:rPr>
                <w:sz w:val="20"/>
              </w:rPr>
              <w:t>指数型-股票</w:t>
            </w:r>
          </w:p>
        </w:tc>
      </w:tr>
      <w:tr>
        <w:tc>
          <w:tcPr>
            <w:tcW w:type="dxa" w:w="2880"/>
          </w:tcPr>
          <w:p>
            <w:r>
              <w:rPr>
                <w:sz w:val="20"/>
              </w:rPr>
              <w:t>成立日期</w:t>
            </w:r>
          </w:p>
        </w:tc>
        <w:tc>
          <w:tcPr>
            <w:tcW w:type="dxa" w:w="2880"/>
          </w:tcPr>
          <w:p>
            <w:r>
              <w:rPr>
                <w:sz w:val="20"/>
              </w:rPr>
              <w:t>2019-09-17</w:t>
            </w:r>
          </w:p>
        </w:tc>
        <w:tc>
          <w:tcPr>
            <w:tcW w:type="dxa" w:w="2880"/>
          </w:tcPr>
          <w:p>
            <w:r>
              <w:rPr>
                <w:sz w:val="20"/>
              </w:rPr>
              <w:t>2019-08-16</w:t>
            </w:r>
          </w:p>
        </w:tc>
      </w:tr>
      <w:tr>
        <w:tc>
          <w:tcPr>
            <w:tcW w:type="dxa" w:w="2880"/>
          </w:tcPr>
          <w:p>
            <w:r>
              <w:rPr>
                <w:sz w:val="20"/>
              </w:rPr>
              <w:t>基金规模</w:t>
            </w:r>
          </w:p>
        </w:tc>
        <w:tc>
          <w:tcPr>
            <w:tcW w:type="dxa" w:w="2880"/>
          </w:tcPr>
          <w:p>
            <w:r>
              <w:rPr>
                <w:sz w:val="20"/>
              </w:rPr>
              <w:t>78.03亿元</w:t>
            </w:r>
          </w:p>
        </w:tc>
        <w:tc>
          <w:tcPr>
            <w:tcW w:type="dxa" w:w="2880"/>
          </w:tcPr>
          <w:p>
            <w:r>
              <w:rPr>
                <w:sz w:val="20"/>
              </w:rPr>
              <w:t>136.38亿元</w:t>
            </w:r>
          </w:p>
        </w:tc>
      </w:tr>
      <w:tr>
        <w:tc>
          <w:tcPr>
            <w:tcW w:type="dxa" w:w="2880"/>
          </w:tcPr>
          <w:p>
            <w:r>
              <w:rPr>
                <w:sz w:val="20"/>
              </w:rPr>
              <w:t>基金经理</w:t>
            </w:r>
          </w:p>
        </w:tc>
        <w:tc>
          <w:tcPr>
            <w:tcW w:type="dxa" w:w="2880"/>
          </w:tcPr>
          <w:p>
            <w:r>
              <w:rPr>
                <w:sz w:val="20"/>
              </w:rPr>
              <w:t>李俊</w:t>
            </w:r>
          </w:p>
        </w:tc>
        <w:tc>
          <w:tcPr>
            <w:tcW w:type="dxa" w:w="2880"/>
          </w:tcPr>
          <w:p>
            <w:r>
              <w:rPr>
                <w:sz w:val="20"/>
              </w:rPr>
              <w:t>艾小军</w:t>
            </w:r>
          </w:p>
        </w:tc>
      </w:tr>
      <w:tr>
        <w:tc>
          <w:tcPr>
            <w:tcW w:type="dxa" w:w="2880"/>
          </w:tcPr>
          <w:p>
            <w:r>
              <w:rPr>
                <w:sz w:val="20"/>
              </w:rPr>
              <w:t>管理人</w:t>
            </w:r>
          </w:p>
        </w:tc>
        <w:tc>
          <w:tcPr>
            <w:tcW w:type="dxa" w:w="2880"/>
          </w:tcPr>
          <w:p>
            <w:r>
              <w:rPr>
                <w:sz w:val="20"/>
              </w:rPr>
              <w:t>华夏基金</w:t>
            </w:r>
          </w:p>
        </w:tc>
        <w:tc>
          <w:tcPr>
            <w:tcW w:type="dxa" w:w="2880"/>
          </w:tcPr>
          <w:p>
            <w:r>
              <w:rPr>
                <w:sz w:val="20"/>
              </w:rPr>
              <w:t>国泰基金</w:t>
            </w:r>
          </w:p>
        </w:tc>
      </w:tr>
      <w:tr>
        <w:tc>
          <w:tcPr>
            <w:tcW w:type="dxa" w:w="2880"/>
          </w:tcPr>
          <w:p>
            <w:r>
              <w:rPr>
                <w:sz w:val="20"/>
              </w:rPr>
              <w:t>跟踪指数</w:t>
            </w:r>
          </w:p>
        </w:tc>
        <w:tc>
          <w:tcPr>
            <w:tcW w:type="dxa" w:w="2880"/>
          </w:tcPr>
          <w:p>
            <w:r>
              <w:rPr>
                <w:sz w:val="20"/>
              </w:rPr>
              <w:t>中证5G通信主题指数</w:t>
            </w:r>
          </w:p>
        </w:tc>
        <w:tc>
          <w:tcPr>
            <w:tcW w:type="dxa" w:w="2880"/>
          </w:tcPr>
          <w:p>
            <w:r>
              <w:rPr>
                <w:sz w:val="20"/>
              </w:rPr>
              <w:t>中证全指通信设备指数</w:t>
            </w:r>
          </w:p>
        </w:tc>
      </w:tr>
      <w:tr>
        <w:tc>
          <w:tcPr>
            <w:tcW w:type="dxa" w:w="2880"/>
          </w:tcPr>
          <w:p>
            <w:r>
              <w:rPr>
                <w:sz w:val="20"/>
              </w:rPr>
              <w:t>年化跟踪误差</w:t>
            </w:r>
          </w:p>
        </w:tc>
        <w:tc>
          <w:tcPr>
            <w:tcW w:type="dxa" w:w="2880"/>
          </w:tcPr>
          <w:p>
            <w:r>
              <w:rPr>
                <w:sz w:val="20"/>
              </w:rPr>
              <w:t>0.36%</w:t>
            </w:r>
          </w:p>
        </w:tc>
        <w:tc>
          <w:tcPr>
            <w:tcW w:type="dxa" w:w="2880"/>
          </w:tcPr>
          <w:p>
            <w:r>
              <w:rPr>
                <w:sz w:val="20"/>
              </w:rPr>
              <w:t>0.55%</w:t>
            </w:r>
          </w:p>
        </w:tc>
      </w:tr>
      <w:tr>
        <w:tc>
          <w:tcPr>
            <w:tcW w:type="dxa" w:w="2880"/>
          </w:tcPr>
          <w:p>
            <w:r>
              <w:rPr>
                <w:sz w:val="20"/>
              </w:rPr>
              <w:t>单位净值（2026-04-29）</w:t>
            </w:r>
          </w:p>
        </w:tc>
        <w:tc>
          <w:tcPr>
            <w:tcW w:type="dxa" w:w="2880"/>
          </w:tcPr>
          <w:p>
            <w:r>
              <w:rPr>
                <w:sz w:val="20"/>
              </w:rPr>
              <w:t>2.9713</w:t>
            </w:r>
          </w:p>
        </w:tc>
        <w:tc>
          <w:tcPr>
            <w:tcW w:type="dxa" w:w="2880"/>
          </w:tcPr>
          <w:p>
            <w:r>
              <w:rPr>
                <w:sz w:val="20"/>
              </w:rPr>
              <w:t>1.3271</w:t>
            </w:r>
          </w:p>
        </w:tc>
      </w:tr>
      <w:tr>
        <w:tc>
          <w:tcPr>
            <w:tcW w:type="dxa" w:w="2880"/>
          </w:tcPr>
          <w:p>
            <w:r>
              <w:rPr>
                <w:sz w:val="20"/>
              </w:rPr>
              <w:t>近1年涨幅</w:t>
            </w:r>
          </w:p>
        </w:tc>
        <w:tc>
          <w:tcPr>
            <w:tcW w:type="dxa" w:w="2880"/>
          </w:tcPr>
          <w:p>
            <w:r>
              <w:rPr>
                <w:sz w:val="20"/>
              </w:rPr>
              <w:t>203.01%</w:t>
            </w:r>
          </w:p>
        </w:tc>
        <w:tc>
          <w:tcPr>
            <w:tcW w:type="dxa" w:w="2880"/>
          </w:tcPr>
          <w:p>
            <w:r>
              <w:rPr>
                <w:sz w:val="20"/>
              </w:rPr>
              <w:t>244.88%</w:t>
            </w:r>
          </w:p>
        </w:tc>
      </w:tr>
      <w:tr>
        <w:tc>
          <w:tcPr>
            <w:tcW w:type="dxa" w:w="2880"/>
          </w:tcPr>
          <w:p>
            <w:r>
              <w:rPr>
                <w:sz w:val="20"/>
              </w:rPr>
              <w:t>成立以来涨幅</w:t>
            </w:r>
          </w:p>
        </w:tc>
        <w:tc>
          <w:tcPr>
            <w:tcW w:type="dxa" w:w="2880"/>
          </w:tcPr>
          <w:p>
            <w:r>
              <w:rPr>
                <w:sz w:val="20"/>
              </w:rPr>
              <w:t>197.13%</w:t>
            </w:r>
          </w:p>
        </w:tc>
        <w:tc>
          <w:tcPr>
            <w:tcW w:type="dxa" w:w="2880"/>
          </w:tcPr>
          <w:p>
            <w:r>
              <w:rPr>
                <w:sz w:val="20"/>
              </w:rPr>
              <w:t>298.17%</w:t>
            </w:r>
          </w:p>
        </w:tc>
      </w:tr>
    </w:tbl>
    <w:p>
      <w:pPr>
        <w:ind w:firstLine="420"/>
      </w:pPr>
      <w:r>
        <w:t>数据来源：Wind资讯、基金公告，截至2025年12月31日（规模）和2026年4月29日（净值及涨幅）</w:t>
      </w:r>
    </w:p>
    <w:p>
      <w:pPr>
        <w:ind w:firstLine="420"/>
      </w:pPr>
      <w:r>
        <w:t>从上表可以看出，两只ETF在基本面上存在几个显著差异。首先，通信ETF国泰（515880）的规模更大，达到136.38亿元，约为通信ETF华夏（515050）的1.75倍。规模更大意味着流动性更好，大额申赎时对净值的冲击更小，适合资金量较大的机构投资者。其次，通信ETF国泰的近一年涨幅（244.88%）和成立以来涨幅（298.17%）均优于通信ETF华夏（分别为203.01%和197.13%），这一差异主要源于两者跟踪指数的成分股权重分布不同。通信ETF国泰对光模块龙头的配置更为集中，在AI算力行情中弹性更大。第三，通信ETF华夏的年化跟踪误差（0.36%）略低于通信ETF国泰（0.55%），表明其指数跟踪的精确度更高。华夏基金作为国内最大的指数基金管理人之一，在指数产品的运营管理方面积累了丰富的经验，这可能也是其跟踪误差较低的原因之一。</w:t>
      </w:r>
    </w:p>
    <w:p>
      <w:pPr>
        <w:pStyle w:val="Heading2"/>
      </w:pPr>
      <w:r>
        <w:t>3.2 持仓结构与权重分析</w:t>
      </w:r>
    </w:p>
    <w:p>
      <w:pPr>
        <w:pStyle w:val="Heading3"/>
      </w:pPr>
      <w:r>
        <w:t>3.2.1 通信ETF华夏（515050）十大持仓</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持仓标的</w:t>
            </w:r>
          </w:p>
        </w:tc>
        <w:tc>
          <w:tcPr>
            <w:tcW w:type="dxa" w:w="2160"/>
          </w:tcPr>
          <w:p>
            <w:r>
              <w:rPr>
                <w:b/>
                <w:sz w:val="20"/>
              </w:rPr>
              <w:t>权重</w:t>
            </w:r>
          </w:p>
        </w:tc>
        <w:tc>
          <w:tcPr>
            <w:tcW w:type="dxa" w:w="2160"/>
          </w:tcPr>
          <w:p>
            <w:r>
              <w:rPr>
                <w:b/>
                <w:sz w:val="20"/>
              </w:rPr>
              <w:t>所属子行业</w:t>
            </w:r>
          </w:p>
        </w:tc>
      </w:tr>
      <w:tr>
        <w:tc>
          <w:tcPr>
            <w:tcW w:type="dxa" w:w="2160"/>
          </w:tcPr>
          <w:p>
            <w:r>
              <w:rPr>
                <w:sz w:val="20"/>
              </w:rPr>
              <w:t>1</w:t>
            </w:r>
          </w:p>
        </w:tc>
        <w:tc>
          <w:tcPr>
            <w:tcW w:type="dxa" w:w="2160"/>
          </w:tcPr>
          <w:p>
            <w:r>
              <w:rPr>
                <w:sz w:val="20"/>
              </w:rPr>
              <w:t>新易盛</w:t>
            </w:r>
          </w:p>
        </w:tc>
        <w:tc>
          <w:tcPr>
            <w:tcW w:type="dxa" w:w="2160"/>
          </w:tcPr>
          <w:p>
            <w:r>
              <w:rPr>
                <w:sz w:val="20"/>
              </w:rPr>
              <w:t>10.29%</w:t>
            </w:r>
          </w:p>
        </w:tc>
        <w:tc>
          <w:tcPr>
            <w:tcW w:type="dxa" w:w="2160"/>
          </w:tcPr>
          <w:p>
            <w:r>
              <w:rPr>
                <w:sz w:val="20"/>
              </w:rPr>
              <w:t>光模块</w:t>
            </w:r>
          </w:p>
        </w:tc>
      </w:tr>
      <w:tr>
        <w:tc>
          <w:tcPr>
            <w:tcW w:type="dxa" w:w="2160"/>
          </w:tcPr>
          <w:p>
            <w:r>
              <w:rPr>
                <w:sz w:val="20"/>
              </w:rPr>
              <w:t>2</w:t>
            </w:r>
          </w:p>
        </w:tc>
        <w:tc>
          <w:tcPr>
            <w:tcW w:type="dxa" w:w="2160"/>
          </w:tcPr>
          <w:p>
            <w:r>
              <w:rPr>
                <w:sz w:val="20"/>
              </w:rPr>
              <w:t>中际旭创</w:t>
            </w:r>
          </w:p>
        </w:tc>
        <w:tc>
          <w:tcPr>
            <w:tcW w:type="dxa" w:w="2160"/>
          </w:tcPr>
          <w:p>
            <w:r>
              <w:rPr>
                <w:sz w:val="20"/>
              </w:rPr>
              <w:t>9.40%</w:t>
            </w:r>
          </w:p>
        </w:tc>
        <w:tc>
          <w:tcPr>
            <w:tcW w:type="dxa" w:w="2160"/>
          </w:tcPr>
          <w:p>
            <w:r>
              <w:rPr>
                <w:sz w:val="20"/>
              </w:rPr>
              <w:t>光模块</w:t>
            </w:r>
          </w:p>
        </w:tc>
      </w:tr>
      <w:tr>
        <w:tc>
          <w:tcPr>
            <w:tcW w:type="dxa" w:w="2160"/>
          </w:tcPr>
          <w:p>
            <w:r>
              <w:rPr>
                <w:sz w:val="20"/>
              </w:rPr>
              <w:t>3</w:t>
            </w:r>
          </w:p>
        </w:tc>
        <w:tc>
          <w:tcPr>
            <w:tcW w:type="dxa" w:w="2160"/>
          </w:tcPr>
          <w:p>
            <w:r>
              <w:rPr>
                <w:sz w:val="20"/>
              </w:rPr>
              <w:t>立讯精密</w:t>
            </w:r>
          </w:p>
        </w:tc>
        <w:tc>
          <w:tcPr>
            <w:tcW w:type="dxa" w:w="2160"/>
          </w:tcPr>
          <w:p>
            <w:r>
              <w:rPr>
                <w:sz w:val="20"/>
              </w:rPr>
              <w:t>7.72%</w:t>
            </w:r>
          </w:p>
        </w:tc>
        <w:tc>
          <w:tcPr>
            <w:tcW w:type="dxa" w:w="2160"/>
          </w:tcPr>
          <w:p>
            <w:r>
              <w:rPr>
                <w:sz w:val="20"/>
              </w:rPr>
              <w:t>消费电子/连接器</w:t>
            </w:r>
          </w:p>
        </w:tc>
      </w:tr>
      <w:tr>
        <w:tc>
          <w:tcPr>
            <w:tcW w:type="dxa" w:w="2160"/>
          </w:tcPr>
          <w:p>
            <w:r>
              <w:rPr>
                <w:sz w:val="20"/>
              </w:rPr>
              <w:t>4</w:t>
            </w:r>
          </w:p>
        </w:tc>
        <w:tc>
          <w:tcPr>
            <w:tcW w:type="dxa" w:w="2160"/>
          </w:tcPr>
          <w:p>
            <w:r>
              <w:rPr>
                <w:sz w:val="20"/>
              </w:rPr>
              <w:t>工业富联</w:t>
            </w:r>
          </w:p>
        </w:tc>
        <w:tc>
          <w:tcPr>
            <w:tcW w:type="dxa" w:w="2160"/>
          </w:tcPr>
          <w:p>
            <w:r>
              <w:rPr>
                <w:sz w:val="20"/>
              </w:rPr>
              <w:t>6.67%</w:t>
            </w:r>
          </w:p>
        </w:tc>
        <w:tc>
          <w:tcPr>
            <w:tcW w:type="dxa" w:w="2160"/>
          </w:tcPr>
          <w:p>
            <w:r>
              <w:rPr>
                <w:sz w:val="20"/>
              </w:rPr>
              <w:t>服务器代工</w:t>
            </w:r>
          </w:p>
        </w:tc>
      </w:tr>
      <w:tr>
        <w:tc>
          <w:tcPr>
            <w:tcW w:type="dxa" w:w="2160"/>
          </w:tcPr>
          <w:p>
            <w:r>
              <w:rPr>
                <w:sz w:val="20"/>
              </w:rPr>
              <w:t>5</w:t>
            </w:r>
          </w:p>
        </w:tc>
        <w:tc>
          <w:tcPr>
            <w:tcW w:type="dxa" w:w="2160"/>
          </w:tcPr>
          <w:p>
            <w:r>
              <w:rPr>
                <w:sz w:val="20"/>
              </w:rPr>
              <w:t>兆易创新</w:t>
            </w:r>
          </w:p>
        </w:tc>
        <w:tc>
          <w:tcPr>
            <w:tcW w:type="dxa" w:w="2160"/>
          </w:tcPr>
          <w:p>
            <w:r>
              <w:rPr>
                <w:sz w:val="20"/>
              </w:rPr>
              <w:t>5.18%</w:t>
            </w:r>
          </w:p>
        </w:tc>
        <w:tc>
          <w:tcPr>
            <w:tcW w:type="dxa" w:w="2160"/>
          </w:tcPr>
          <w:p>
            <w:r>
              <w:rPr>
                <w:sz w:val="20"/>
              </w:rPr>
              <w:t>存储芯片</w:t>
            </w:r>
          </w:p>
        </w:tc>
      </w:tr>
      <w:tr>
        <w:tc>
          <w:tcPr>
            <w:tcW w:type="dxa" w:w="2160"/>
          </w:tcPr>
          <w:p>
            <w:r>
              <w:rPr>
                <w:sz w:val="20"/>
              </w:rPr>
              <w:t>6</w:t>
            </w:r>
          </w:p>
        </w:tc>
        <w:tc>
          <w:tcPr>
            <w:tcW w:type="dxa" w:w="2160"/>
          </w:tcPr>
          <w:p>
            <w:r>
              <w:rPr>
                <w:sz w:val="20"/>
              </w:rPr>
              <w:t>天孚通信</w:t>
            </w:r>
          </w:p>
        </w:tc>
        <w:tc>
          <w:tcPr>
            <w:tcW w:type="dxa" w:w="2160"/>
          </w:tcPr>
          <w:p>
            <w:r>
              <w:rPr>
                <w:sz w:val="20"/>
              </w:rPr>
              <w:t>4.57%</w:t>
            </w:r>
          </w:p>
        </w:tc>
        <w:tc>
          <w:tcPr>
            <w:tcW w:type="dxa" w:w="2160"/>
          </w:tcPr>
          <w:p>
            <w:r>
              <w:rPr>
                <w:sz w:val="20"/>
              </w:rPr>
              <w:t>光器件</w:t>
            </w:r>
          </w:p>
        </w:tc>
      </w:tr>
      <w:tr>
        <w:tc>
          <w:tcPr>
            <w:tcW w:type="dxa" w:w="2160"/>
          </w:tcPr>
          <w:p>
            <w:r>
              <w:rPr>
                <w:sz w:val="20"/>
              </w:rPr>
              <w:t>7</w:t>
            </w:r>
          </w:p>
        </w:tc>
        <w:tc>
          <w:tcPr>
            <w:tcW w:type="dxa" w:w="2160"/>
          </w:tcPr>
          <w:p>
            <w:r>
              <w:rPr>
                <w:sz w:val="20"/>
              </w:rPr>
              <w:t>东山精密</w:t>
            </w:r>
          </w:p>
        </w:tc>
        <w:tc>
          <w:tcPr>
            <w:tcW w:type="dxa" w:w="2160"/>
          </w:tcPr>
          <w:p>
            <w:r>
              <w:rPr>
                <w:sz w:val="20"/>
              </w:rPr>
              <w:t>4.33%</w:t>
            </w:r>
          </w:p>
        </w:tc>
        <w:tc>
          <w:tcPr>
            <w:tcW w:type="dxa" w:w="2160"/>
          </w:tcPr>
          <w:p>
            <w:r>
              <w:rPr>
                <w:sz w:val="20"/>
              </w:rPr>
              <w:t>精密制造</w:t>
            </w:r>
          </w:p>
        </w:tc>
      </w:tr>
      <w:tr>
        <w:tc>
          <w:tcPr>
            <w:tcW w:type="dxa" w:w="2160"/>
          </w:tcPr>
          <w:p>
            <w:r>
              <w:rPr>
                <w:sz w:val="20"/>
              </w:rPr>
              <w:t>8</w:t>
            </w:r>
          </w:p>
        </w:tc>
        <w:tc>
          <w:tcPr>
            <w:tcW w:type="dxa" w:w="2160"/>
          </w:tcPr>
          <w:p>
            <w:r>
              <w:rPr>
                <w:sz w:val="20"/>
              </w:rPr>
              <w:t>中兴通讯</w:t>
            </w:r>
          </w:p>
        </w:tc>
        <w:tc>
          <w:tcPr>
            <w:tcW w:type="dxa" w:w="2160"/>
          </w:tcPr>
          <w:p>
            <w:r>
              <w:rPr>
                <w:sz w:val="20"/>
              </w:rPr>
              <w:t>3.42%</w:t>
            </w:r>
          </w:p>
        </w:tc>
        <w:tc>
          <w:tcPr>
            <w:tcW w:type="dxa" w:w="2160"/>
          </w:tcPr>
          <w:p>
            <w:r>
              <w:rPr>
                <w:sz w:val="20"/>
              </w:rPr>
              <w:t>通信设备</w:t>
            </w:r>
          </w:p>
        </w:tc>
      </w:tr>
      <w:tr>
        <w:tc>
          <w:tcPr>
            <w:tcW w:type="dxa" w:w="2160"/>
          </w:tcPr>
          <w:p>
            <w:r>
              <w:rPr>
                <w:sz w:val="20"/>
              </w:rPr>
              <w:t>9</w:t>
            </w:r>
          </w:p>
        </w:tc>
        <w:tc>
          <w:tcPr>
            <w:tcW w:type="dxa" w:w="2160"/>
          </w:tcPr>
          <w:p>
            <w:r>
              <w:rPr>
                <w:sz w:val="20"/>
              </w:rPr>
              <w:t>华工科技</w:t>
            </w:r>
          </w:p>
        </w:tc>
        <w:tc>
          <w:tcPr>
            <w:tcW w:type="dxa" w:w="2160"/>
          </w:tcPr>
          <w:p>
            <w:r>
              <w:rPr>
                <w:sz w:val="20"/>
              </w:rPr>
              <w:t>3.40%</w:t>
            </w:r>
          </w:p>
        </w:tc>
        <w:tc>
          <w:tcPr>
            <w:tcW w:type="dxa" w:w="2160"/>
          </w:tcPr>
          <w:p>
            <w:r>
              <w:rPr>
                <w:sz w:val="20"/>
              </w:rPr>
              <w:t>光模块/激光</w:t>
            </w:r>
          </w:p>
        </w:tc>
      </w:tr>
      <w:tr>
        <w:tc>
          <w:tcPr>
            <w:tcW w:type="dxa" w:w="2160"/>
          </w:tcPr>
          <w:p>
            <w:r>
              <w:rPr>
                <w:sz w:val="20"/>
              </w:rPr>
              <w:t>10</w:t>
            </w:r>
          </w:p>
        </w:tc>
        <w:tc>
          <w:tcPr>
            <w:tcW w:type="dxa" w:w="2160"/>
          </w:tcPr>
          <w:p>
            <w:r>
              <w:rPr>
                <w:sz w:val="20"/>
              </w:rPr>
              <w:t>亨通光电</w:t>
            </w:r>
          </w:p>
        </w:tc>
        <w:tc>
          <w:tcPr>
            <w:tcW w:type="dxa" w:w="2160"/>
          </w:tcPr>
          <w:p>
            <w:r>
              <w:rPr>
                <w:sz w:val="20"/>
              </w:rPr>
              <w:t>3.37%</w:t>
            </w:r>
          </w:p>
        </w:tc>
        <w:tc>
          <w:tcPr>
            <w:tcW w:type="dxa" w:w="2160"/>
          </w:tcPr>
          <w:p>
            <w:r>
              <w:rPr>
                <w:sz w:val="20"/>
              </w:rPr>
              <w:t>光纤光缆</w:t>
            </w:r>
          </w:p>
        </w:tc>
      </w:tr>
    </w:tbl>
    <w:p>
      <w:pPr>
        <w:ind w:firstLine="420"/>
      </w:pPr>
      <w:r>
        <w:t>数据来源：基金定期报告，前十持仓占比58.35%</w:t>
      </w:r>
    </w:p>
    <w:p>
      <w:pPr>
        <w:pStyle w:val="Heading3"/>
      </w:pPr>
      <w:r>
        <w:t>3.2.2 通信ETF国泰（515880）十大持仓</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序号</w:t>
            </w:r>
          </w:p>
        </w:tc>
        <w:tc>
          <w:tcPr>
            <w:tcW w:type="dxa" w:w="2160"/>
          </w:tcPr>
          <w:p>
            <w:r>
              <w:rPr>
                <w:b/>
                <w:sz w:val="20"/>
              </w:rPr>
              <w:t>持仓标的</w:t>
            </w:r>
          </w:p>
        </w:tc>
        <w:tc>
          <w:tcPr>
            <w:tcW w:type="dxa" w:w="2160"/>
          </w:tcPr>
          <w:p>
            <w:r>
              <w:rPr>
                <w:b/>
                <w:sz w:val="20"/>
              </w:rPr>
              <w:t>权重</w:t>
            </w:r>
          </w:p>
        </w:tc>
        <w:tc>
          <w:tcPr>
            <w:tcW w:type="dxa" w:w="2160"/>
          </w:tcPr>
          <w:p>
            <w:r>
              <w:rPr>
                <w:b/>
                <w:sz w:val="20"/>
              </w:rPr>
              <w:t>所属子行业</w:t>
            </w:r>
          </w:p>
        </w:tc>
      </w:tr>
      <w:tr>
        <w:tc>
          <w:tcPr>
            <w:tcW w:type="dxa" w:w="2160"/>
          </w:tcPr>
          <w:p>
            <w:r>
              <w:rPr>
                <w:sz w:val="20"/>
              </w:rPr>
              <w:t>1</w:t>
            </w:r>
          </w:p>
        </w:tc>
        <w:tc>
          <w:tcPr>
            <w:tcW w:type="dxa" w:w="2160"/>
          </w:tcPr>
          <w:p>
            <w:r>
              <w:rPr>
                <w:sz w:val="20"/>
              </w:rPr>
              <w:t>新易盛</w:t>
            </w:r>
          </w:p>
        </w:tc>
        <w:tc>
          <w:tcPr>
            <w:tcW w:type="dxa" w:w="2160"/>
          </w:tcPr>
          <w:p>
            <w:r>
              <w:rPr>
                <w:sz w:val="20"/>
              </w:rPr>
              <w:t>15.00%</w:t>
            </w:r>
          </w:p>
        </w:tc>
        <w:tc>
          <w:tcPr>
            <w:tcW w:type="dxa" w:w="2160"/>
          </w:tcPr>
          <w:p>
            <w:r>
              <w:rPr>
                <w:sz w:val="20"/>
              </w:rPr>
              <w:t>光模块</w:t>
            </w:r>
          </w:p>
        </w:tc>
      </w:tr>
      <w:tr>
        <w:tc>
          <w:tcPr>
            <w:tcW w:type="dxa" w:w="2160"/>
          </w:tcPr>
          <w:p>
            <w:r>
              <w:rPr>
                <w:sz w:val="20"/>
              </w:rPr>
              <w:t>2</w:t>
            </w:r>
          </w:p>
        </w:tc>
        <w:tc>
          <w:tcPr>
            <w:tcW w:type="dxa" w:w="2160"/>
          </w:tcPr>
          <w:p>
            <w:r>
              <w:rPr>
                <w:sz w:val="20"/>
              </w:rPr>
              <w:t>中际旭创</w:t>
            </w:r>
          </w:p>
        </w:tc>
        <w:tc>
          <w:tcPr>
            <w:tcW w:type="dxa" w:w="2160"/>
          </w:tcPr>
          <w:p>
            <w:r>
              <w:rPr>
                <w:sz w:val="20"/>
              </w:rPr>
              <w:t>13.66%</w:t>
            </w:r>
          </w:p>
        </w:tc>
        <w:tc>
          <w:tcPr>
            <w:tcW w:type="dxa" w:w="2160"/>
          </w:tcPr>
          <w:p>
            <w:r>
              <w:rPr>
                <w:sz w:val="20"/>
              </w:rPr>
              <w:t>光模块</w:t>
            </w:r>
          </w:p>
        </w:tc>
      </w:tr>
      <w:tr>
        <w:tc>
          <w:tcPr>
            <w:tcW w:type="dxa" w:w="2160"/>
          </w:tcPr>
          <w:p>
            <w:r>
              <w:rPr>
                <w:sz w:val="20"/>
              </w:rPr>
              <w:t>3</w:t>
            </w:r>
          </w:p>
        </w:tc>
        <w:tc>
          <w:tcPr>
            <w:tcW w:type="dxa" w:w="2160"/>
          </w:tcPr>
          <w:p>
            <w:r>
              <w:rPr>
                <w:sz w:val="20"/>
              </w:rPr>
              <w:t>工业富联</w:t>
            </w:r>
          </w:p>
        </w:tc>
        <w:tc>
          <w:tcPr>
            <w:tcW w:type="dxa" w:w="2160"/>
          </w:tcPr>
          <w:p>
            <w:r>
              <w:rPr>
                <w:sz w:val="20"/>
              </w:rPr>
              <w:t>10.42%</w:t>
            </w:r>
          </w:p>
        </w:tc>
        <w:tc>
          <w:tcPr>
            <w:tcW w:type="dxa" w:w="2160"/>
          </w:tcPr>
          <w:p>
            <w:r>
              <w:rPr>
                <w:sz w:val="20"/>
              </w:rPr>
              <w:t>服务器代工</w:t>
            </w:r>
          </w:p>
        </w:tc>
      </w:tr>
      <w:tr>
        <w:tc>
          <w:tcPr>
            <w:tcW w:type="dxa" w:w="2160"/>
          </w:tcPr>
          <w:p>
            <w:r>
              <w:rPr>
                <w:sz w:val="20"/>
              </w:rPr>
              <w:t>4</w:t>
            </w:r>
          </w:p>
        </w:tc>
        <w:tc>
          <w:tcPr>
            <w:tcW w:type="dxa" w:w="2160"/>
          </w:tcPr>
          <w:p>
            <w:r>
              <w:rPr>
                <w:sz w:val="20"/>
              </w:rPr>
              <w:t>天孚通信</w:t>
            </w:r>
          </w:p>
        </w:tc>
        <w:tc>
          <w:tcPr>
            <w:tcW w:type="dxa" w:w="2160"/>
          </w:tcPr>
          <w:p>
            <w:r>
              <w:rPr>
                <w:sz w:val="20"/>
              </w:rPr>
              <w:t>7.14%</w:t>
            </w:r>
          </w:p>
        </w:tc>
        <w:tc>
          <w:tcPr>
            <w:tcW w:type="dxa" w:w="2160"/>
          </w:tcPr>
          <w:p>
            <w:r>
              <w:rPr>
                <w:sz w:val="20"/>
              </w:rPr>
              <w:t>光器件</w:t>
            </w:r>
          </w:p>
        </w:tc>
      </w:tr>
      <w:tr>
        <w:tc>
          <w:tcPr>
            <w:tcW w:type="dxa" w:w="2160"/>
          </w:tcPr>
          <w:p>
            <w:r>
              <w:rPr>
                <w:sz w:val="20"/>
              </w:rPr>
              <w:t>5</w:t>
            </w:r>
          </w:p>
        </w:tc>
        <w:tc>
          <w:tcPr>
            <w:tcW w:type="dxa" w:w="2160"/>
          </w:tcPr>
          <w:p>
            <w:r>
              <w:rPr>
                <w:sz w:val="20"/>
              </w:rPr>
              <w:t>中兴通讯</w:t>
            </w:r>
          </w:p>
        </w:tc>
        <w:tc>
          <w:tcPr>
            <w:tcW w:type="dxa" w:w="2160"/>
          </w:tcPr>
          <w:p>
            <w:r>
              <w:rPr>
                <w:sz w:val="20"/>
              </w:rPr>
              <w:t>5.35%</w:t>
            </w:r>
          </w:p>
        </w:tc>
        <w:tc>
          <w:tcPr>
            <w:tcW w:type="dxa" w:w="2160"/>
          </w:tcPr>
          <w:p>
            <w:r>
              <w:rPr>
                <w:sz w:val="20"/>
              </w:rPr>
              <w:t>通信设备</w:t>
            </w:r>
          </w:p>
        </w:tc>
      </w:tr>
      <w:tr>
        <w:tc>
          <w:tcPr>
            <w:tcW w:type="dxa" w:w="2160"/>
          </w:tcPr>
          <w:p>
            <w:r>
              <w:rPr>
                <w:sz w:val="20"/>
              </w:rPr>
              <w:t>6</w:t>
            </w:r>
          </w:p>
        </w:tc>
        <w:tc>
          <w:tcPr>
            <w:tcW w:type="dxa" w:w="2160"/>
          </w:tcPr>
          <w:p>
            <w:r>
              <w:rPr>
                <w:sz w:val="20"/>
              </w:rPr>
              <w:t>亨通光电</w:t>
            </w:r>
          </w:p>
        </w:tc>
        <w:tc>
          <w:tcPr>
            <w:tcW w:type="dxa" w:w="2160"/>
          </w:tcPr>
          <w:p>
            <w:r>
              <w:rPr>
                <w:sz w:val="20"/>
              </w:rPr>
              <w:t>5.30%</w:t>
            </w:r>
          </w:p>
        </w:tc>
        <w:tc>
          <w:tcPr>
            <w:tcW w:type="dxa" w:w="2160"/>
          </w:tcPr>
          <w:p>
            <w:r>
              <w:rPr>
                <w:sz w:val="20"/>
              </w:rPr>
              <w:t>光纤光缆</w:t>
            </w:r>
          </w:p>
        </w:tc>
      </w:tr>
      <w:tr>
        <w:tc>
          <w:tcPr>
            <w:tcW w:type="dxa" w:w="2160"/>
          </w:tcPr>
          <w:p>
            <w:r>
              <w:rPr>
                <w:sz w:val="20"/>
              </w:rPr>
              <w:t>7</w:t>
            </w:r>
          </w:p>
        </w:tc>
        <w:tc>
          <w:tcPr>
            <w:tcW w:type="dxa" w:w="2160"/>
          </w:tcPr>
          <w:p>
            <w:r>
              <w:rPr>
                <w:sz w:val="20"/>
              </w:rPr>
              <w:t>中天科技</w:t>
            </w:r>
          </w:p>
        </w:tc>
        <w:tc>
          <w:tcPr>
            <w:tcW w:type="dxa" w:w="2160"/>
          </w:tcPr>
          <w:p>
            <w:r>
              <w:rPr>
                <w:sz w:val="20"/>
              </w:rPr>
              <w:t>4.20%</w:t>
            </w:r>
          </w:p>
        </w:tc>
        <w:tc>
          <w:tcPr>
            <w:tcW w:type="dxa" w:w="2160"/>
          </w:tcPr>
          <w:p>
            <w:r>
              <w:rPr>
                <w:sz w:val="20"/>
              </w:rPr>
              <w:t>光纤光缆</w:t>
            </w:r>
          </w:p>
        </w:tc>
      </w:tr>
      <w:tr>
        <w:tc>
          <w:tcPr>
            <w:tcW w:type="dxa" w:w="2160"/>
          </w:tcPr>
          <w:p>
            <w:r>
              <w:rPr>
                <w:sz w:val="20"/>
              </w:rPr>
              <w:t>8</w:t>
            </w:r>
          </w:p>
        </w:tc>
        <w:tc>
          <w:tcPr>
            <w:tcW w:type="dxa" w:w="2160"/>
          </w:tcPr>
          <w:p>
            <w:r>
              <w:rPr>
                <w:sz w:val="20"/>
              </w:rPr>
              <w:t>信维通信</w:t>
            </w:r>
          </w:p>
        </w:tc>
        <w:tc>
          <w:tcPr>
            <w:tcW w:type="dxa" w:w="2160"/>
          </w:tcPr>
          <w:p>
            <w:r>
              <w:rPr>
                <w:sz w:val="20"/>
              </w:rPr>
              <w:t>3.22%</w:t>
            </w:r>
          </w:p>
        </w:tc>
        <w:tc>
          <w:tcPr>
            <w:tcW w:type="dxa" w:w="2160"/>
          </w:tcPr>
          <w:p>
            <w:r>
              <w:rPr>
                <w:sz w:val="20"/>
              </w:rPr>
              <w:t>天线/连接器</w:t>
            </w:r>
          </w:p>
        </w:tc>
      </w:tr>
      <w:tr>
        <w:tc>
          <w:tcPr>
            <w:tcW w:type="dxa" w:w="2160"/>
          </w:tcPr>
          <w:p>
            <w:r>
              <w:rPr>
                <w:sz w:val="20"/>
              </w:rPr>
              <w:t>9</w:t>
            </w:r>
          </w:p>
        </w:tc>
        <w:tc>
          <w:tcPr>
            <w:tcW w:type="dxa" w:w="2160"/>
          </w:tcPr>
          <w:p>
            <w:r>
              <w:rPr>
                <w:sz w:val="20"/>
              </w:rPr>
              <w:t>烽火通信</w:t>
            </w:r>
          </w:p>
        </w:tc>
        <w:tc>
          <w:tcPr>
            <w:tcW w:type="dxa" w:w="2160"/>
          </w:tcPr>
          <w:p>
            <w:r>
              <w:rPr>
                <w:sz w:val="20"/>
              </w:rPr>
              <w:t>2.11%</w:t>
            </w:r>
          </w:p>
        </w:tc>
        <w:tc>
          <w:tcPr>
            <w:tcW w:type="dxa" w:w="2160"/>
          </w:tcPr>
          <w:p>
            <w:r>
              <w:rPr>
                <w:sz w:val="20"/>
              </w:rPr>
              <w:t>通信设备</w:t>
            </w:r>
          </w:p>
        </w:tc>
      </w:tr>
      <w:tr>
        <w:tc>
          <w:tcPr>
            <w:tcW w:type="dxa" w:w="2160"/>
          </w:tcPr>
          <w:p>
            <w:r>
              <w:rPr>
                <w:sz w:val="20"/>
              </w:rPr>
              <w:t>10</w:t>
            </w:r>
          </w:p>
        </w:tc>
        <w:tc>
          <w:tcPr>
            <w:tcW w:type="dxa" w:w="2160"/>
          </w:tcPr>
          <w:p>
            <w:r>
              <w:rPr>
                <w:sz w:val="20"/>
              </w:rPr>
              <w:t>光迅科技</w:t>
            </w:r>
          </w:p>
        </w:tc>
        <w:tc>
          <w:tcPr>
            <w:tcW w:type="dxa" w:w="2160"/>
          </w:tcPr>
          <w:p>
            <w:r>
              <w:rPr>
                <w:sz w:val="20"/>
              </w:rPr>
              <w:t>2.09%</w:t>
            </w:r>
          </w:p>
        </w:tc>
        <w:tc>
          <w:tcPr>
            <w:tcW w:type="dxa" w:w="2160"/>
          </w:tcPr>
          <w:p>
            <w:r>
              <w:rPr>
                <w:sz w:val="20"/>
              </w:rPr>
              <w:t>光模块</w:t>
            </w:r>
          </w:p>
        </w:tc>
      </w:tr>
    </w:tbl>
    <w:p>
      <w:pPr>
        <w:ind w:firstLine="420"/>
      </w:pPr>
      <w:r>
        <w:t>数据来源：基金定期报告，前十持仓占比68.49%</w:t>
      </w:r>
    </w:p>
    <w:p>
      <w:pPr>
        <w:ind w:firstLine="420"/>
      </w:pPr>
      <w:r>
        <w:t>对比两只ETF的持仓结构，差异主要体现在以下几个方面。第一，光模块龙头的权重差异显著。通信ETF国泰对新易盛和中际旭创的合计权重高达28.66%，而通信ETF华夏对两者的合计权重为19.69%，相差约9个百分点。这意味着在光模块板块上涨时，通信ETF国泰的弹性明显更大，但在光模块回调时，其跌幅也可能更深。第二，通信ETF华夏纳入了立讯精密（7.72%）和兆易创新（5.18%），这些标的虽然不属于纯粹的通信设备板块，但属于中证5G通信主题指数的成分股，反映了5G时代“通信+消费电子+半导体”的产业融合趋势。第三，通信ETF国泰在光纤光缆板块的权重更高，合计配置了亨通光电（5.30%）、中天科技（4.20%）、烽火通信（2.11%）等标的，与当前光纤价格上涨的行业趋势更为契合。</w:t>
      </w:r>
    </w:p>
    <w:p>
      <w:pPr>
        <w:ind w:firstLine="420"/>
      </w:pPr>
      <w:r>
        <w:t>从持仓结构延伸分析，通信ETF的重仓股在2025至2026年的业绩增长趋势也值得关注。光模块龙头新易盛和中际旭创在2025年第三季度均实现了收入和利润的大幅增长，其中新易盛的800G产品出货量在行业中处于领先地位，中际旭创则在1.6T产品的研发和客户验证上走在前列。天孚通信作为光器件龙头，受益于光模块需求增长带来的上游配套需求提升。工业富联凭借其与英伟达的深度合作关系，在AI服务器代工领域获得了大量订单。这些重仓股的共同特点是：业绩增长确定性高、行业景气度处于上行阶段、全球竞争格局有利于中国企业。从组合管理的角度来看，通信ETF的重仓股质量是支撑其长期投资价值的重要因素。</w:t>
      </w:r>
    </w:p>
    <w:p>
      <w:pPr>
        <w:ind w:firstLine="420"/>
      </w:pPr>
      <w:r>
        <w:t>从指数编制方法的角度进一步分析，中证5G通信主题指数和中证全指通信设备指数在样本空间、选样方法和权重计算上存在本质差异。中证5G通信主题指数的样本空间覆盖了与5G产业链相关的通信设备制造商、通信运营商以及部分半导体和消费电子公司，其选样逻辑更注重产业主题的完整性和代表性。而中证全指通信设备指数则聚焦于通信设备制造领域，样本空间限定在申万通信设备行业的上市公司，选样更加纯粹和集中。两种指数编制方法的差异直接反映在ETF的行业暴露和风格特征上。中证5G通信主题指数由于覆盖面更广，在消费电子或半导体板块表现较好时，通信ETF华夏也能获得一定的超额收益；反之，在光模块板块独领风骚时，通信ETF国泰的表现则更为突出。投资者可以根据对行业轮动的判断，在不同阶段动态调整两只ETF的配置比例。</w:t>
      </w:r>
    </w:p>
    <w:p>
      <w:pPr>
        <w:ind w:firstLine="420"/>
      </w:pPr>
      <w:r>
        <w:t>从基金管理人的维度来看，华夏基金和国泰基金都是国内指数基金管理领域的头部机构。华夏基金是国内最早推出ETF产品的基金公司之一，在指数产品的运营管理、风险控制和流动性管理方面积累了深厚的经验，这也解释了通信ETF华夏更低的年化跟踪误差。国泰基金在科技类ETF方面同样有着出色的表现，其管理的半导体ETF、通信ETF等产品在市场上均有较高的认可度和良好的流动性。两只ETF的日均成交额均能满足普通投资者的交易需求，但从流动性深度来看，规模更大的通信ETF国泰（136.38亿元）在大额交易时具有天然的优势。总体而言，两只ETF在基金管理层面均不存在明显短板，投资者的选择应更多基于对指数特征的判断而非基金管理人的差异。</w:t>
      </w:r>
    </w:p>
    <w:p>
      <w:pPr>
        <w:ind w:firstLine="420"/>
      </w:pPr>
      <w:r>
        <w:t>从行业暴露角度，通信ETF华夏的行业分布更为分散，涵盖了光模块、消费电子、半导体、通信设备和光纤光缆等多个子行业，其投资风格类似于“通信+”的宽基配置；而通信ETF国泰的行业分布更为集中于通信设备核心标的，尤其是光模块和光纤光缆，属于更为纯粹的通信设备ETF。投资者在选择时应根据自身的行业判断和风险偏好做出决策——如果看好光模块主线的持续景气，通信ETF国泰的集中度优势更为突出；如果倾向于更均衡的配置，通信ETF华夏提供了更好的分散化效果。</w:t>
      </w:r>
    </w:p>
    <w:p>
      <w:pPr>
        <w:pStyle w:val="Heading1"/>
      </w:pPr>
      <w:r>
        <w:t>四、交易策略</w:t>
      </w:r>
    </w:p>
    <w:p>
      <w:pPr>
        <w:pStyle w:val="Heading2"/>
      </w:pPr>
      <w:r>
        <w:t>4.1 中长期配置策略</w:t>
      </w:r>
    </w:p>
    <w:p>
      <w:pPr>
        <w:ind w:firstLine="420"/>
      </w:pPr>
      <w:r>
        <w:t>从投资周期来看，通信行业ETF适合作为中长期核心配置标的。核心逻辑在于AI算力资本开支的持续性——北美四大云厂商2026年的资本开支指引合计达到7000亿美元以上，这意味着AI基础设施的投资周期至少还有两到三年的上行空间。在这一背景下，光模块等通信设备的需求有坚实的产业基础支撑，并非短期的主题炒作。从产业发展的节奏来看，AI大模型的参数规模仍在快速攀升（从GPT-3的1750亿参数到GPT-4的超过1万亿参数），训练所需的算力需求呈指数级增长，而每次算力升级都必然伴随网络带宽的同步提升。除了训练侧的需求外，AI推理侧的需求增长同样值得关注。随着ChatGPT、Gemini等大模型应用的商业化推进，推理侧的算力消耗正在快速接近甚至超过训练侧。推理集群的网络架构与训练集群有所不同，更强调东西向流量的高效处理和多租户隔离，这对光模块的功耗、成本和部署密度提出了更高的要求。对于中长期投资者而言，建议将通信行业ETF作为AI产业链配置的核心仓位之一，与算力芯片ETF、半导体ETF等形成互补，构建覆盖AI算力基础设施的完整投资组合。在组合构建上，可以将通信ETF的配置比例设定为科技成长类资产的20%至30%，与半导体ETF和软件ETF形成互补，共同捕捉AI产业趋势下的多元化投资机会。</w:t>
      </w:r>
    </w:p>
    <w:p>
      <w:pPr>
        <w:ind w:firstLine="420"/>
      </w:pPr>
      <w:r>
        <w:t>在两只ETF的选择上，我们建议风险偏好较高的投资者优先配置通信ETF国泰（515880），因为其对光模块龙头的权重更高，在AI算力行情中的弹性更大。而风险偏好适中或希望获得更均衡行业暴露的投资者，可以通信ETF华夏（515050）为核心仓位，因其涵盖了消费电子和半导体标的，在科技板块轮动中更具适应性。两只ETF可以按7:3或6:4的比例搭配使用，以平衡弹性与分散化。具体配置比例应根据投资者的风险承受能力、投资期限和市场环境动态调整。值得注意的是，中长期配置的核心不在于短期择时，而在于对AI产业趋势的坚定信念和对行业景气度周期的准确把握。</w:t>
      </w:r>
    </w:p>
    <w:p>
      <w:pPr>
        <w:pStyle w:val="Heading2"/>
      </w:pPr>
      <w:r>
        <w:t>4.2 短期交易策略</w:t>
      </w:r>
    </w:p>
    <w:p>
      <w:pPr>
        <w:ind w:firstLine="420"/>
      </w:pPr>
      <w:r>
        <w:t>通信ETF作为高弹性品种，也适合有经验的投资者进行波段交易。短期交易的参考指标包括：第一，北美云厂商的季度资本开支指引，这是通信设备需求的领先指标。如果云厂商超预期上调资本开支，通常会在随后的一个季度内反映到光模块厂商的订单和股价上。第二，光模块龙头公司的业绩预告和机构调研信息，尤其是关于800G和1.6T产品出货量的数据，这些数据直接影响市场对板块景气度的判断。第三，技术面层面的量价关系和均线支撑，通信ETF在过去一年的上涨过程中多次出现深幅回调后企稳反弹的模式，投资者可以利用这些技术特征进行择时。从历史数据来看，通信ETF在经历20%至30%的回调后往往有较好的反弹机会，关键是要能够区分“趋势中的回调”和“趋势的反转”。</w:t>
      </w:r>
    </w:p>
    <w:p>
      <w:pPr>
        <w:ind w:firstLine="420"/>
      </w:pPr>
      <w:r>
        <w:t>从交易策略的角度来看，通信ETF的建仓时机选择也值得深入探讨。当前通信行业ETF已经经历了大幅上涨，直接一次性建仓的风险较高。建议投资者采用分批建仓的方式：可以将计划配置的总资金分为三到四等份，在不同的时间节点逐步建仓。建仓时机的判断可以参考以下指标：第一，通信ETF阶段性回调幅度达到15%至20%时可以考虑加仓；第二，北美云厂商发布季度财报后的市场反应，如果资本开支指引超预期，可以视为加仓信号；第三，光模块龙头公司发布业绩预告时，如果业绩增速符合或超出市场预期，可以适当增加配置。分批建仓的优势在于能够平滑建仓成本，降低择时错误带来的风险。对于定投投资者而言，通信ETF也适合作为长期定投标的，通过定期定额的方式逐步积累仓位，分享行业长期成长的收益。</w:t>
      </w:r>
    </w:p>
    <w:p>
      <w:pPr>
        <w:ind w:firstLine="420"/>
      </w:pPr>
      <w:r>
        <w:t>从退出策略来看，通信ETF的卖出时机判断同样重要。建议投资者设定明确的止盈和止损规则。止盈方面，当通信ETF在短期内（如三个月内）涨幅超过30%时，可以考虑减仓三分之一，锁定部分收益；如果涨幅超过50%，可以再减仓三分之一，保留底仓。止损方面，如果通信ETF从买入价下跌超过15%，需要重新评估持仓逻辑是否发生变化。如果AI资本开支出现实质性放缓、光模块行业竞争格局恶化或中美科技摩擦显著升级等基本面变化，应及时清仓止损。退出策略的核心原则是：不要因为短期波动而轻易卖出，但如果基本面逻辑被证伪，必须果断退出。</w:t>
      </w:r>
    </w:p>
    <w:p>
      <w:pPr>
        <w:pStyle w:val="Heading2"/>
      </w:pPr>
      <w:r>
        <w:t>4.3 仓位管理建议</w:t>
      </w:r>
    </w:p>
    <w:p>
      <w:pPr>
        <w:ind w:firstLine="420"/>
      </w:pPr>
      <w:r>
        <w:t>对于不同类型的投资者，我们提出差异化的仓位管理建议。保守型投资者可以将通信行业ETF的配置比例控制在组合的5%至10%以内，以定投方式分批建仓，降低择时风险。稳健型投资者可以适当提高至10%至15%，并采用核心-卫星策略——以通信ETF华夏为核心仓位（约占通信配置的60%至70%），以通信ETF国泰为卫星仓位（约占30%至40%）。积极型投资者如果对AI产业趋势有深度理解和较强判断力，可以将通信行业ETF的配置比例提高至15%至25%，但应密切关注行业基本面变化，及时调整仓位。</w:t>
      </w:r>
    </w:p>
    <w:p>
      <w:pPr>
        <w:ind w:firstLine="420"/>
      </w:pPr>
      <w:r>
        <w:t>无论采用何种策略，投资者都应定期（至少每季度一次）审视通信行业ETF的持仓权重和基本面变化。特别是光模块产品的迭代节奏——从800G到1.6T的升级进度、各厂商的市场份额变化以及新进入者的竞争态势——这些都可能影响ETF的长期表现。此外，由于通信ETF的前十持仓集中度较高（515880高达68.49%），个别持仓股票的异常波动可能对ETF净值产生较大影响，投资者应关注重仓股的风险事件。建议投资者建立一套定期的ETF复盘机制，跟踪指数成分股调整、基金规模变化和跟踪误差等关键指标，以确保ETF的运作符合投资预期。</w:t>
      </w:r>
    </w:p>
    <w:p>
      <w:pPr>
        <w:ind w:firstLine="420"/>
      </w:pPr>
      <w:r>
        <w:t>从资产配置的宏观视角来看，通信行业ETF在投资组合中的定位应当是科技成长板块的核心卫星配置。在一个典型的A股投资组合中，建议将权益资产分为核心仓位（大盘蓝筹ETF、红利ETF）和卫星仓位（行业主题ETF）。通信行业ETF作为卫星仓位中科技成长方向的代表性配置，其权重建议控制在总组合的5%至15%之间，具体取决于投资者的风险偏好和对AI产业趋势的判断信心。在组合风险管理的框架下，通信行业ETF与半导体ETF的相关性较高，投资者需要注意避免在高度相关的行业ETF上过度集中。可以将通信ETF与医药ETF、新能源ETF等低相关性的行业主题搭配，以降低组合的整体波动率。</w:t>
      </w:r>
    </w:p>
    <w:p>
      <w:pPr>
        <w:pStyle w:val="Heading1"/>
      </w:pPr>
      <w:r>
        <w:t>五、投资风险</w:t>
      </w:r>
    </w:p>
    <w:p>
      <w:pPr>
        <w:pStyle w:val="Heading2"/>
      </w:pPr>
      <w:r>
        <w:t>5.1 技术迭代风险</w:t>
      </w:r>
    </w:p>
    <w:p>
      <w:pPr>
        <w:ind w:firstLine="420"/>
      </w:pPr>
      <w:r>
        <w:t>光模块行业的技术迭代速度极快，从400G到800G再到1.6T，产品换代周期显著缩短。这种快速迭代虽然为行业带来了持续的增长动力，但也给企业带来了巨大的研发和产能投入压力。如果某家厂商在新一代产品的研发或量产上出现延迟，可能迅速丧失市场地位。对于ETF投资者而言，技术迭代风险主要体现在指数成分股的调整上——如果某只重仓股因技术落后而被调出指数，ETF将被迫在低位卖出该股票，对净值产生负面影响。此外，硅光、CPO等新技术路径的兴起，也可能对传统可插拔光模块厂商的商业模式产生冲击，尽管这些技术的成熟和普及仍需时间。技术迭代风险的另一个维度是过度投资的风险——在行业景气高峰期，大量企业涌入可能导致产能过剩，在技术换代时形成较大的资产减值压力。</w:t>
      </w:r>
    </w:p>
    <w:p>
      <w:pPr>
        <w:pStyle w:val="Heading2"/>
      </w:pPr>
      <w:r>
        <w:t>5.2 地缘政治与供应链风险</w:t>
      </w:r>
    </w:p>
    <w:p>
      <w:pPr>
        <w:ind w:firstLine="420"/>
      </w:pPr>
      <w:r>
        <w:t>通信行业，尤其是光模块和光芯片领域，是中美科技竞争的核心战场之一。美国政府对高端半导体和光通信设备的出口管制可能进一步收紧，影响国内厂商获取关键芯片和制造设备的能力。虽然中国光模块厂商在封装和制造环节具有全球领先优势，但在高端光芯片（尤其是EML和CW光源）上仍然依赖海外供应商。如果地缘政治局势恶化，可能导致供应链中断，进而影响光模块厂商的出货和盈利。此外，部分国内通信设备商已在美国实体清单中，这对其海外业务的拓展形成了实质性障碍。地缘政治风险的不可预测性使其成为通信ETF投资中最难量化的风险因素之一。投资者需要持续关注中美科技博弈的最新动态，评估其对通信行业ETF持仓公司的潜在影响。</w:t>
      </w:r>
    </w:p>
    <w:p>
      <w:pPr>
        <w:pStyle w:val="Heading2"/>
      </w:pPr>
      <w:r>
        <w:t>5.3 估值与预期风险</w:t>
      </w:r>
    </w:p>
    <w:p>
      <w:pPr>
        <w:ind w:firstLine="420"/>
      </w:pPr>
      <w:r>
        <w:t>经过2024至2025年的大幅上涨，通信行业相关标的的估值水平已处于历史高位。通信ETF华夏和通信ETF国泰近一年涨幅分别达到203.01%和244.88%，市场对AI算力基础设施的乐观预期已经被充分定价。在估值高位，任何不及预期的消息——例如云厂商资本开支增速放缓、光模块产品价格下降或AI应用落地不及预期——都可能引发板块的大幅回调。从估值方法来看，当前光模块龙头公司的远期市盈率已显著高于历史均值，反映的是市场对高增速持续性的乐观预期。如果AI大模型的商业化进程慢于市场预期，或者出现其他颠覆性技术路线（如量子计算、光子计算等），整个AI产业链的估值泡沫可能面临回调压力，通信ETF作为AI产业链的重要组成部分，将难以独善其身。</w:t>
      </w:r>
    </w:p>
    <w:p>
      <w:pPr>
        <w:pStyle w:val="Heading2"/>
      </w:pPr>
      <w:r>
        <w:t>5.4 行业竞争与价格战风险</w:t>
      </w:r>
    </w:p>
    <w:p>
      <w:pPr>
        <w:ind w:firstLine="420"/>
      </w:pPr>
      <w:r>
        <w:t>光模块行业的高盈利能力和快速增长的蛋糕，正在吸引越来越多的竞争者加入。虽然中际旭创、新易盛等龙头厂商凭借技术和客户关系建立了较高的进入壁垒，但在800G和1.6T等热门产品上，新进入者和现有竞争者之间的价格竞争正在加剧。特别是在中低端产品市场上，价格战的风险不容忽视。如果行业价格战全面爆发，光模块厂商的毛利率将受到显著压缩，进而影响其盈利能力和估值水平。从历史经验看，光模块行业在每一次产品迭代的中后期都会经历一轮价格竞争，当前800G产品的量产进入第二年，正是价格敏感度上升的阶段。对于ETF投资者而言，价格战风险的传导路径是：竞争加剧导致行业利润率下降，进而拖累指数成分股的盈利预测和估值倍数，最终反映为ETF净值的下跌。</w:t>
      </w:r>
    </w:p>
    <w:p>
      <w:pPr>
        <w:pStyle w:val="Heading2"/>
      </w:pPr>
      <w:r>
        <w:t>5.5 集中度风险</w:t>
      </w:r>
    </w:p>
    <w:p>
      <w:pPr>
        <w:ind w:firstLine="420"/>
      </w:pPr>
      <w:r>
        <w:t>通信ETF的持仓集中度较高，尤其是通信ETF国泰（515880），前十持仓占比高达68.49%，其中新易盛和中际旭创两只股票合计占比28.66%。这种高集中度意味着，如果重仓股出现个别风险事件（如业绩不及预期、管理层变动、法律纠纷等），ETF净值将受到较大冲击。从历史数据来看，光模块龙头公司在业绩披露季前后的股价波动幅度通常在10%至20%之间，这意味着单只重仓股的业绩波动可能对ETF净值产生1%至3%的影响。此外，两只ETF的指数成分股中，光模块相关标的的权重合计均超过40%，行业集中度较高，一旦光模块板块整体回调，ETF的表现将受到显著影响。集中度风险的另一面是缺乏对冲工具——当光模块板块出现系统性风险时，由于ETF的持仓高度集中于光模块，投资者难以通过指数内的其他成分股来分散风险。</w:t>
      </w:r>
    </w:p>
    <w:p>
      <w:pPr>
        <w:ind w:firstLine="420"/>
      </w:pPr>
      <w:r>
        <w:t>此外，流动性风险也是通信ETF投资者需要关注的因素之一。虽然通信ETF华夏和通信ETF国泰的日均成交额在当前市场环境下能够满足大多数投资者的交易需求，但在极端市场行情下（如市场大幅下跌时出现集中赎回），ETF的二级市场交易价格可能偏离其净值，产生较大的折溢价。特别是在成分股停牌或涨跌停的情况下，ETF的申购赎回机制可能受到影响，进一步加剧流动性压力。对于资金量较大的机构投资者，建议在交易时充分考虑ETF的日均成交量和冲击成本，避免在流动性不足时进行大额交易。</w:t>
      </w:r>
    </w:p>
    <w:p>
      <w:pPr>
        <w:ind w:firstLine="420"/>
      </w:pPr>
      <w:r>
        <w:t>最后，汇率风险也值得通信ETF投资者关注。虽然515050和515880均为人民币计价的A股ETF，但其持仓的光模块龙头公司（如中际旭创、新易盛等）的营业收入中有相当比例来自海外市场，尤其是北美地区。人民币对美元汇率的波动将直接影响这些公司的财务表现——人民币升值会压缩海外收入的人民币金额，反之则会增厚。2024至2025年人民币汇率的波动幅度已经对部分通信设备公司的业绩产生了可感知的影响，投资者在分析ETF持仓公司的业绩时应将汇率因素纳入考量。</w:t>
      </w:r>
    </w:p>
    <w:p>
      <w:pPr>
        <w:ind w:firstLine="420"/>
      </w:pPr>
      <w:r>
        <w:t>投资者在配置通信ETF时，应充分认识到上述各类风险，避免将过多资金集中在单一行业ETF上，建议将通信ETF的配置控制在组合的合理比例范围内。同时，投资者应建立动态的风险监控机制，定期评估各类风险因素的变化情况，并在风险水平超出预设阈值时及时调整仓位。通信行业ETF的投资本质上是将产业趋势判断转化为投资组合的过程，只有在对风险有充分认知和管理的前提下，才能有效把握AI算力浪潮带来的投资机遇。</w:t>
      </w:r>
    </w:p>
    <w:p>
      <w:pPr>
        <w:pStyle w:val="Heading1"/>
      </w:pPr>
      <w:r>
        <w:t>结论</w:t>
      </w:r>
    </w:p>
    <w:p>
      <w:pPr>
        <w:ind w:firstLine="420"/>
      </w:pPr>
      <w:r>
        <w:t>综合以上分析，通信行业ETF在当前时点具有明确的投资价值。AI算力资本开支的持续高增长为通信基础设施提供了确定性的需求拉动，中国光模块厂商的全球领先地位确保了产业链利润留在A股市场，而ETF工具的分散化特性为投资者提供了高效参与这一产业趋势的通道。通信ETF华夏（515050）和通信ETF国泰（515880）分别代表了分散配置和集中配置两种策略，投资者可以根据自身的风险偏好和行业判断进行选择。展望未来，随着AI应用从训练走向推理部署、从数据中心走向边缘计算，通信行业的增长空间有望进一步打开。同时，投资者也应充分认识到技术迭代、地缘政治、估值偏高和持仓集中度等风险因素，做好仓位管理和动态调整。</w:t>
      </w:r>
    </w:p>
    <w:p>
      <w:pPr>
        <w:ind w:firstLine="420"/>
      </w:pPr>
      <w:r>
        <w:t>从更宏观的视角来看，通信行业正在从传统的“管道”角色升级为AI时代的“神经中枢”。网络互联不再是算力的附属品，而是决定算力系统能否高效运行的关键瓶颈。这一角色升级意味着通信行业在AI产业链中的价值占比将持续提升，通信ETF的投资逻辑也因此具备了更强的持续性和确定性。在AI时代，“算力+网络”将成为不可分割的基础设施整体，而通信行业ETF正是分享这一趋势的最佳投资工具之一。</w:t>
      </w:r>
    </w:p>
    <w:p>
      <w:pPr>
        <w:pStyle w:val="Heading1"/>
      </w:pPr>
      <w:r>
        <w:t>六、参考文献</w:t>
      </w:r>
    </w:p>
    <w:p>
      <w:pPr>
        <w:spacing w:after="60"/>
        <w:ind w:firstLine="0"/>
      </w:pPr>
      <w:r>
        <w:t>[1] 中国信息通信研究院. (2024). 全球数字经济白皮书（2024年）. 北京: 中国信息通信研究院.</w:t>
      </w:r>
    </w:p>
    <w:p>
      <w:pPr>
        <w:spacing w:after="60"/>
        <w:ind w:firstLine="0"/>
      </w:pPr>
      <w:r>
        <w:t>[2] 工业和信息化部. (2023). 关于推进5G轻量化（RedCap）技术演进和应用创新发展的通知. 工信部通信函.</w:t>
      </w:r>
    </w:p>
    <w:p>
      <w:pPr>
        <w:spacing w:after="60"/>
        <w:ind w:firstLine="0"/>
      </w:pPr>
      <w:r>
        <w:t>[3] 工业和信息化部. (2024). 算力基础设施高质量发展行动计划. 工信部通信.</w:t>
      </w:r>
    </w:p>
    <w:p>
      <w:pPr>
        <w:spacing w:after="60"/>
        <w:ind w:firstLine="0"/>
      </w:pPr>
      <w:r>
        <w:t>[4] 工业和信息化部. (2024). 十四五信息通信行业发展规划中期评估报告. 北京.</w:t>
      </w:r>
    </w:p>
    <w:p>
      <w:pPr>
        <w:spacing w:after="60"/>
        <w:ind w:firstLine="0"/>
      </w:pPr>
      <w:r>
        <w:t>[5] 工业和信息化部. (2025). 加快推进5G-A/6G网络建设的通知. 北京.</w:t>
      </w:r>
    </w:p>
    <w:p>
      <w:pPr>
        <w:spacing w:after="60"/>
        <w:ind w:firstLine="0"/>
      </w:pPr>
      <w:r>
        <w:t>[6] 工业和信息化部. (2025). 关于加快推进新型工业化的实施方案. 北京.</w:t>
      </w:r>
    </w:p>
    <w:p>
      <w:pPr>
        <w:spacing w:after="60"/>
        <w:ind w:firstLine="0"/>
      </w:pPr>
      <w:r>
        <w:t>[7] 中国移动有限公司. (2026). 2025年度报告. 香港: 中国移动有限公司.</w:t>
      </w:r>
    </w:p>
    <w:p>
      <w:pPr>
        <w:spacing w:after="60"/>
        <w:ind w:firstLine="0"/>
      </w:pPr>
      <w:r>
        <w:t>[8] 中国电信股份有限公司. (2026). 2025年度报告. 北京: 中国电信股份有限公司.</w:t>
      </w:r>
    </w:p>
    <w:p>
      <w:pPr>
        <w:spacing w:after="60"/>
        <w:ind w:firstLine="0"/>
      </w:pPr>
      <w:r>
        <w:t>[9] 中国联合网络通信股份有限公司. (2026). 2025年度报告. 北京: 中国联通.</w:t>
      </w:r>
    </w:p>
    <w:p>
      <w:pPr>
        <w:spacing w:after="60"/>
        <w:ind w:firstLine="0"/>
      </w:pPr>
      <w:r>
        <w:t>[10] 华夏基金管理有限公司. (2026). 华夏中证5G通信主题交易型开放式指数证券投资基金2025年年度报告. 北京.</w:t>
      </w:r>
    </w:p>
    <w:p>
      <w:pPr>
        <w:spacing w:after="60"/>
        <w:ind w:firstLine="0"/>
      </w:pPr>
      <w:r>
        <w:t>[11] 国泰基金管理有限公司. (2026). 国泰中证全指通信设备交易型开放式指数证券投资基金2025年年度报告. 上海.</w:t>
      </w:r>
    </w:p>
    <w:p>
      <w:pPr>
        <w:spacing w:after="60"/>
        <w:ind w:firstLine="0"/>
      </w:pPr>
      <w:r>
        <w:t>[12] IDC. (2025). Worldwide AI Server Forecast, 2025-2030. Framingham, MA: International Data Corporation.</w:t>
      </w:r>
    </w:p>
    <w:p>
      <w:pPr>
        <w:spacing w:after="60"/>
        <w:ind w:firstLine="0"/>
      </w:pPr>
      <w:r>
        <w:t>[13] LightCounting. (2025). High Speed Optics for AI: Market Forecast 2025-2030. Newton, MA: LightCounting Market Research.</w:t>
      </w:r>
    </w:p>
    <w:p>
      <w:pPr>
        <w:spacing w:after="60"/>
        <w:ind w:firstLine="0"/>
      </w:pPr>
      <w:r>
        <w:t>[14] LightCounting. (2025). Ethernet Optical Transceiver Market Report 2025. Newton, MA: LightCounting Market Research.</w:t>
      </w:r>
    </w:p>
    <w:p>
      <w:pPr>
        <w:spacing w:after="60"/>
        <w:ind w:firstLine="0"/>
      </w:pPr>
      <w:r>
        <w:t>[15] Yole Developpement. (2025). Silicon Photonics 2025: Market and Technology Report. Lyon, France: Yole Group.</w:t>
      </w:r>
    </w:p>
    <w:p>
      <w:pPr>
        <w:spacing w:after="60"/>
        <w:ind w:firstLine="0"/>
      </w:pPr>
      <w:r>
        <w:t>[16] Yole Developpement. (2025). Co-Packaged Optics (CPO): Market and Technology Forecast 2025-2030. Lyon, France: Yole Group.</w:t>
      </w:r>
    </w:p>
    <w:p>
      <w:pPr>
        <w:spacing w:after="60"/>
        <w:ind w:firstLine="0"/>
      </w:pPr>
      <w:r>
        <w:t>[17] CRU International. (2025). Optical Fibre and Cable Market Review and Forecast 2025. London: CRU Group.</w:t>
      </w:r>
    </w:p>
    <w:p>
      <w:pPr>
        <w:spacing w:after="60"/>
        <w:ind w:firstLine="0"/>
      </w:pPr>
      <w:r>
        <w:t>[18] 源杰科技股份有限公司. (2025). 2025年第三季度报告. 西安.</w:t>
      </w:r>
    </w:p>
    <w:p>
      <w:pPr>
        <w:spacing w:after="60"/>
        <w:ind w:firstLine="0"/>
      </w:pPr>
      <w:r>
        <w:t>[19] Coherent Corp. (2026). Fiscal Year 2025 Annual Report. Saxonburg, PA: Coherent Corp.</w:t>
      </w:r>
    </w:p>
    <w:p>
      <w:pPr>
        <w:spacing w:after="60"/>
        <w:ind w:firstLine="0"/>
      </w:pPr>
      <w:r>
        <w:t>[20] Lumentum Corporation. (2026). Fiscal Year 2025 Annual Report. Milpitas, CA: Lumentum Corporation.</w:t>
      </w:r>
    </w:p>
    <w:p>
      <w:pPr>
        <w:spacing w:after="60"/>
        <w:ind w:firstLine="0"/>
      </w:pPr>
      <w:r>
        <w:t>[21] Nature Photonics. (2024). Hollow-core fibers for low-latency and high-capacity communications. Nature Photonics, 18(4), 345-356.</w:t>
      </w:r>
    </w:p>
    <w:p>
      <w:pPr>
        <w:spacing w:after="60"/>
        <w:ind w:firstLine="0"/>
      </w:pPr>
      <w:r>
        <w:t>[22] Wind资讯. (2026). 光模块行业数据及财务指标. 检索于2026年4月.</w:t>
      </w:r>
    </w:p>
    <w:p>
      <w:pPr>
        <w:spacing w:after="60"/>
        <w:ind w:firstLine="0"/>
      </w:pPr>
      <w:r>
        <w:t>[23] 海关总署. (2026). 2025年光纤光缆出口统计数据. 北京.</w:t>
      </w:r>
    </w:p>
    <w:p>
      <w:pPr>
        <w:spacing w:after="60"/>
        <w:ind w:firstLine="0"/>
      </w:pPr>
      <w:r>
        <w:t>[24] 前瞻产业研究院. (2025). 2025-2030年中国AI算力行业深度研究报告. 深圳.</w:t>
      </w:r>
    </w:p>
    <w:p>
      <w:pPr>
        <w:spacing w:after="60"/>
        <w:ind w:firstLine="0"/>
      </w:pPr>
      <w:r>
        <w:t>[25] 中际旭创股份有限公司. (2025). 2025年年度报告. 苏州.</w:t>
      </w:r>
    </w:p>
    <w:p>
      <w:pPr>
        <w:spacing w:after="60"/>
        <w:ind w:firstLine="0"/>
      </w:pPr>
      <w:r>
        <w:t>[26] 新易盛通信技术股份有限公司. (2025). 2025年年度报告. 成都.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