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pPr>
        <w:pStyle w:val="1"/>
        <w:rPr>
          <w:rFonts w:hint="eastAsia"/>
        </w:rPr>
      </w:pPr>
      <w:r w:rsidR="0003199B">
        <w:rPr>
          <w:rFonts w:hint="eastAsia"/>
          <w:sz w:val="48"/>
          <w:szCs w:val="48"/>
        </w:rPr>
        <w:t>一.行业概览</w:t>
      </w:r>
    </w:p>
    <w:p>
      <w:pPr>
        <w:pStyle w:val="2"/>
        <w:rPr>
          <w:rFonts w:hint="eastAsia"/>
        </w:rPr>
      </w:pPr>
      <w:r w:rsidR="00C22F0C">
        <w:rPr>
          <w:rFonts w:hint="eastAsia"/>
          <w:sz w:val="40"/>
          <w:szCs w:val="40"/>
        </w:rPr>
        <w:t>.1定义与分类</w:t>
      </w:r>
    </w:p>
    <w:p>
      <w:pPr>
        <w:pStyle w:val="3"/>
        <w:rPr>
          <w:rFonts w:hint="eastAsia"/>
        </w:rPr>
      </w:pPr>
      <w:r w:rsidR="005870B1">
        <w:rPr>
          <w:rFonts w:hint="eastAsia"/>
          <w:sz w:val="32"/>
          <w:szCs w:val="32"/>
        </w:rPr>
        <w:t>定义</w:t>
      </w:r>
    </w:p>
    <w:p>
      <w:pPr>
        <w:pStyle w:val="a"/>
        <w:rPr>
          <w:rFonts w:hint="eastAsia"/>
        </w:rPr>
      </w:pPr>
      <w:r w:rsidRPr="001577D2">
        <w:rPr>
          <w:rFonts w:hint="eastAsia"/>
          <w:sz w:val="22"/>
          <w:szCs w:val="22"/>
        </w:rPr>
        <w:t>基础大模型，通常指通过海量多源数据训练、具备强大泛化能力的预训练模型（Pre-trained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至能够原生处理并关联文本、图像、音频、视频等信息的多模态大语言模型（MLLM）</w:t>
      </w:r>
    </w:p>
    <w:p>
      <w:pPr>
        <w:pStyle w:val="a"/>
        <w:rPr>
          <w:rFonts w:hint="eastAsia"/>
        </w:rPr>
      </w:pPr>
      <w:r>
        <w:rPr>
          <w:rFonts w:hint="eastAsia"/>
          <w:sz w:val="22"/>
          <w:szCs w:val="22"/>
        </w:rPr>
        <w:t>大模型的核心创新在于将模型参数规模扩展至数十亿（B级）甚至万亿（TB）级别，配合海量无标注文本数据的预训练，使模型能够捕捉语言中的深层统计规律与语义关联。这种规模化的预训练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pPr>
        <w:pStyle w:val="FirstParagraph"/>
        <w:rPr>
          <w:rFonts w:asciiTheme="minorHAnsi" w:eastAsiaTheme="minorHAnsi" w:hAnsiTheme="minorHAnsi" w:hint="eastAsia"/>
          <w:sz w:val="22"/>
          <w:szCs w:val="22"/>
          <w:lang w:eastAsia="zh-CN"/>
        </w:rPr>
      </w:pPr>
      <w:r>
        <w:rPr>
          <w:rFonts w:asciiTheme="minorHAnsi" w:eastAsiaTheme="minorHAnsi" w:hAnsiTheme="minorHAnsi" w:hint="eastAsia" w:ascii="Arial" w:hAnsi="Arial" w:eastAsia="宋体" w:cs="Times New Roman (正文 CS 字体)"/>
          <w:sz w:val="22"/>
          <w:szCs w:val="22"/>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trPr>
          <w:cnfStyle w:val="100000000000" w:firstRow="1" w:lastRow="0" w:firstColumn="0" w:lastColumn="0" w:oddVBand="0" w:evenVBand="0" w:oddHBand="0" w:evenHBand="0" w:firstRowFirstColumn="0" w:firstRowLastColumn="0" w:lastRowFirstColumn="0" w:lastRowLastColumn="0"/>
          <w:tblHeader w:val="1"/>
        </w:trPr>
        <w:tc>
          <w:tcPr>
            <w:tcW w:w="2074" w:type="dxa"/>
            <w:tcBorders>
              <w:bottom w:val="nil" w:sz="0" w:space="0" w:color="auto"/>
            </w:tcBorders>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sz w:val="22"/>
                <w:szCs w:val="24"/>
              </w:rPr>
              <w:t>核心能力</w:t>
            </w:r>
          </w:p>
        </w:tc>
        <w:tc>
          <w:tcPr>
            <w:tcW w:w="2074" w:type="dxa"/>
            <w:tcBorders>
              <w:bottom w:val="nil" w:sz="0" w:space="0" w:color="auto"/>
            </w:tcBorders>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sz w:val="22"/>
                <w:szCs w:val="24"/>
              </w:rPr>
              <w:t>技术内涵</w:t>
            </w:r>
          </w:p>
        </w:tc>
        <w:tc>
          <w:tcPr>
            <w:tcW w:w="2074" w:type="dxa"/>
            <w:tcBorders>
              <w:bottom w:val="nil" w:sz="0" w:space="0" w:color="auto"/>
            </w:tcBorders>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sz w:val="22"/>
                <w:szCs w:val="24"/>
              </w:rPr>
              <w:t>典型表现</w:t>
            </w:r>
          </w:p>
        </w:tc>
        <w:tc>
          <w:tcPr>
            <w:tcW w:w="2074" w:type="dxa"/>
            <w:tcBorders>
              <w:bottom w:val="nil" w:sz="0" w:space="0" w:color="auto"/>
            </w:tcBorders>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sz w:val="22"/>
                <w:szCs w:val="24"/>
              </w:rPr>
              <w:t>关键突破节点</w:t>
            </w:r>
          </w:p>
        </w:tc>
      </w:tr>
      <w:tr>
        <w:tc>
          <w:tcPr>
            <w:tcW w:w="2074" w:type="dxa"/>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b/>
                <w:sz w:val="22"/>
                <w:szCs w:val="22"/>
              </w:rPr>
              <w:t>涌现能力</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规模达到临界点后自发出现的新能力</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链式思维推理、少样本学习、复杂规划</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GPT-3（1750亿参数）首次显著展现</w:t>
            </w:r>
          </w:p>
        </w:tc>
      </w:tr>
      <w:tr>
        <w:tc>
          <w:tcPr>
            <w:tcW w:w="2074" w:type="dxa"/>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b/>
                <w:sz w:val="22"/>
                <w:szCs w:val="22"/>
              </w:rPr>
              <w:t>上下文学习</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无需参数更新，通过提示示例快速适应新任务</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给定几个示例即可完成分类、翻译、摘要等</w:t>
            </w:r>
          </w:p>
        </w:tc>
        <w:tc>
          <w:tcPr>
            <w:tcW w:w="2074" w:type="dxa"/>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sz w:val="22"/>
                <w:szCs w:val="24"/>
              </w:rPr>
              <w:t>GPT-3的In-Context Learning机制</w:t>
            </w:r>
          </w:p>
        </w:tc>
      </w:tr>
      <w:tr>
        <w:tc>
          <w:tcPr>
            <w:tcW w:w="2074" w:type="dxa"/>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b/>
                <w:sz w:val="22"/>
                <w:szCs w:val="22"/>
              </w:rPr>
              <w:t>指令遵循</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准确理解自然语言指令并按期望格式输出</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多轮对话、复杂任务分解、格式控制</w:t>
            </w:r>
          </w:p>
        </w:tc>
        <w:tc>
          <w:tcPr>
            <w:tcW w:w="2074" w:type="dxa"/>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sz w:val="22"/>
                <w:szCs w:val="24"/>
              </w:rPr>
              <w:t>ChatGPT的RLHF对齐技术</w:t>
            </w:r>
          </w:p>
        </w:tc>
      </w:tr>
      <w:tr>
        <w:tc>
          <w:tcPr>
            <w:tcW w:w="2074" w:type="dxa"/>
          </w:tcPr>
          <w:p>
            <w:pPr>
              <w:pStyle w:val="Compact"/>
              <w:rPr>
                <w:rFonts w:asciiTheme="minorHAnsi" w:eastAsiaTheme="minorHAnsi" w:hAnsiTheme="minorHAnsi" w:hint="eastAsia"/>
                <w:sz w:val="22"/>
                <w:szCs w:val="22"/>
              </w:rPr>
            </w:pPr>
            <w:r w:rsidRPr="00CF4646">
              <w:rPr>
                <w:rFonts w:asciiTheme="minorHAnsi" w:eastAsiaTheme="minorHAnsi" w:hAnsiTheme="minorHAnsi" w:ascii="Arial" w:hAnsi="Arial" w:eastAsia="宋体" w:cs="Times New Roman (正文 CS 字体)"/>
                <w:b/>
                <w:sz w:val="22"/>
                <w:szCs w:val="22"/>
              </w:rPr>
              <w:t>多任务泛化</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单一模型处理多样化任务的能力</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文本生成、代码编写、逻辑推理、创意写作</w:t>
            </w:r>
          </w:p>
        </w:tc>
        <w:tc>
          <w:tcPr>
            <w:tcW w:w="2074" w:type="dxa"/>
          </w:tcPr>
          <w:p>
            <w:pPr>
              <w:pStyle w:val="Compact"/>
              <w:rPr>
                <w:rFonts w:asciiTheme="minorHAnsi" w:eastAsiaTheme="minorHAnsi" w:hAnsiTheme="minorHAnsi" w:hint="eastAsia"/>
                <w:sz w:val="22"/>
                <w:szCs w:val="22"/>
                <w:lang w:eastAsia="zh-CN"/>
              </w:rPr>
            </w:pPr>
            <w:r w:rsidRPr="00CF4646">
              <w:rPr>
                <w:rFonts w:asciiTheme="minorHAnsi" w:eastAsiaTheme="minorHAnsi" w:hAnsiTheme="minorHAnsi" w:ascii="Arial" w:hAnsi="Arial" w:eastAsia="宋体" w:cs="Times New Roman (正文 CS 字体)"/>
                <w:sz w:val="22"/>
                <w:szCs w:val="22"/>
                <w:lang w:eastAsia="zh-CN"/>
              </w:rPr>
              <w:t>GPT-4的专业考试人类水平表现</w:t>
            </w:r>
          </w:p>
        </w:tc>
      </w:tr>
    </w:tbl>
    <w:p>
      <w:pPr>
        <w:pStyle w:val="a"/>
        <w:rPr>
          <w:rFonts w:eastAsiaTheme="minorHAnsi" w:hint="eastAsia"/>
          <w:szCs w:val="22"/>
        </w:rPr>
      </w:pPr>
      <w:r w:rsidRPr="00334673">
        <w:rPr>
          <w:rFonts w:eastAsiaTheme="minorHAnsi" w:hint="eastAsia"/>
          <w:szCs w:val="22"/>
          <w:sz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2024年底至2026年初，LLM领域经历了从规模扩展到多维度深化的范式转变，MoE架构主流化解决了参数规模与计算成本的矛盾，测试时推理扩展为专业任务提供了新的能力上限。</w:t>
      </w:r>
    </w:p>
    <w:p>
      <w:pPr>
        <w:pStyle w:val="a"/>
        <w:rPr>
          <w:rFonts w:eastAsiaTheme="minorHAnsi" w:hint="eastAsia"/>
          <w:szCs w:val="22"/>
        </w:rPr>
      </w:pPr>
      <w:r w:rsidRPr="00334673">
        <w:rPr>
          <w:rFonts w:eastAsiaTheme="minorHAnsi" w:hint="eastAsia"/>
          <w:szCs w:val="22"/>
          <w:sz w:val="22"/>
        </w:rPr>
        <w:t>上下文学习能力尤其值得关注，因为它极大地降低了模型适应新任务的门槛。用户无需具备深度学习专业知识，即可通过自然语言指令引导模型完成特定任务。这一能力的基础在于预训练过程中模型对海量文本中隐含模式的学习——互联网文本中天然包含了大量”问题-答案”、“指令-响应”等形式的配对数据。</w:t>
      </w:r>
    </w:p>
    <w:p>
      <w:pPr>
        <w:pStyle w:val="a"/>
        <w:rPr>
          <w:rFonts w:eastAsiaTheme="minorHAnsi" w:hint="eastAsia"/>
          <w:szCs w:val="22"/>
        </w:rPr>
      </w:pPr>
      <w:r w:rsidRPr="00CF4646">
        <w:rPr>
          <w:rFonts w:eastAsiaTheme="minorHAnsi"/>
          <w:szCs w:val="22"/>
          <w:sz w:val="22"/>
        </w:rPr>
        <w:t>指令遵循能力的提升则得益于有监督微调（SFT）和基于人类反馈的强化学习（RLHF）等对齐技术。这一系列技术显著提升了大模型的实用性和安全性，使其从”文本补全工具”转变为”有用、诚实、无害”的智能助手</w:t>
      </w:r>
    </w:p>
    <w:p>
      <w:pPr>
        <w:pStyle w:val="a"/>
        <w:rPr>
          <w:rFonts w:eastAsiaTheme="minorHAnsi" w:hint="eastAsia"/>
          <w:szCs w:val="22"/>
        </w:rPr>
      </w:pPr>
      <w:r w:rsidRPr="00695D4E">
        <w:rPr>
          <w:rFonts w:eastAsiaTheme="minorHAnsi"/>
          <w:szCs w:val="22"/>
          <w:sz w:val="22"/>
        </w:rPr>
        <w:t>多任务泛化能力尤其值得关注，因为它打破了“一任务一模型”的传统壁垒，使单一模型得以同时处理分类、生成、推理、翻译与代码等异构任务。这一能力的基础在于预训练阶段对海量异构数据中跨域统计规律的学习——互联网文本天然融合了代码、对话、论文与表格等多种任务形式，模型在压缩这些复杂分布的过程中习得可迁移的抽象表征与通用推理框架。其显性化则得益于统一的 next-token prediction 预训练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pPr>
        <w:pStyle w:val="3"/>
        <w:rPr>
          <w:rFonts w:hint="eastAsia"/>
        </w:rPr>
      </w:pPr>
      <w:r w:rsidR="005870B1">
        <w:rPr>
          <w:rFonts w:hint="eastAsia"/>
          <w:sz w:val="32"/>
          <w:szCs w:val="32"/>
        </w:rPr>
        <w:t>技术原理</w:t>
      </w:r>
    </w:p>
    <w:p>
      <w:pPr>
        <w:pStyle w:val="FirstParagraph"/>
        <w:rPr>
          <w:lang w:eastAsia="zh-CN"/>
        </w:rPr>
      </w:pPr>
      <w:r w:rsidR="00200C80">
        <w:rPr>
          <w:b/>
          <w:lang w:eastAsia="zh-CN"/>
          <w:sz w:val="24"/>
          <w:szCs w:val="22"/>
          <w:rFonts w:ascii="Arial" w:hAnsi="Arial" w:eastAsia="宋体" w:cs="Times New Roman (正文 CS 字体)"/>
        </w:rPr>
        <w:t>起点（2017）其技术本质根植于</w:t>
      </w:r>
      <w:r w:rsidR="00200C80">
        <w:rPr>
          <w:b/>
          <w:lang w:eastAsia="zh-CN"/>
          <w:sz w:val="24"/>
          <w:szCs w:val="24"/>
          <w:rFonts w:ascii="Arial" w:hAnsi="Arial" w:eastAsia="宋体" w:cs="Times New Roman (正文 CS 字体)"/>
        </w:rPr>
        <w:t>Transformer架构的自注意力机制</w:t>
      </w:r>
      <w:r w:rsidR="00200C80">
        <w:rPr>
          <w:lang w:eastAsia="zh-CN"/>
          <w:sz w:val="24"/>
          <w:szCs w:val="22"/>
          <w:rFonts w:ascii="Arial" w:hAnsi="Arial" w:eastAsia="宋体" w:cs="Times New Roman (正文 CS 字体)"/>
        </w:rPr>
        <w:t>与</w:t>
      </w:r>
      <w:r w:rsidR="00200C80">
        <w:rPr>
          <w:b/>
          <w:lang w:eastAsia="zh-CN"/>
          <w:sz w:val="24"/>
          <w:szCs w:val="24"/>
          <w:rFonts w:ascii="Arial" w:hAnsi="Arial" w:eastAsia="宋体" w:cs="Times New Roman (正文 CS 字体)"/>
        </w:rPr>
        <w:t>大规模预训练范式</w:t>
      </w:r>
      <w:r w:rsidR="00200C80">
        <w:rPr>
          <w:lang w:eastAsia="zh-CN"/>
          <w:sz w:val="24"/>
          <w:szCs w:val="22"/>
          <w:rFonts w:ascii="Arial" w:hAnsi="Arial" w:eastAsia="宋体" w:cs="Times New Roman (正文 CS 字体)"/>
        </w:rPr>
        <w:t>。Transformer架构由Vaswani等人于2017年提出，通过自注意力机制（Self-Attention）实现了序列数据的并行处理，彻底改变了自然语言处理的技术范式。</w:t>
      </w:r>
    </w:p>
    <w:p w14:paraId="111219EF" w14:textId="77777777" w:rsidR="00200C80" w:rsidRDefault="00200C80" w:rsidP="00200C80">
      <w:pPr>
        <w:pStyle w:val="FirstParagraph"/>
        <w:jc w:val="center"/>
        <w:rPr>
          <w:lang w:eastAsia="zh-CN"/>
        </w:rPr>
      </w:pPr>
      <w:r>
        <w:rPr>
          <w:noProof/>
          <w:lang w:eastAsia="zh-CN"/>
        </w:rPr>
        <w:drawing>
          <wp:inline distT="0" distB="0" distL="0" distR="0" wp14:anchorId="19263A38" wp14:editId="6A94276B">
            <wp:extent cx="2425224" cy="3417361"/>
            <wp:effectExtent l="0" t="0" r="0" b="0"/>
            <wp:docPr id="1724998548" name="图片 1"/>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7" cstate="print">
                      <a:extLst>
                        <a:ext uri="{28A0092B-C50C-407E-A947-70E740481C1C}">
                          <ns8:useLocalDpi val="0"/>
                        </a:ext>
                      </a:extLst>
                    </a:blip>
                    <a:srcRect/>
                    <a:stretch>
                      <a:fillRect/>
                    </a:stretch>
                  </pic:blipFill>
                  <pic:spPr bwMode="auto">
                    <a:xfrm>
                      <a:off x="0" y="0"/>
                      <a:ext cx="2447166" cy="3448280"/>
                    </a:xfrm>
                    <a:prstGeom prst="rect">
                      <a:avLst/>
                    </a:prstGeom>
                    <a:noFill/>
                  </pic:spPr>
                </pic:pic>
              </a:graphicData>
            </a:graphic>
          </wp:inline>
        </w:drawing>
      </w:r>
    </w:p>
    <w:p>
      <w:pPr>
        <w:pStyle w:val="a"/>
        <w:rPr>
          <w:rFonts w:ascii="Arial" w:eastAsia="宋体" w:hAnsi="Arial" w:cs="Times New Roman (正文 CS 字体)"/>
          <w:kern w:val="0"/>
          <w:sz w:val="24"/>
          <w14:ligatures w14:val="none"/>
        </w:rPr>
      </w:pPr>
      <w:r w:rsidRPr="003C612B">
        <w:rPr>
          <w:rFonts w:ascii="Arial" w:eastAsia="宋体" w:hAnsi="Arial" w:cs="Times New Roman (正文 CS 字体)" w:hint="eastAsia"/>
          <w:sz w:val="24"/>
          <w:szCs w:val="22"/>
        </w:rPr>
        <w:t>根节点与范式确立（2017-2020）：Transformer架构的提出是决定性起点，其自注意力机制实现了序列数据的并行处理，为模型规模指数级扩展提供了基础，直接催生了Scaling Law（规模定律）。随后，BERT和GPT分别确立了“预训练+微调”的范式，证明了大规模预训练模型的可迁移性，降低了下游任务的应用门槛。</w:t>
      </w:r>
    </w:p>
    <w:p>
      <w:pPr>
        <w:pStyle w:val="a"/>
        <w:rPr>
          <w:rFonts w:ascii="Arial" w:eastAsia="宋体" w:hAnsi="Arial" w:cs="Times New Roman (正文 CS 字体)"/>
          <w:kern w:val="0"/>
          <w:sz w:val="24"/>
          <w14:ligatures w14:val="none"/>
        </w:rPr>
      </w:pPr>
      <w:r w:rsidRPr="003C612B">
        <w:rPr>
          <w:rFonts w:ascii="Arial" w:eastAsia="宋体" w:hAnsi="Arial" w:cs="Times New Roman (正文 CS 字体)" w:hint="eastAsia"/>
          <w:sz w:val="24"/>
          <w:szCs w:val="22"/>
        </w:rPr>
        <w:t>应用爆发与对齐技术（2021-2022）：GPT-3展示了少样本学习的潜力，而ChatGPT的推出标志着大模型进入公众视野。这一阶段的核心进展是后训练对齐技术的成熟，特别是监督微调（SFT）和基于人类反馈的强化学习（RLHF）的广泛应用，解决了模型输出与人类意图、安全性对齐的关键问题，大幅提升了模型的可用性和可靠性。</w:t>
      </w:r>
    </w:p>
    <w:p>
      <w:pPr>
        <w:pStyle w:val="a"/>
        <w:rPr>
          <w:rFonts w:ascii="Arial" w:eastAsia="宋体" w:hAnsi="Arial" w:cs="Times New Roman (正文 CS 字体)"/>
          <w:kern w:val="0"/>
          <w:sz w:val="24"/>
          <w14:ligatures w14:val="none"/>
        </w:rPr>
      </w:pPr>
      <w:r w:rsidRPr="003C612B">
        <w:rPr>
          <w:rFonts w:ascii="Arial" w:eastAsia="宋体" w:hAnsi="Arial" w:cs="Times New Roman (正文 CS 字体)" w:hint="eastAsia"/>
          <w:sz w:val="24"/>
          <w:szCs w:val="22"/>
        </w:rPr>
        <w:t>多模态与推理深化（2023年至今）：技术焦点转向多模态统一（文本、图像、音频、视频）和深度推理能力。模型从单一模态生成迈向跨模态理解与生成，并出现了专门强化逻辑推理的“慢思考”模型（如OpenAI o系列、DeepSeek R1）。同时，开源生态崛起，以DeepSeek为代表的开源模型通过MoE等架构创新，在实现高性能的同时显著降低了成本，推动了技术的民主化</w:t>
      </w:r>
    </w:p>
    <w:p>
      <w:pPr>
        <w:pStyle w:val="a"/>
        <w:rPr>
          <w:rFonts w:ascii="Arial" w:eastAsia="宋体" w:hAnsi="Arial" w:cs="Times New Roman (正文 CS 字体)"/>
          <w:kern w:val="0"/>
          <w:sz w:val="24"/>
          <w14:ligatures w14:val="none"/>
        </w:rPr>
      </w:pPr>
      <w:r>
        <w:rPr>
          <w:rFonts w:ascii="Arial" w:eastAsia="宋体" w:hAnsi="Arial" w:cs="Times New Roman (正文 CS 字体)" w:hint="eastAsia"/>
          <w:sz w:val="24"/>
          <w:szCs w:val="22"/>
        </w:rPr>
        <w:t>从工程流程上，现代大模型的研发是一个高度工程化、分阶段的系统性过程，需要经历数据准备，架构设计，预训练，后训练，推理部署五个流程：</w:t>
      </w:r>
    </w:p>
    <w:tbl>
      <w:tblPr>
        <w:tblStyle w:val="a1"/>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7"/>
        <w:gridCol w:w="2675"/>
        <w:gridCol w:w="3740"/>
      </w:tblGrid>
      <w:tr>
        <w:trPr>
          <w:tblHeader w:val="1"/>
        </w:trPr>
        <w:tc>
          <w:tcPr>
            <w:tcW w:w="1584" w:type="dxa"/>
            <w:shd w:val="clear" w:color="auto" w:fill="F5F5F5"/>
            <w:tcMar>
              <w:top w:w="135" w:type="dxa"/>
              <w:left w:w="180" w:type="dxa"/>
              <w:bottom w:w="135" w:type="dxa"/>
              <w:right w:w="180" w:type="dxa"/>
            </w:tcMar>
            <w:vAlign w:val="center"/>
            <w:hideMark/>
          </w:tcPr>
          <w:p>
            <w:pPr>
              <w:pStyle w:val="a"/>
              <w:rPr>
                <w:rFonts w:hint="eastAsia"/>
                <w:b/>
                <w:bCs/>
              </w:rPr>
            </w:pPr>
            <w:r w:rsidRPr="004D35EB">
              <w:rPr>
                <w:b/>
                <w:rFonts w:hint="eastAsia"/>
                <w:sz w:val="22"/>
                <w:szCs w:val="22"/>
              </w:rPr>
              <w:t>阶段</w:t>
            </w:r>
          </w:p>
        </w:tc>
        <w:tc>
          <w:tcPr>
            <w:tcW w:w="1357" w:type="auto"/>
            <w:shd w:val="clear" w:color="auto" w:fill="F5F5F5"/>
            <w:tcMar>
              <w:top w:w="135" w:type="dxa"/>
              <w:left w:w="180" w:type="dxa"/>
              <w:bottom w:w="135" w:type="dxa"/>
              <w:right w:w="180" w:type="dxa"/>
            </w:tcMar>
            <w:vAlign w:val="center"/>
            <w:hideMark/>
          </w:tcPr>
          <w:p>
            <w:pPr>
              <w:pStyle w:val="a"/>
              <w:rPr>
                <w:rFonts w:hint="eastAsia"/>
                <w:b/>
                <w:bCs/>
              </w:rPr>
            </w:pPr>
            <w:r w:rsidRPr="004D35EB">
              <w:rPr>
                <w:b/>
                <w:rFonts w:hint="eastAsia"/>
                <w:sz w:val="22"/>
                <w:szCs w:val="22"/>
              </w:rPr>
              <w:t>核心任务</w:t>
            </w:r>
          </w:p>
        </w:tc>
        <w:tc>
          <w:tcPr>
            <w:tcW w:w="2675" w:type="auto"/>
            <w:shd w:val="clear" w:color="auto" w:fill="F5F5F5"/>
            <w:tcMar>
              <w:top w:w="135" w:type="dxa"/>
              <w:left w:w="180" w:type="dxa"/>
              <w:bottom w:w="135" w:type="dxa"/>
              <w:right w:w="180" w:type="dxa"/>
            </w:tcMar>
            <w:vAlign w:val="center"/>
            <w:hideMark/>
          </w:tcPr>
          <w:p>
            <w:pPr>
              <w:pStyle w:val="a"/>
              <w:rPr>
                <w:rFonts w:hint="eastAsia"/>
                <w:b/>
                <w:bCs/>
              </w:rPr>
            </w:pPr>
            <w:r w:rsidRPr="004D35EB">
              <w:rPr>
                <w:b/>
                <w:rFonts w:hint="eastAsia"/>
                <w:sz w:val="22"/>
                <w:szCs w:val="22"/>
              </w:rPr>
              <w:t>关键输入</w:t>
            </w:r>
          </w:p>
        </w:tc>
        <w:tc>
          <w:tcPr>
            <w:tcW w:w="3740" w:type="dxa"/>
            <w:shd w:val="clear" w:color="auto" w:fill="F5F5F5"/>
            <w:tcMar>
              <w:top w:w="135" w:type="dxa"/>
              <w:left w:w="180" w:type="dxa"/>
              <w:bottom w:w="135" w:type="dxa"/>
              <w:right w:w="180" w:type="dxa"/>
            </w:tcMar>
            <w:vAlign w:val="center"/>
            <w:hideMark/>
          </w:tcPr>
          <w:p>
            <w:pPr>
              <w:pStyle w:val="a"/>
              <w:rPr>
                <w:rFonts w:hint="eastAsia"/>
                <w:b/>
                <w:bCs/>
              </w:rPr>
            </w:pPr>
            <w:r w:rsidRPr="004D35EB">
              <w:rPr>
                <w:b/>
                <w:rFonts w:hint="eastAsia"/>
                <w:sz w:val="22"/>
                <w:szCs w:val="22"/>
              </w:rPr>
              <w:t>主要挑战与目标</w:t>
            </w:r>
          </w:p>
        </w:tc>
      </w:tr>
      <w:tr>
        <w:tc>
          <w:tcPr>
            <w:tcW w:w="1584" w:type="dxa"/>
            <w:shd w:val="clear" w:color="auto" w:fill="FFFFFF"/>
            <w:tcMar>
              <w:top w:w="135" w:type="dxa"/>
              <w:left w:w="180" w:type="dxa"/>
              <w:bottom w:w="135" w:type="dxa"/>
              <w:right w:w="180" w:type="dxa"/>
            </w:tcMar>
            <w:vAlign w:val="center"/>
            <w:hideMark/>
          </w:tcPr>
          <w:p>
            <w:pPr>
              <w:pStyle w:val="a"/>
              <w:rPr>
                <w:rFonts w:hint="eastAsia"/>
              </w:rPr>
            </w:pPr>
            <w:r w:rsidRPr="004D35EB">
              <w:rPr>
                <w:b/>
                <w:rFonts w:hint="eastAsia"/>
                <w:sz w:val="22"/>
                <w:szCs w:val="22"/>
              </w:rPr>
              <w:t>数据准备</w:t>
            </w:r>
          </w:p>
        </w:tc>
        <w:tc>
          <w:tcPr>
            <w:tcW w:w="1357"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构建高质量训练数据集</w:t>
            </w:r>
          </w:p>
        </w:tc>
        <w:tc>
          <w:tcPr>
            <w:tcW w:w="2675"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多模态、多语言原始数据</w:t>
            </w:r>
          </w:p>
        </w:tc>
        <w:tc>
          <w:tcPr>
            <w:tcW w:w="3740" w:type="dxa"/>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数据清洗、去噪、质量评估；确保数据代表性与多样性。</w:t>
            </w:r>
          </w:p>
        </w:tc>
      </w:tr>
      <w:tr>
        <w:tc>
          <w:tcPr>
            <w:tcW w:w="1584" w:type="dxa"/>
            <w:shd w:val="clear" w:color="auto" w:fill="FFFFFF"/>
            <w:tcMar>
              <w:top w:w="135" w:type="dxa"/>
              <w:left w:w="180" w:type="dxa"/>
              <w:bottom w:w="135" w:type="dxa"/>
              <w:right w:w="180" w:type="dxa"/>
            </w:tcMar>
            <w:vAlign w:val="center"/>
            <w:hideMark/>
          </w:tcPr>
          <w:p>
            <w:pPr>
              <w:pStyle w:val="a"/>
              <w:rPr>
                <w:rFonts w:hint="eastAsia"/>
              </w:rPr>
            </w:pPr>
            <w:r w:rsidRPr="004D35EB">
              <w:rPr>
                <w:b/>
                <w:rFonts w:hint="eastAsia"/>
                <w:sz w:val="22"/>
                <w:szCs w:val="22"/>
              </w:rPr>
              <w:t>架构设计</w:t>
            </w:r>
          </w:p>
        </w:tc>
        <w:tc>
          <w:tcPr>
            <w:tcW w:w="1357"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确定模型基础结构</w:t>
            </w:r>
          </w:p>
        </w:tc>
        <w:tc>
          <w:tcPr>
            <w:tcW w:w="2675"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Transformer及变体（MoE, 稀疏注意力）</w:t>
            </w:r>
          </w:p>
        </w:tc>
        <w:tc>
          <w:tcPr>
            <w:tcW w:w="3740" w:type="dxa"/>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平衡参数规模、训练/推理效率与长期成本；支持长上下文与多模态。</w:t>
            </w:r>
          </w:p>
        </w:tc>
      </w:tr>
      <w:tr>
        <w:tc>
          <w:tcPr>
            <w:tcW w:w="1584" w:type="dxa"/>
            <w:shd w:val="clear" w:color="auto" w:fill="FFFFFF"/>
            <w:tcMar>
              <w:top w:w="135" w:type="dxa"/>
              <w:left w:w="180" w:type="dxa"/>
              <w:bottom w:w="135" w:type="dxa"/>
              <w:right w:w="180" w:type="dxa"/>
            </w:tcMar>
            <w:vAlign w:val="center"/>
            <w:hideMark/>
          </w:tcPr>
          <w:p>
            <w:pPr>
              <w:pStyle w:val="a"/>
              <w:rPr>
                <w:rFonts w:hint="eastAsia"/>
              </w:rPr>
            </w:pPr>
            <w:r w:rsidRPr="004D35EB">
              <w:rPr>
                <w:b/>
                <w:rFonts w:hint="eastAsia"/>
                <w:sz w:val="22"/>
                <w:szCs w:val="22"/>
              </w:rPr>
              <w:t>预训练</w:t>
            </w:r>
          </w:p>
        </w:tc>
        <w:tc>
          <w:tcPr>
            <w:tcW w:w="1357"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学习通用统计规律</w:t>
            </w:r>
          </w:p>
        </w:tc>
        <w:tc>
          <w:tcPr>
            <w:tcW w:w="2675"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大规模无监督/弱监督数据</w:t>
            </w:r>
          </w:p>
        </w:tc>
        <w:tc>
          <w:tcPr>
            <w:tcW w:w="3740" w:type="dxa"/>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极高的算力消耗与时间成本；是模型知识的主要来源。</w:t>
            </w:r>
          </w:p>
        </w:tc>
      </w:tr>
      <w:tr>
        <w:tc>
          <w:tcPr>
            <w:tcW w:w="1584" w:type="dxa"/>
            <w:shd w:val="clear" w:color="auto" w:fill="FFFFFF"/>
            <w:tcMar>
              <w:top w:w="135" w:type="dxa"/>
              <w:left w:w="180" w:type="dxa"/>
              <w:bottom w:w="135" w:type="dxa"/>
              <w:right w:w="180" w:type="dxa"/>
            </w:tcMar>
            <w:vAlign w:val="center"/>
            <w:hideMark/>
          </w:tcPr>
          <w:p>
            <w:pPr>
              <w:pStyle w:val="a"/>
              <w:rPr>
                <w:rFonts w:hint="eastAsia"/>
              </w:rPr>
            </w:pPr>
            <w:r w:rsidRPr="004D35EB">
              <w:rPr>
                <w:b/>
                <w:rFonts w:hint="eastAsia"/>
                <w:sz w:val="22"/>
                <w:szCs w:val="22"/>
              </w:rPr>
              <w:t>后训练与对齐</w:t>
            </w:r>
          </w:p>
        </w:tc>
        <w:tc>
          <w:tcPr>
            <w:tcW w:w="1357"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使模型符合人类意图</w:t>
            </w:r>
          </w:p>
        </w:tc>
        <w:tc>
          <w:tcPr>
            <w:tcW w:w="2675"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人工标注数据、人类偏好反馈</w:t>
            </w:r>
          </w:p>
        </w:tc>
        <w:tc>
          <w:tcPr>
            <w:tcW w:w="3740" w:type="dxa"/>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提升模型的安全性、可靠性与可用性；实现价值观对齐。</w:t>
            </w:r>
          </w:p>
        </w:tc>
      </w:tr>
      <w:tr>
        <w:tc>
          <w:tcPr>
            <w:tcW w:w="1584" w:type="dxa"/>
            <w:shd w:val="clear" w:color="auto" w:fill="FFFFFF"/>
            <w:tcMar>
              <w:top w:w="135" w:type="dxa"/>
              <w:left w:w="180" w:type="dxa"/>
              <w:bottom w:w="135" w:type="dxa"/>
              <w:right w:w="180" w:type="dxa"/>
            </w:tcMar>
            <w:vAlign w:val="center"/>
            <w:hideMark/>
          </w:tcPr>
          <w:p>
            <w:pPr>
              <w:pStyle w:val="a"/>
              <w:rPr>
                <w:rFonts w:hint="eastAsia"/>
              </w:rPr>
            </w:pPr>
            <w:r w:rsidRPr="004D35EB">
              <w:rPr>
                <w:b/>
                <w:rFonts w:hint="eastAsia"/>
                <w:sz w:val="22"/>
                <w:szCs w:val="22"/>
              </w:rPr>
              <w:t>推理部署</w:t>
            </w:r>
          </w:p>
        </w:tc>
        <w:tc>
          <w:tcPr>
            <w:tcW w:w="1357"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提供实时模型服务</w:t>
            </w:r>
          </w:p>
        </w:tc>
        <w:tc>
          <w:tcPr>
            <w:tcW w:w="2675" w:type="auto"/>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用户查询（Prompts）</w:t>
            </w:r>
          </w:p>
        </w:tc>
        <w:tc>
          <w:tcPr>
            <w:tcW w:w="3740" w:type="dxa"/>
            <w:shd w:val="clear" w:color="auto" w:fill="FFFFFF"/>
            <w:tcMar>
              <w:top w:w="135" w:type="dxa"/>
              <w:left w:w="180" w:type="dxa"/>
              <w:bottom w:w="135" w:type="dxa"/>
              <w:right w:w="180" w:type="dxa"/>
            </w:tcMar>
            <w:vAlign w:val="center"/>
            <w:hideMark/>
          </w:tcPr>
          <w:p>
            <w:pPr>
              <w:pStyle w:val="a"/>
              <w:rPr>
                <w:rFonts w:hint="eastAsia"/>
              </w:rPr>
            </w:pPr>
            <w:r w:rsidRPr="004D35EB">
              <w:rPr>
                <w:rFonts w:hint="eastAsia"/>
                <w:sz w:val="22"/>
                <w:szCs w:val="22"/>
              </w:rPr>
              <w:t>优化延迟、并发与成本效率；是价值转化的最终环节。</w:t>
            </w:r>
          </w:p>
        </w:tc>
      </w:tr>
    </w:tbl>
    <w:p>
      <w:pPr>
        <w:pStyle w:val="a"/>
        <w:rPr>
          <w:rFonts w:hint="eastAsia"/>
        </w:rPr>
      </w:pPr>
    </w:p>
    <w:p>
      <w:pPr>
        <w:pStyle w:val="3"/>
        <w:rPr>
          <w:rFonts w:hint="eastAsia"/>
        </w:rPr>
      </w:pPr>
      <w:r>
        <w:rPr>
          <w:rFonts w:hint="eastAsia"/>
          <w:sz w:val="32"/>
          <w:szCs w:val="32"/>
        </w:rPr>
        <w:t>产业特性</w:t>
      </w:r>
    </w:p>
    <w:p>
      <w:pPr>
        <w:pStyle w:val="a"/>
        <w:rPr>
          <w:rFonts w:hint="eastAsia"/>
        </w:rPr>
      </w:pPr>
      <w:r>
        <w:rPr>
          <w:rFonts w:hint="eastAsia"/>
          <w:sz w:val="22"/>
          <w:szCs w:val="22"/>
        </w:rPr>
        <w:t>基础大模型具备明确的数据-算力-模型飞轮特性。这一飞轮的启动，依赖于电力向智能的全球转化：国家以电力指标支撑算力网络，基础大模型将算力转化为可全球贸易的认知服务，而全球市场的每一次调用，又反向为飞轮注入新的数据燃料与商业能量。</w:t>
      </w:r>
    </w:p>
    <w:p>
      <w:pPr>
        <w:pStyle w:val="a"/>
        <w:rPr>
          <w:rFonts w:hint="eastAsia"/>
        </w:rPr>
      </w:pPr>
      <w:r>
        <w:rPr>
          <w:rFonts w:hint="eastAsia"/>
          <w:sz w:val="22"/>
          <w:szCs w:val="22"/>
        </w:rPr>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pPr>
        <w:pStyle w:val="a"/>
        <w:jc w:val="center"/>
        <w:rPr>
          <w:rFonts w:hint="eastAsia"/>
        </w:rPr>
      </w:pPr>
      <w:r>
        <w:rPr>
          <w:rFonts w:hint="eastAsia"/>
          <w:noProof/>
        </w:rPr>
        <w:drawing>
          <wp:inline distT="0" distB="0" distL="0" distR="0" wp14:anchorId="44B628BC" wp14:editId="1B459375">
            <wp:extent cx="4413250" cy="3313099"/>
            <wp:effectExtent l="0" t="0" r="6350" b="1905"/>
            <wp:docPr id="2019186052" name="图片 1"/>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4422230" cy="3319841"/>
                    </a:xfrm>
                    <a:prstGeom prst="rect">
                      <a:avLst/>
                    </a:prstGeom>
                    <a:noFill/>
                  </pic:spPr>
                </pic:pic>
              </a:graphicData>
            </a:graphic>
          </wp:inline>
        </w:drawing>
      </w:r>
    </w:p>
    <w:p>
      <w:pPr>
        <w:pStyle w:val="a"/>
        <w:rPr>
          <w:rFonts w:hint="eastAsia"/>
        </w:rPr>
      </w:pPr>
      <w:r>
        <w:rPr>
          <w:rFonts w:hint="eastAsia"/>
          <w:sz w:val="22"/>
          <w:szCs w:val="22"/>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基础大模型的单位算力成本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产生稳定推理收入，新场景（如长文档分析、多模态生成、自主Agent）打开增量定价空间。</w:t>
      </w:r>
    </w:p>
    <w:p>
      <w:pPr>
        <w:pStyle w:val="a"/>
        <w:rPr>
          <w:rFonts w:hint="eastAsia"/>
        </w:rPr>
      </w:pPr>
      <w:r>
        <w:rPr>
          <w:rFonts w:hint="eastAsia"/>
          <w:sz w:val="22"/>
          <w:szCs w:val="22"/>
        </w:rPr>
        <w:t>更为关键的是，这一飞轮并非封闭于单一企业或单一市场的内部循环，而是开环于全球API经济。中国廉价的电力与集约化的算力网络构成飞轮的输入端，基础大模型的算法创新与工程优化构成转化端，而全球范围内的SaaS厂商、金融机构、制造企业、内容平台的AI化需求构成输出端。每一次海外API调用不仅带来美元收入，更带来跨语言、跨文化、跨行业的</w:t>
      </w:r>
      <w:r w:rsidRPr="00F632BD">
        <w:rPr>
          <w:rFonts w:hint="eastAsia" w:ascii="Arial" w:hAnsi="Arial" w:eastAsia="宋体" w:cs="Times New Roman (正文 CS 字体)"/>
          <w:sz w:val="22"/>
          <w:szCs w:val="24"/>
          <w:b/>
        </w:rPr>
        <w:t>异构数据</w:t>
      </w:r>
      <w:r>
        <w:rPr>
          <w:rFonts w:hint="eastAsia"/>
          <w:sz w:val="22"/>
          <w:szCs w:val="22"/>
        </w:rPr>
        <w:t>，这些数据回流后训练出的模型，其全球适用性远超仅依赖中文语料的版本。飞轮因此脱离了本地市场规模的硬约束，其转速取决于全球智能服务贸易的扩张速度，这是一个比国内政策周期更宏大的增长坐标系。</w:t>
      </w:r>
    </w:p>
    <w:p>
      <w:pPr>
        <w:pStyle w:val="a"/>
        <w:rPr>
          <w:rFonts w:hint="eastAsia"/>
        </w:rPr>
      </w:pPr>
      <w:r>
        <w:rPr>
          <w:rFonts w:hint="eastAsia"/>
          <w:sz w:val="22"/>
          <w:szCs w:val="22"/>
        </w:rPr>
        <w:t>在这一坐标系中，基础大模型的重要定位得以确立。算力可以由国家基建规模化供给，数据可以由行业场景分散产生，但将原始算力与碎片化数据转化为可泛化、可迭代、可全球分发的通用认知能力，需要预训练架构、对齐技术、工程优化、多模态融合的长期积累。这本质上是将存量转化为增量，将全球信息技术革命的成果转换为AI技术革命的基石。</w:t>
      </w:r>
    </w:p>
    <w:p>
      <w:pPr>
        <w:pStyle w:val="a"/>
        <w:rPr>
          <w:rFonts w:hint="eastAsia"/>
        </w:rPr>
      </w:pPr>
      <w:r>
        <w:rPr>
          <w:rFonts w:hint="eastAsia"/>
          <w:sz w:val="22"/>
          <w:szCs w:val="22"/>
        </w:rPr>
        <w:t>基础大模型不是算力的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pPr>
        <w:pStyle w:val="a"/>
        <w:rPr>
          <w:rFonts w:hint="eastAsia"/>
        </w:rPr>
      </w:pPr>
    </w:p>
    <w:p>
      <w:pPr>
        <w:pStyle w:val="a"/>
        <w:rPr>
          <w:rFonts w:hint="eastAsia"/>
        </w:rPr>
      </w:pPr>
    </w:p>
    <w:p>
      <w:pPr>
        <w:pStyle w:val="3"/>
        <w:rPr>
          <w:rFonts w:hint="eastAsia"/>
        </w:rPr>
      </w:pPr>
      <w:r w:rsidR="00C22F0C">
        <w:rPr>
          <w:rFonts w:hint="eastAsia"/>
          <w:sz w:val="32"/>
          <w:szCs w:val="32"/>
        </w:rPr>
        <w:t>部署形态</w:t>
      </w:r>
    </w:p>
    <w:p>
      <w:pPr>
        <w:pStyle w:val="a"/>
        <w:rPr>
          <w:rFonts w:hint="eastAsia"/>
        </w:rPr>
      </w:pPr>
      <w:r w:rsidRPr="00201B38">
        <w:rPr>
          <w:rFonts w:hint="eastAsia"/>
          <w:sz w:val="22"/>
          <w:szCs w:val="22"/>
        </w:rPr>
        <w:t>大模型的部署形态是其商业化落地的核心环节，直接决定了服务模式、成本结构、客户覆盖与收入增长曲线。当前，企业级市场已形成以云端部署和本地化部署为主流的两种形态，两者并非简单替代，而是针对不同客户需求、安全等级与成本考量下的互补性选择。随着模型能力提升与市场教育深化，部署形态正呈现动态演进趋势。</w:t>
      </w:r>
    </w:p>
    <w:p>
      <w:pPr>
        <w:pStyle w:val="a"/>
        <w:rPr>
          <w:rFonts w:hint="eastAsia"/>
        </w:rPr>
      </w:pPr>
      <w:r w:rsidRPr="004B23DD">
        <w:rPr>
          <w:rFonts w:hint="eastAsia"/>
          <w:sz w:val="22"/>
          <w:szCs w:val="22"/>
        </w:rPr>
        <w:t>从市场规模结构看，本地化部署目前占据主导地位。</w:t>
      </w:r>
    </w:p>
    <w:p>
      <w:pPr>
        <w:pStyle w:val="a"/>
        <w:rPr>
          <w:rFonts w:hint="eastAsia"/>
        </w:rPr>
      </w:pPr>
      <w:r w:rsidR="007B42F1">
        <w:rPr>
          <w:rFonts w:hint="eastAsia"/>
          <w:sz w:val="22"/>
          <w:szCs w:val="22"/>
        </w:rPr>
        <w:t>本地部署分为两种，一种是物理性本地部署，这类部署一般布设在企业或组织所属的物理机房内，此类机房由一系列为AI存算规划而特殊定制的算力机柜组成，物理部署涉及四类核心模块：算力处理单元（GPU/TPU）、调度与系统平台（CPU+OS主机）、数据存储单元、机柜间高速通讯单元（光模块及光电转化设施）。物理部署的设备成本根据大模型的参数规模和复杂度而定，大模型的参数越高，并发吞吐量越大，算法结构越复杂，物理部署设备的要求就越高。在前超节点时代，一个单机柜的成本可能在数百万到一千万之间不等。而在即将到来的超节点时代中，一个紧耦合的单机柜的成本极有可能超过数千万甚至过亿。因此一般而言，只有财力雄厚的大型企业和组织才会选择进行物理本地部署</w:t>
      </w:r>
    </w:p>
    <w:p>
      <w:pPr>
        <w:pStyle w:val="a"/>
        <w:rPr>
          <w:rFonts w:hint="eastAsia"/>
        </w:rPr>
      </w:pPr>
      <w:r w:rsidRPr="00963E1A">
        <w:rPr>
          <w:rFonts w:hint="eastAsia"/>
          <w:sz w:val="22"/>
          <w:szCs w:val="22"/>
        </w:rPr>
        <w:t>与物理性本地部署相对的是云端私有化部署。这类部署通常向云厂商租赁GPU云服务器或裸金属实例，由客户（或模型厂商代为）将模型部署在租用的云资源上。云资源在底层仍是算力厂商自有物理机房的硬件设备，只是经虚拟化封装后，以网络服务的形态交付给客户使用，客户通过网络访问的"云实例"，在底层仍对应着物理机房中具体的机柜、服务器与加速卡。相比自建机房，云端部署无需一次性采购硬件，初始投入低、上线周期短，可根据业务负载弹性调整算力规模，但长期运行的综合成本通常比物理性本地部署更高。</w:t>
      </w:r>
    </w:p>
    <w:p>
      <w:pPr>
        <w:pStyle w:val="a"/>
        <w:rPr>
          <w:rFonts w:hint="eastAsia"/>
        </w:rPr>
      </w:pPr>
      <w:r w:rsidRPr="00ED7D24">
        <w:rPr>
          <w:rFonts w:hint="eastAsia"/>
          <w:sz w:val="22"/>
          <w:szCs w:val="22"/>
        </w:rPr>
        <w:t>除上述两种本地部署外，第三种模式是公有云API服务（亦称MaaS，模型即服务）。在这种模式下，大模型完全托管于模型厂商或云厂商的算力集群中，客户无需租赁或采购任何算力设备，也无需接触模型权重文件，仅通过标准化API接口调用模型的推理能力。服务以Token消耗量或月度订阅额度计费，客户按实际调用量付费。这种模式的本质是智能服务的消费而非资产的持有，初始门槛最低、弹性最高，但模型能力边界、数据隐私策略及定价权完全由服务提供商掌控。</w:t>
      </w:r>
    </w:p>
    <w:p>
      <w:pPr>
        <w:pStyle w:val="a"/>
        <w:rPr>
          <w:rFonts w:hint="eastAsia"/>
        </w:rPr>
      </w:pPr>
      <w:r w:rsidRPr="004B23DD">
        <w:rPr>
          <w:rFonts w:hint="eastAsia"/>
          <w:sz w:val="22"/>
          <w:szCs w:val="22"/>
        </w:rPr>
        <w:t>根据Frost &amp; Sullivan的数据，2024年中国企业级大语言模型市场规模为47亿元，其中本地化部署占比高达81%，公有云API服务仅占19%。这深刻反映了国内企业客户，尤其是金融、政务、大型央国企等领域，对数据主权、隐私保护和系统稳定性的极致要求。这些客户通常客单价高，合同金额可达百万甚至千万级别，且客户粘性强。</w:t>
      </w:r>
    </w:p>
    <w:p>
      <w:pPr>
        <w:pStyle w:val="a"/>
        <w:rPr>
          <w:rFonts w:hint="eastAsia"/>
        </w:rPr>
      </w:pPr>
      <w:commentRangeStart w:id="0"/>
      <w:r w:rsidR="004B23DD" w:rsidRPr="004B23DD">
        <w:rPr>
          <w:rFonts w:hint="eastAsia"/>
          <w:sz w:val="22"/>
          <w:szCs w:val="22"/>
        </w:rPr>
        <w:t>但，公有云API服务正展现出更强的增长潜力。以行业领先的智谱公司为例，其2024年收入中本地化与云端部署占比分别为84%和16%，本地化仍是主力。但公司预计，随着模型能力提升和客户付费习惯转化，公有云API服务收入增速将持续超越本地化。其核心增长驱动力来自于标准化的MaaSAPI调用。公司模型日均Token消耗量从2024年底至2025年6月半年内增长23倍达到4.6万亿，预计2025年底已超6万亿。Token消耗量的指数级增长直接支撑了API收入的扩张，预计至2026年初其API相关年度经常性收入（ARR）已接近6亿元，较去年同期实现数十倍增长。这预示着标准化、规模化的云端服务正成为下一阶段收入高增的引擎。</w:t>
      </w:r>
      <w:r w:rsidR="001C0E59" w:rsidRPr="00201B38">
        <w:rPr>
          <w:rStyle w:val="af7"/>
          <w:rFonts w:hint="eastAsia"/>
          <w:sz w:val="22"/>
          <w:szCs w:val="24"/>
        </w:rPr>
        <w:commentReference w:id="0"/>
      </w:r>
      <w:commentRangeEnd w:id="0"/>
    </w:p>
    <w:p>
      <w:pPr>
        <w:pStyle w:val="2"/>
        <w:rPr>
          <w:rFonts w:hint="eastAsia"/>
        </w:rPr>
      </w:pPr>
      <w:r w:rsidR="001C0E59">
        <w:rPr>
          <w:rFonts w:hint="eastAsia"/>
          <w:sz w:val="40"/>
          <w:szCs w:val="40"/>
        </w:rPr>
        <w:t>.2发展背景</w:t>
      </w:r>
    </w:p>
    <w:p>
      <w:pPr>
        <w:pStyle w:val="3"/>
        <w:rPr>
          <w:rFonts w:hint="eastAsia"/>
        </w:rPr>
      </w:pPr>
      <w:r w:rsidR="009C4AF1">
        <w:rPr>
          <w:rFonts w:hint="eastAsia"/>
          <w:sz w:val="32"/>
          <w:szCs w:val="32"/>
        </w:rPr>
        <w:t>政策环境</w:t>
      </w:r>
    </w:p>
    <w:p>
      <w:pPr>
        <w:pStyle w:val="a"/>
        <w:rPr>
          <w:rFonts w:hint="eastAsia"/>
        </w:rPr>
      </w:pPr>
      <w:r>
        <w:rPr>
          <w:rFonts w:hint="eastAsia"/>
          <w:sz w:val="22"/>
          <w:szCs w:val="22"/>
        </w:rPr>
        <w:t>人工智能的基础设施化，不是产业界的自我标榜，而是国家顶层设计的主动确认。从"新基建"到"新质生产力"，从"东数西算"到"十五五"规划单独成篇，算力基础设施的战略地位经历了三级跳：它最初数字经济的支撑要素，继而成为科技竞争的必争之地，如今已被定义为重塑生产方式的底座工程。这一升格过程，为基础大模型的投资逻辑提供了坚硬的政策锚——当国家将AI算力视为与铁路、电网同等重要的公共品时，基础大模型作为算力转化为认知，推理能力的核心环节，其发展不再是市场自发的商业冒险，而是国家战略的延伸。</w:t>
      </w:r>
    </w:p>
    <w:p>
      <w:pPr>
        <w:pStyle w:val="a"/>
        <w:rPr>
          <w:rFonts w:hint="eastAsia"/>
        </w:rPr>
      </w:pPr>
      <w:r>
        <w:rPr>
          <w:rFonts w:hint="eastAsia"/>
          <w:sz w:val="22"/>
          <w:szCs w:val="22"/>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足算力需求"。这一政策脉络的密度与连续性，在近年产业规划中极为罕见，表明AI基础设施已从"部门议题"升级为"国家意志"。</w:t>
      </w:r>
    </w:p>
    <w:p>
      <w:pPr>
        <w:pStyle w:val="a"/>
        <w:rPr>
          <w:rFonts w:hint="eastAsia"/>
        </w:rPr>
      </w:pPr>
      <w:r>
        <w:rPr>
          <w:rFonts w:hint="eastAsia"/>
          <w:sz w:val="22"/>
          <w:szCs w:val="22"/>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pPr>
        <w:pStyle w:val="a"/>
        <w:rPr>
          <w:rFonts w:hint="eastAsia"/>
        </w:rPr>
      </w:pPr>
      <w:r>
        <w:rPr>
          <w:rFonts w:hint="eastAsia"/>
          <w:sz w:val="22"/>
          <w:szCs w:val="22"/>
        </w:rPr>
        <w:t>资本跟进的速度与结构，验证了政策向市场的传导效率。 三大运营商2026年资本开支向算力赛道急剧倾斜：中国电信算力基础设施投资255亿元，同比增长26%，占总投资的35%；中国移动算力网络投资增长62.4%，智能网络投资增长19.8%，两者合计占比超37%；中国联通算力投资占比亦超35%。中国移动更明确提出，力争"十五五"期末算力服务收入翻番。地方层面，深圳2025年多渠道募集45亿元资金专项用于算力、模型、语料、场景补贴，为初创企业提供最高60%的算力资助，并实施"算力飞地"战略，构建1ms城市算力网、3ms韶关算力网、10ms贵安算力网的梯度布局。甘肃庆阳2025年智算规模突破10万P，成为全国算力增速最快的标杆集群</w:t>
      </w:r>
    </w:p>
    <w:tbl>
      <w:tblPr>
        <w:tblStyle w:val="a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86"/>
        <w:gridCol w:w="2040"/>
        <w:gridCol w:w="4342"/>
        <w:gridCol w:w="1128"/>
      </w:tblGrid>
      <w:tr>
        <w:trPr>
          <w:tblHeader w:val="1"/>
        </w:trP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z w:val="21"/>
                <w:szCs w:val="21"/>
                <w:spacing w:val="8"/>
              </w:rPr>
              <w:t>政策层级</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z w:val="21"/>
                <w:szCs w:val="21"/>
                <w:spacing w:val="8"/>
              </w:rPr>
              <w:t>关键文件/行动</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z w:val="21"/>
                <w:szCs w:val="21"/>
                <w:spacing w:val="8"/>
              </w:rPr>
              <w:t>核心要点</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z w:val="21"/>
                <w:szCs w:val="21"/>
                <w:spacing w:val="8"/>
              </w:rPr>
              <w:t>时间</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国家战略</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"十五五"规划纲要</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"提升数智化发展水平"单独成篇；论证建设超大规模智算集群；政府购买算力服务</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2026年3月</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专项工程</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"东数西算"工程</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八大枢纽、十大集群；引导数据中心集约化、绿色化发展</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2021年启动</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行动计划</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《算力基础设施高质量发展行动计划》</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2025年算力规模超300 EFLOPS，智能算力占比35%</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2023年10月</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互联互通</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《算力互联互通行动计划》</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2026年建立标准体系，2028年实现全国公共算力标准化互联</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2025年5月</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能源协同</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"算电协同"写入政府工作报告</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算力与电力系统深度融合；应对AI算力能耗挑战</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2026年3月</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普惠服务</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普惠算力赋能中小企业专项行动</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降低中小企业用算成本，推动算力即取即用</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2026年</w:t>
            </w:r>
          </w:p>
        </w:tc>
      </w:tr>
      <w:tr>
        <w:tc>
          <w:tcPr>
            <w:tcW w:w="786"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z w:val="21"/>
                <w:szCs w:val="21"/>
                <w:spacing w:val="8"/>
              </w:rPr>
              <w:t>地方落地</w:t>
            </w:r>
          </w:p>
        </w:tc>
        <w:tc>
          <w:tcPr>
            <w:tcW w:w="2040"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深圳"算力飞地"战略</w:t>
            </w:r>
          </w:p>
        </w:tc>
        <w:tc>
          <w:tcPr>
            <w:tcW w:w="4342"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45亿元专项资金；1ms/3ms/10ms梯度算力网</w:t>
            </w:r>
          </w:p>
        </w:tc>
        <w:tc>
          <w:tcPr>
            <w:tcW w:w="1128" w:type="auto"/>
            <w:tcMar>
              <w:top w:w="150" w:type="dxa"/>
              <w:left w:w="150" w:type="dxa"/>
              <w:bottom w:w="150" w:type="dxa"/>
              <w:right w:w="150" w:type="dxa"/>
            </w:tcMar>
            <w:hideMark/>
          </w:tcPr>
          <w:p>
            <w:pPr>
              <w:pStyle w:val="a"/>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z w:val="21"/>
                <w:szCs w:val="21"/>
                <w:spacing w:val="8"/>
              </w:rPr>
              <w:t>2025年</w:t>
            </w:r>
          </w:p>
        </w:tc>
      </w:tr>
    </w:tbl>
    <w:p>
      <w:pPr>
        <w:pStyle w:val="a"/>
        <w:rPr>
          <w:rFonts w:hint="eastAsia"/>
        </w:rPr>
      </w:pPr>
      <w:r w:rsidRPr="00F02816">
        <w:rPr>
          <w:rFonts w:hint="eastAsia"/>
          <w:sz w:val="22"/>
          <w:szCs w:val="22"/>
        </w:rPr>
        <w:t>国家算力网络的建设目标是"普惠易用、经济高效"，而普惠化的前提是模型能力的标准化输出——没有基础大模型将 raw compute 转化为可调用、可微调、可迭代的认知推理服务，算力网络只是空转的电力设施。运营商的"Token经营"战略、政府的"算力租赁"模式，其商业闭环均指向基础大模型作为算力网络的"认知转化层"。因此，投资基础大模型不是投资"AI应用公司"，而是投资国家AI基础设施的操作系统层——这一层的垄断性、政策依附性与网络效应，远超传统基建中的硬件供应商。</w:t>
      </w:r>
    </w:p>
    <w:p>
      <w:pPr>
        <w:pStyle w:val="a"/>
        <w:rPr>
          <w:rFonts w:hint="eastAsia"/>
        </w:rPr>
      </w:pPr>
    </w:p>
    <w:p>
      <w:pPr>
        <w:pStyle w:val="3"/>
        <w:rPr>
          <w:rFonts w:hint="eastAsia"/>
        </w:rPr>
      </w:pPr>
      <w:r w:rsidR="00B54E1E">
        <w:rPr>
          <w:rFonts w:hint="eastAsia"/>
          <w:sz w:val="32"/>
          <w:szCs w:val="32"/>
        </w:rPr>
        <w:t>市场规模与产业阶段</w:t>
      </w:r>
    </w:p>
    <w:p>
      <w:pPr>
        <w:pStyle w:val="4"/>
        <w:rPr>
          <w:rFonts w:hint="eastAsia"/>
        </w:rPr>
      </w:pPr>
      <w:r>
        <w:rPr>
          <w:rFonts w:hint="eastAsia"/>
          <w:sz w:val="28"/>
          <w:szCs w:val="28"/>
        </w:rPr>
        <w:t>市场规模</w:t>
      </w:r>
    </w:p>
    <w:p>
      <w:pPr>
        <w:pStyle w:val="a"/>
        <w:rPr>
          <w:rFonts w:hint="eastAsia"/>
        </w:rPr>
      </w:pPr>
      <w:r>
        <w:rPr>
          <w:rFonts w:hint="eastAsia"/>
          <w:sz w:val="22"/>
          <w:szCs w:val="22"/>
        </w:rPr>
        <w:t>当前大模型技术仍处于快速迭代阶段。根据灼识咨询研究数据显示，伴随技术成熟度提升与付费意愿持续释放，全球大模型市场规模预计将由 2024年的107 亿美元，快速增长至 2029 年的 2,065 亿美元，2024-2029 五年复合增长率将达 80.7%。另据IDC《2026全球企业级大模型服务市场白皮书》，2026年全球大模型服务相关市场支出已突破 1,800 亿美元，同比增长 63%，其中企业级大模型服务平台需求占比超 75%，市场扩张速度超出此前预期。</w:t>
      </w:r>
    </w:p>
    <w:p>
      <w:pPr>
        <w:pStyle w:val="a"/>
        <w:jc w:val="center"/>
        <w:rPr>
          <w:rFonts w:hint="eastAsia"/>
        </w:rPr>
      </w:pPr>
      <w:r>
        <w:rPr>
          <w:rFonts w:hint="eastAsia"/>
          <w:sz w:val="22"/>
          <w:szCs w:val="22"/>
        </w:rPr>
        <w:t>表：2023-2029E全球大模型市场规模</w:t>
      </w:r>
    </w:p>
    <w:p>
      <w:pPr>
        <w:pStyle w:val="a"/>
        <w:jc w:val="center"/>
        <w:rPr>
          <w:rFonts w:hint="eastAsia"/>
        </w:rPr>
      </w:pPr>
      <w:r>
        <w:rPr>
          <w:noProof/>
        </w:rPr>
        <w:drawing>
          <wp:inline distT="0" distB="0" distL="0" distR="0" wp14:anchorId="1324FAAE" wp14:editId="0CB19FF5">
            <wp:extent cx="4204094" cy="2449773"/>
            <wp:effectExtent l="0" t="0" r="6350" b="8255"/>
            <wp:docPr id="970046003" name="图片 1"/>
            <wp:cNvGraphicFramePr>
              <a:graphicFrameLocks noChangeAspect="1"/>
            </wp:cNvGraphicFramePr>
            <a:graphic>
              <a:graphicData uri="http://schemas.openxmlformats.org/drawingml/2006/picture">
                <pic:pic>
                  <pic:nvPicPr>
                    <pic:cNvPr id="970046003" name=""/>
                    <pic:cNvPicPr/>
                  </pic:nvPicPr>
                  <pic:blipFill>
                    <a:blip r:embed="rId14"/>
                    <a:stretch>
                      <a:fillRect/>
                    </a:stretch>
                  </pic:blipFill>
                  <pic:spPr>
                    <a:xfrm>
                      <a:off x="0" y="0"/>
                      <a:ext cx="4214065" cy="2455583"/>
                    </a:xfrm>
                    <a:prstGeom prst="rect">
                      <a:avLst/>
                    </a:prstGeom>
                  </pic:spPr>
                </pic:pic>
              </a:graphicData>
            </a:graphic>
          </wp:inline>
        </w:drawing>
      </w:r>
    </w:p>
    <w:p>
      <w:pPr>
        <w:pStyle w:val="a"/>
        <w:rPr>
          <w:rFonts w:hint="eastAsia"/>
        </w:rPr>
      </w:pPr>
    </w:p>
    <w:p>
      <w:pPr>
        <w:pStyle w:val="a"/>
        <w:rPr>
          <w:rFonts w:hint="eastAsia"/>
        </w:rPr>
      </w:pPr>
      <w:r w:rsidRPr="00E33CB9">
        <w:rPr>
          <w:rFonts w:hint="eastAsia"/>
          <w:sz w:val="22"/>
          <w:szCs w:val="22"/>
        </w:rPr>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年起进入应用深化期，虽然增速随基数扩大而自然回落，但应用场景持续拓宽，商业模式逐步清晰。据艾媒咨询数据，2024 年中国大模型市场规模已达到人民币 294.16亿元，预计到 2026 年将增至人民币 738.57 亿元，2024 年至 2026 年预计复合年增长率为 58.5%。另据IDC预测，在信创政策持续深化与行业AI落地加速的双重赋能下，中国市场规模预计 2028 年将突破 1,600 亿元，企业级大模型服务平台已成为金融、政务、互联网、制造等关键领域的核心数字化基础设施。</w:t>
      </w:r>
    </w:p>
    <w:p>
      <w:pPr>
        <w:pStyle w:val="a"/>
        <w:jc w:val="center"/>
        <w:rPr>
          <w:rFonts w:hint="eastAsia"/>
        </w:rPr>
      </w:pPr>
      <w:r>
        <w:rPr>
          <w:rFonts w:hint="eastAsia"/>
          <w:sz w:val="22"/>
          <w:szCs w:val="22"/>
        </w:rPr>
        <w:t>表：2020-2026E中国大模型市场规模</w:t>
      </w:r>
    </w:p>
    <w:p>
      <w:pPr>
        <w:pStyle w:val="a"/>
        <w:jc w:val="center"/>
        <w:rPr>
          <w:rFonts w:hint="eastAsia"/>
        </w:rPr>
      </w:pPr>
      <w:r w:rsidRPr="0056114B">
        <w:rPr>
          <w:noProof/>
        </w:rPr>
        <w:lastRenderedPageBreak/>
        <w:drawing>
          <wp:inline distT="0" distB="0" distL="0" distR="0" wp14:anchorId="15523D11" wp14:editId="0EFD7E75">
            <wp:extent cx="4162425" cy="2644989"/>
            <wp:effectExtent l="0" t="0" r="0" b="3175"/>
            <wp:docPr id="1838201053" name="图片 1"/>
            <wp:cNvGraphicFramePr>
              <a:graphicFrameLocks noChangeAspect="1"/>
            </wp:cNvGraphicFramePr>
            <a:graphic>
              <a:graphicData uri="http://schemas.openxmlformats.org/drawingml/2006/picture">
                <pic:pic>
                  <pic:nvPicPr>
                    <pic:cNvPr id="1838201053" name=""/>
                    <pic:cNvPicPr/>
                  </pic:nvPicPr>
                  <pic:blipFill>
                    <a:blip r:embed="rId15"/>
                    <a:stretch>
                      <a:fillRect/>
                    </a:stretch>
                  </pic:blipFill>
                  <pic:spPr>
                    <a:xfrm>
                      <a:off x="0" y="0"/>
                      <a:ext cx="4179062" cy="2655561"/>
                    </a:xfrm>
                    <a:prstGeom prst="rect">
                      <a:avLst/>
                    </a:prstGeom>
                  </pic:spPr>
                </pic:pic>
              </a:graphicData>
            </a:graphic>
          </wp:inline>
        </w:drawing>
      </w:r>
    </w:p>
    <w:p>
      <w:pPr>
        <w:pStyle w:val="a"/>
        <w:rPr>
          <w:rFonts w:hint="eastAsia"/>
        </w:rPr>
      </w:pPr>
    </w:p>
    <w:p>
      <w:pPr>
        <w:pStyle w:val="a"/>
        <w:rPr>
          <w:rFonts w:hint="eastAsia"/>
        </w:rPr>
      </w:pPr>
    </w:p>
    <w:p>
      <w:pPr>
        <w:pStyle w:val="4"/>
        <w:rPr>
          <w:rFonts w:hint="eastAsia"/>
        </w:rPr>
      </w:pPr>
      <w:r>
        <w:rPr>
          <w:rFonts w:hint="eastAsia"/>
          <w:sz w:val="28"/>
          <w:szCs w:val="28"/>
        </w:rPr>
        <w:t>产业阶段：</w:t>
      </w:r>
    </w:p>
    <w:p>
      <w:pPr>
        <w:pStyle w:val="5"/>
        <w:rPr>
          <w:rFonts w:hint="eastAsia"/>
        </w:rPr>
      </w:pPr>
      <w:r>
        <w:rPr>
          <w:rFonts w:hint="eastAsia"/>
          <w:sz w:val="24"/>
          <w:szCs w:val="24"/>
        </w:rPr>
        <w:t>产业属性界定</w:t>
      </w:r>
    </w:p>
    <w:p>
      <w:pPr>
        <w:pStyle w:val="a"/>
        <w:rPr>
          <w:rFonts w:hint="eastAsia"/>
        </w:rPr>
      </w:pPr>
      <w:r w:rsidRPr="008C207A">
        <w:rPr>
          <w:rFonts w:hint="eastAsia"/>
          <w:sz w:val="22"/>
          <w:szCs w:val="22"/>
        </w:rPr>
        <w:t>基础大模型产业具备典型的新兴成长行业特征，其驱动力源于颠覆性技术创新而非传统经济周期。</w:t>
      </w:r>
    </w:p>
    <w:p>
      <w:pPr>
        <w:pStyle w:val="a"/>
        <w:rPr>
          <w:rFonts w:hint="eastAsia"/>
        </w:rPr>
      </w:pPr>
      <w:r w:rsidRPr="00AD5736">
        <w:rPr>
          <w:rFonts w:hint="eastAsia"/>
          <w:sz w:val="22"/>
          <w:szCs w:val="22"/>
        </w:rPr>
        <w:t>首先，市场规模预测数据揭示了其高成长潜力。不止上文对于国内外大模型市场CAGR的乐观估计，多家大型机构也对其进行了预估。Bloomberg Intelligence给出2023-2032E期间CAGR 37%的预估，沙利文给出CAGR 50%的预估。此类高增长已有市场验证，根据智妍咨询研究，MaaS（模型即服务）作为大模型落地的核心载体，在2024年中国市场呈现爆发式增长，全年规模达7.1亿元，较2023年同比激增215.7%。</w:t>
      </w:r>
    </w:p>
    <w:p>
      <w:pPr>
        <w:pStyle w:val="a"/>
        <w:rPr>
          <w:rFonts w:hint="eastAsia"/>
        </w:rPr>
      </w:pPr>
      <w:r w:rsidRPr="00191FB0">
        <w:rPr>
          <w:rFonts w:hint="eastAsia"/>
          <w:sz w:val="22"/>
          <w:szCs w:val="22"/>
        </w:rPr>
        <w:t>这种指数级增长预期，和商业化早期陡峭的增长斜率，是成长期企业的特征。其产业波动主要受技术迭代节奏、监管政策及自身商业化进展影响，与传统的库存、产能周期关联性弱。尽管发展中可能因预期与现实的差距出现估值波动，但这本质上是成长过程中的修正，而非由宏观经济决定的周期性进退。</w:t>
      </w:r>
    </w:p>
    <w:p>
      <w:pPr>
        <w:pStyle w:val="5"/>
        <w:rPr>
          <w:rFonts w:hint="eastAsia"/>
        </w:rPr>
      </w:pPr>
      <w:r>
        <w:rPr>
          <w:rFonts w:hint="eastAsia"/>
          <w:sz w:val="24"/>
          <w:szCs w:val="24"/>
        </w:rPr>
        <w:t>成长阶段定位</w:t>
      </w:r>
    </w:p>
    <w:p>
      <w:pPr>
        <w:pStyle w:val="a"/>
        <w:rPr>
          <w:rFonts w:hint="eastAsia"/>
        </w:rPr>
      </w:pPr>
      <w:r w:rsidRPr="0041670E">
        <w:rPr>
          <w:rFonts w:hint="eastAsia"/>
          <w:sz w:val="22"/>
          <w:szCs w:val="22"/>
        </w:rPr>
        <w:t>依据新兴产业从“0-1”（技术萌芽）到“1-10”（期望膨胀/规模化）再到“10-100”（稳步爬升）的发展框架分析，基础大模型产业已明确越过“0-1”的纯粹探索期，正处于“1-10”阶段的中期。这一判断基于技术、商业化、竞争格局等多重信号。</w:t>
      </w:r>
    </w:p>
    <w:p>
      <w:pPr>
        <w:pStyle w:val="a"/>
        <w:rPr>
          <w:rFonts w:hint="eastAsia"/>
        </w:rPr>
      </w:pPr>
      <w:r w:rsidRPr="004C0C4B">
        <w:rPr>
          <w:rFonts w:hint="eastAsia"/>
          <w:b/>
          <w:sz w:val="22"/>
          <w:szCs w:val="22"/>
        </w:rPr>
        <w:t>技术演进：从突破“可用”到追求“好用”与“普惠”</w:t>
      </w:r>
      <w:r>
        <w:rPr>
          <w:rFonts w:hint="eastAsia"/>
          <w:sz w:val="22"/>
          <w:szCs w:val="22"/>
        </w:rPr>
        <w:t xml:space="preserve"> 技术发展已跨越最初的“iPhone时刻”，进入“DeepSeek时刻”。 技术的成本等瓶颈被打破，从稀缺、昂贵、小众，转向普惠、易用，真正具备面向千行百业大规模普及的基础条件。应用场景进一步快速渗透，商业化空间开始打开</w:t>
      </w:r>
    </w:p>
    <w:p>
      <w:pPr>
        <w:pStyle w:val="a"/>
        <w:jc w:val="center"/>
        <w:rPr>
          <w:rFonts w:hint="eastAsia"/>
        </w:rPr>
      </w:pPr>
      <w:r>
        <w:rPr>
          <w:noProof/>
        </w:rPr>
        <w:drawing>
          <wp:inline distT="0" distB="0" distL="0" distR="0" wp14:anchorId="20178B73" wp14:editId="424D7658">
            <wp:extent cx="3345246" cy="2377487"/>
            <wp:effectExtent l="0" t="0" r="7620" b="3810"/>
            <wp:docPr id="154664959" name="图片 1"/>
            <wp:cNvGraphicFramePr>
              <a:graphicFrameLocks noChangeAspect="1"/>
            </wp:cNvGraphicFramePr>
            <a:graphic>
              <a:graphicData uri="http://schemas.openxmlformats.org/drawingml/2006/picture">
                <pic:pic>
                  <pic:nvPicPr>
                    <pic:cNvPr id="154664959" name=""/>
                    <pic:cNvPicPr/>
                  </pic:nvPicPr>
                  <pic:blipFill>
                    <a:blip r:embed="rId16"/>
                    <a:stretch>
                      <a:fillRect/>
                    </a:stretch>
                  </pic:blipFill>
                  <pic:spPr>
                    <a:xfrm>
                      <a:off x="0" y="0"/>
                      <a:ext cx="3360362" cy="2388230"/>
                    </a:xfrm>
                    <a:prstGeom prst="rect">
                      <a:avLst/>
                    </a:prstGeom>
                  </pic:spPr>
                </pic:pic>
              </a:graphicData>
            </a:graphic>
          </wp:inline>
        </w:drawing>
      </w:r>
    </w:p>
    <w:p>
      <w:pPr>
        <w:pStyle w:val="a"/>
        <w:rPr>
          <w:rFonts w:hint="eastAsia"/>
        </w:rPr>
      </w:pPr>
      <w:r w:rsidRPr="0041670E">
        <w:rPr>
          <w:rFonts w:hint="eastAsia"/>
          <w:sz w:val="22"/>
          <w:szCs w:val="22"/>
        </w:rPr>
        <w:t>行业早期通过Transformer架构等突破证明了技术的“可用性”。当前，标志性事件是高性能开源模型（如DeepSeek R1）的出现，它大幅降低了模型使用成本与技术门槛。根据API聚合平台OpenRouter数据，平台大模型Tokens处理量从2025年1月第二周的0.48TB，快速攀升至2026年1月第二周的7.68TB，规模增长16倍，这标志着算力需求和应用普及进入高速通道。</w:t>
      </w:r>
    </w:p>
    <w:p>
      <w:pPr>
        <w:pStyle w:val="a"/>
        <w:rPr>
          <w:rFonts w:hint="eastAsia"/>
        </w:rPr>
      </w:pPr>
      <w:r>
        <w:rPr>
          <w:rFonts w:hint="eastAsia"/>
          <w:sz w:val="22"/>
          <w:szCs w:val="22"/>
        </w:rPr>
        <w:t>从当前基础大模型所展现出的巨大需求弹性，我们认为大模型行业的杰文斯悖论下的最优化还远未实现。根据杰文斯悖论，““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pPr>
        <w:pStyle w:val="a"/>
        <w:jc w:val="center"/>
        <w:rPr>
          <w:rFonts w:hint="eastAsia"/>
        </w:rPr>
      </w:pPr>
      <w:r>
        <w:rPr>
          <w:rFonts w:hint="eastAsia"/>
          <w:sz w:val="22"/>
          <w:szCs w:val="22"/>
        </w:rPr>
        <w:t>图：杰文斯最优示意图</w:t>
      </w:r>
    </w:p>
    <w:p>
      <w:pPr>
        <w:pStyle w:val="a"/>
        <w:jc w:val="center"/>
        <w:rPr>
          <w:rFonts w:hint="eastAsia"/>
        </w:rPr>
      </w:pPr>
      <w:r>
        <w:rPr>
          <w:noProof/>
        </w:rPr>
        <w:lastRenderedPageBreak/>
        <w:drawing>
          <wp:inline distT="0" distB="0" distL="0" distR="0" wp14:anchorId="30C1F752" wp14:editId="1C39C71A">
            <wp:extent cx="4123809" cy="3009524"/>
            <wp:effectExtent l="0" t="0" r="0" b="635"/>
            <wp:docPr id="2146544168" name="图片 1"/>
            <wp:cNvGraphicFramePr>
              <a:graphicFrameLocks noChangeAspect="1"/>
            </wp:cNvGraphicFramePr>
            <a:graphic>
              <a:graphicData uri="http://schemas.openxmlformats.org/drawingml/2006/picture">
                <pic:pic>
                  <pic:nvPicPr>
                    <pic:cNvPr id="2146544168" name=""/>
                    <pic:cNvPicPr/>
                  </pic:nvPicPr>
                  <pic:blipFill>
                    <a:blip r:embed="rId17"/>
                    <a:stretch>
                      <a:fillRect/>
                    </a:stretch>
                  </pic:blipFill>
                  <pic:spPr>
                    <a:xfrm>
                      <a:off x="0" y="0"/>
                      <a:ext cx="4123809" cy="3009524"/>
                    </a:xfrm>
                    <a:prstGeom prst="rect">
                      <a:avLst/>
                    </a:prstGeom>
                  </pic:spPr>
                </pic:pic>
              </a:graphicData>
            </a:graphic>
          </wp:inline>
        </w:drawing>
      </w:r>
    </w:p>
    <w:p>
      <w:pPr>
        <w:pStyle w:val="a"/>
        <w:rPr>
          <w:rFonts w:hint="eastAsia"/>
        </w:rPr>
      </w:pPr>
      <w:r>
        <w:rPr>
          <w:rFonts w:hint="eastAsia"/>
          <w:sz w:val="22"/>
          <w:szCs w:val="22"/>
        </w:rPr>
        <w:t>以 DeepSeek 为例，其发布后算力用量大幅提升。其推动了 AI 应用真正走向普及，算力需求进入高速增长通道，也标志着大模型产业正式迈入规模化落地、普惠化应用的新阶段。</w:t>
      </w:r>
    </w:p>
    <w:p>
      <w:pPr>
        <w:pStyle w:val="a"/>
        <w:jc w:val="center"/>
        <w:rPr>
          <w:rFonts w:hint="eastAsia"/>
        </w:rPr>
      </w:pPr>
      <w:r>
        <w:rPr>
          <w:rFonts w:hint="eastAsia"/>
          <w:sz w:val="22"/>
          <w:szCs w:val="22"/>
        </w:rPr>
        <w:t>图：2024年以来算力变化情况一览</w:t>
      </w:r>
    </w:p>
    <w:p>
      <w:pPr>
        <w:pStyle w:val="a"/>
        <w:rPr>
          <w:rFonts w:hint="eastAsia"/>
        </w:rPr>
      </w:pPr>
      <w:r>
        <w:rPr>
          <w:noProof/>
        </w:rPr>
        <w:drawing>
          <wp:inline distT="0" distB="0" distL="0" distR="0" wp14:anchorId="6F9800C4" wp14:editId="3562549E">
            <wp:extent cx="5274310" cy="2657475"/>
            <wp:effectExtent l="0" t="0" r="2540" b="9525"/>
            <wp:docPr id="365476604" name="图片 1"/>
            <wp:cNvGraphicFramePr>
              <a:graphicFrameLocks noChangeAspect="1"/>
            </wp:cNvGraphicFramePr>
            <a:graphic>
              <a:graphicData uri="http://schemas.openxmlformats.org/drawingml/2006/picture">
                <pic:pic>
                  <pic:nvPicPr>
                    <pic:cNvPr id="365476604" name=""/>
                    <pic:cNvPicPr/>
                  </pic:nvPicPr>
                  <pic:blipFill>
                    <a:blip r:embed="rId18"/>
                    <a:stretch>
                      <a:fillRect/>
                    </a:stretch>
                  </pic:blipFill>
                  <pic:spPr>
                    <a:xfrm>
                      <a:off x="0" y="0"/>
                      <a:ext cx="5274310" cy="2657475"/>
                    </a:xfrm>
                    <a:prstGeom prst="rect">
                      <a:avLst/>
                    </a:prstGeom>
                  </pic:spPr>
                </pic:pic>
              </a:graphicData>
            </a:graphic>
          </wp:inline>
        </w:drawing>
      </w:r>
    </w:p>
    <w:p>
      <w:pPr>
        <w:pStyle w:val="a"/>
        <w:rPr>
          <w:rFonts w:hint="eastAsia"/>
        </w:rPr>
      </w:pPr>
      <w:r>
        <w:rPr>
          <w:rFonts w:hint="eastAsia"/>
          <w:sz w:val="22"/>
          <w:szCs w:val="22"/>
        </w:rPr>
        <w:t>注：不同颜色为不同大模型所占比例</w:t>
      </w:r>
    </w:p>
    <w:p>
      <w:pPr>
        <w:pStyle w:val="a"/>
        <w:jc w:val="center"/>
        <w:rPr>
          <w:rFonts w:hint="eastAsia"/>
        </w:rPr>
      </w:pPr>
      <w:r>
        <w:rPr>
          <w:rFonts w:hint="eastAsia"/>
          <w:sz w:val="22"/>
          <w:szCs w:val="22"/>
        </w:rPr>
        <w:t>图：近期开源模型引用一览</w:t>
      </w:r>
    </w:p>
    <w:p>
      <w:pPr>
        <w:pStyle w:val="a"/>
        <w:rPr>
          <w:rFonts w:hint="eastAsia"/>
        </w:rPr>
      </w:pPr>
      <w:r>
        <w:rPr>
          <w:noProof/>
        </w:rPr>
        <w:lastRenderedPageBreak/>
        <w:drawing>
          <wp:inline distT="0" distB="0" distL="0" distR="0" wp14:anchorId="1854FD27" wp14:editId="0F808D26">
            <wp:extent cx="5274310" cy="4053205"/>
            <wp:effectExtent l="0" t="0" r="2540" b="4445"/>
            <wp:docPr id="157110773" name="图片 1"/>
            <wp:cNvGraphicFramePr>
              <a:graphicFrameLocks noChangeAspect="1"/>
            </wp:cNvGraphicFramePr>
            <a:graphic>
              <a:graphicData uri="http://schemas.openxmlformats.org/drawingml/2006/picture">
                <pic:pic>
                  <pic:nvPicPr>
                    <pic:cNvPr id="157110773" name=""/>
                    <pic:cNvPicPr/>
                  </pic:nvPicPr>
                  <pic:blipFill>
                    <a:blip r:embed="rId19"/>
                    <a:stretch>
                      <a:fillRect/>
                    </a:stretch>
                  </pic:blipFill>
                  <pic:spPr>
                    <a:xfrm>
                      <a:off x="0" y="0"/>
                      <a:ext cx="5274310" cy="4053205"/>
                    </a:xfrm>
                    <a:prstGeom prst="rect">
                      <a:avLst/>
                    </a:prstGeom>
                  </pic:spPr>
                </pic:pic>
              </a:graphicData>
            </a:graphic>
          </wp:inline>
        </w:drawing>
      </w:r>
    </w:p>
    <w:p>
      <w:pPr>
        <w:pStyle w:val="a"/>
        <w:rPr>
          <w:rFonts w:hint="eastAsia"/>
        </w:rPr>
      </w:pPr>
      <w:r>
        <w:rPr>
          <w:rFonts w:hint="eastAsia"/>
          <w:sz w:val="22"/>
          <w:szCs w:val="22"/>
        </w:rPr>
        <w:t>数据来源：openrouter</w:t>
      </w:r>
    </w:p>
    <w:p>
      <w:pPr>
        <w:pStyle w:val="a"/>
        <w:rPr>
          <w:rFonts w:hint="eastAsia"/>
        </w:rPr>
      </w:pPr>
      <w:r>
        <w:rPr>
          <w:rFonts w:hint="eastAsia"/>
          <w:sz w:val="22"/>
          <w:szCs w:val="22"/>
        </w:rPr>
        <w:t>注：moonshot，即月之暗面，kimi母公司；z-ai，即智谱。</w:t>
      </w:r>
    </w:p>
    <w:p>
      <w:pPr>
        <w:pStyle w:val="a"/>
        <w:rPr>
          <w:rFonts w:hint="eastAsia"/>
        </w:rPr>
      </w:pPr>
    </w:p>
    <w:p>
      <w:pPr>
        <w:pStyle w:val="a"/>
        <w:rPr>
          <w:rFonts w:hint="eastAsia"/>
        </w:rPr>
      </w:pPr>
      <w:r w:rsidRPr="0041670E">
        <w:rPr>
          <w:rFonts w:hint="eastAsia"/>
          <w:sz w:val="22"/>
          <w:szCs w:val="22"/>
        </w:rPr>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pPr>
        <w:pStyle w:val="1"/>
        <w:rPr>
          <w:rFonts w:hint="eastAsia"/>
        </w:rPr>
      </w:pPr>
      <w:r w:rsidR="00043F4A">
        <w:rPr>
          <w:rFonts w:hint="eastAsia"/>
          <w:sz w:val="48"/>
          <w:szCs w:val="48"/>
        </w:rPr>
        <w:t>二.产业链与商业模式深度解析</w:t>
      </w:r>
    </w:p>
    <w:p>
      <w:pPr>
        <w:pStyle w:val="2"/>
        <w:rPr>
          <w:rFonts w:hint="eastAsia"/>
        </w:rPr>
      </w:pPr>
      <w:r>
        <w:rPr>
          <w:rFonts w:hint="eastAsia"/>
          <w:sz w:val="40"/>
          <w:szCs w:val="40"/>
        </w:rPr>
        <w:t>上中下游产业链图谱</w:t>
      </w:r>
    </w:p>
    <w:p>
      <w:pPr>
        <w:pStyle w:val="a"/>
        <w:rPr>
          <w:rFonts w:hint="eastAsia"/>
        </w:rPr>
      </w:pPr>
      <w:r w:rsidRPr="00F23CFB">
        <w:rPr>
          <w:rFonts w:hint="eastAsia"/>
          <w:sz w:val="22"/>
          <w:szCs w:val="22"/>
        </w:rPr>
        <w:t>当前，大模型产业已形成层次分明、联动紧密的产业链结构。上游是支撑产业发展的算力与数据基石，中游是决定产业高度的模型与平台核心，下游则是实现商业价值的多元化应用场景。三者共同构成了从硬件基础设施到智能应用服务的完整价值链条。</w:t>
      </w:r>
    </w:p>
    <w:p>
      <w:pPr>
        <w:pStyle w:val="3"/>
        <w:rPr>
          <w:rFonts w:hint="eastAsia"/>
        </w:rPr>
      </w:pPr>
      <w:r w:rsidRPr="00F23CFB">
        <w:rPr>
          <w:rFonts w:hint="eastAsia"/>
          <w:sz w:val="32"/>
          <w:szCs w:val="32"/>
        </w:rPr>
        <w:t>上游：算力与数据基石</w:t>
      </w:r>
    </w:p>
    <w:p>
      <w:pPr>
        <w:pStyle w:val="a"/>
        <w:rPr>
          <w:rFonts w:hint="eastAsia"/>
        </w:rPr>
      </w:pPr>
      <w:r>
        <w:rPr>
          <w:rFonts w:hint="eastAsia"/>
          <w:sz w:val="22"/>
          <w:szCs w:val="22"/>
        </w:rPr>
        <w:t>上游产业链是整个人工智能与大模型产业的物理和数字基础，其核心是提供模型训练与推理所必需的算力硬件、云计算服务以及高质量数据。这一层的稳定性和先进性直接决定了中游模型研发的效率和成本，是产业发展的先决条件。</w:t>
      </w:r>
    </w:p>
    <w:p>
      <w:pPr>
        <w:pStyle w:val="4"/>
        <w:rPr>
          <w:rFonts w:hint="eastAsia"/>
        </w:rPr>
      </w:pPr>
      <w:r>
        <w:rPr>
          <w:rFonts w:hint="eastAsia"/>
          <w:sz w:val="28"/>
          <w:szCs w:val="28"/>
        </w:rPr>
        <w:t>1. 核心构成与竞争格局</w:t>
      </w:r>
    </w:p>
    <w:p>
      <w:pPr>
        <w:pStyle w:val="a"/>
        <w:rPr>
          <w:rFonts w:hint="eastAsia"/>
        </w:rPr>
      </w:pPr>
      <w:r>
        <w:rPr>
          <w:rFonts w:hint="eastAsia"/>
          <w:sz w:val="22"/>
          <w:szCs w:val="22"/>
        </w:rPr>
        <w:t>上游产业链呈现高度技术密集和资本密集的特征，主要由以下几个关键环节构成：</w:t>
      </w:r>
    </w:p>
    <w:p>
      <w:pPr>
        <w:pStyle w:val="a"/>
        <w:rPr>
          <w:rFonts w:hint="eastAsia"/>
        </w:rPr>
      </w:pPr>
      <w:r>
        <w:rPr>
          <w:rFonts w:hint="eastAsia"/>
          <w:sz w:val="22"/>
          <w:szCs w:val="22"/>
        </w:rPr>
        <w:t>算力芯片与硬件：这是最核心的环节，包括GPU、AI专用芯片（ASIC）、高带宽内存（HBM）、光模块、交换设备以及液冷、电力等数据中心基础设施。全球市场由英伟达主导，其凭借CUDA生态占据了超过80%的高性能AI芯片市场份额。国内华为昇腾、寒武纪、壁仞科技等厂商正加快自研步伐，致力于构建自主可控的算力底座。</w:t>
      </w:r>
    </w:p>
    <w:p>
      <w:pPr>
        <w:pStyle w:val="a"/>
        <w:rPr>
          <w:rFonts w:hint="eastAsia"/>
        </w:rPr>
      </w:pPr>
      <w:r>
        <w:rPr>
          <w:rFonts w:hint="eastAsia"/>
          <w:sz w:val="22"/>
          <w:szCs w:val="22"/>
        </w:rPr>
        <w:t>云计算平台：为模型训练和部署提供弹性算力服务。全球市场由AWS、Azure、谷歌云主导，合计占据超70%份额。国内阿里云、华为云、腾讯云是主要参与者，正持续加大AI算力投入，例如阿里云计划未来三年投入524亿美元扩充AI算力。</w:t>
      </w:r>
    </w:p>
    <w:p>
      <w:pPr>
        <w:pStyle w:val="a"/>
        <w:rPr>
          <w:rFonts w:hint="eastAsia"/>
        </w:rPr>
      </w:pPr>
      <w:r>
        <w:rPr>
          <w:rFonts w:hint="eastAsia"/>
          <w:sz w:val="22"/>
          <w:szCs w:val="22"/>
        </w:rPr>
        <w:t>数据服务：涵盖数据采集、清洗、标注及治理。高质量、大规模、多模态的数据是训练高性能模型的“燃料”。数据质量直接决定模型效果，研究表明约90%的模型问题源于数据而非架构。</w:t>
      </w:r>
    </w:p>
    <w:p>
      <w:pPr>
        <w:pStyle w:val="4"/>
        <w:rPr>
          <w:rFonts w:hint="eastAsia"/>
        </w:rPr>
      </w:pPr>
      <w:r>
        <w:rPr>
          <w:rFonts w:hint="eastAsia"/>
          <w:sz w:val="28"/>
          <w:szCs w:val="28"/>
        </w:rPr>
        <w:t>2. 发展趋势与投资逻辑</w:t>
      </w:r>
    </w:p>
    <w:p>
      <w:pPr>
        <w:pStyle w:val="a"/>
        <w:rPr>
          <w:rFonts w:hint="eastAsia"/>
        </w:rPr>
      </w:pPr>
      <w:r>
        <w:rPr>
          <w:rFonts w:hint="eastAsia"/>
          <w:sz w:val="22"/>
          <w:szCs w:val="22"/>
        </w:rPr>
        <w:t>上游产业正经历深刻变革，投资逻辑从单纯的“囤积算力”转向“核算单位产出成本”。</w:t>
      </w:r>
    </w:p>
    <w:p>
      <w:pPr>
        <w:pStyle w:val="a"/>
        <w:rPr>
          <w:rFonts w:hint="eastAsia"/>
        </w:rPr>
      </w:pPr>
      <w:r>
        <w:rPr>
          <w:rFonts w:hint="eastAsia"/>
          <w:sz w:val="22"/>
          <w:szCs w:val="22"/>
        </w:rPr>
        <w:t>需求结构转变上，随着大模型进入规模化应用阶段，推理算力需求正历史性地超越训练算力。根据行业预测，2026年推理型AI服务器在整体出货结构中的比重有望提升至44%。推理任务更关注能耗、稳定性和总拥有成本（TCO），这为在能效比上有优势的国产芯片提供了切入窗口。</w:t>
      </w:r>
    </w:p>
    <w:p>
      <w:pPr>
        <w:pStyle w:val="a"/>
        <w:rPr>
          <w:rFonts w:hint="eastAsia"/>
        </w:rPr>
      </w:pPr>
      <w:r>
        <w:rPr>
          <w:rFonts w:hint="eastAsia"/>
          <w:sz w:val="22"/>
          <w:szCs w:val="22"/>
        </w:rPr>
        <w:t>采购标准变化上，客户不再只追求单卡算力峰值，而是开始计算“每元投入能换取多少Token吞吐量”、“每瓦电能处理多少Token”。这种转变使得具备性价比和供应安全优势的国产算力方案吸引力增强。</w:t>
      </w:r>
    </w:p>
    <w:p>
      <w:pPr>
        <w:pStyle w:val="a"/>
        <w:rPr>
          <w:rFonts w:hint="eastAsia"/>
        </w:rPr>
      </w:pPr>
      <w:r>
        <w:rPr>
          <w:rFonts w:hint="eastAsia"/>
          <w:sz w:val="22"/>
          <w:szCs w:val="22"/>
        </w:rPr>
        <w:t>技术迭代驱动上，稀疏化、模型蒸馏、量化等模型压缩技术能有效降低训练和推理成本，缓解算力压力。同时，AI自动数据优化与标注技术也在发展，以降低数据准备阶段的人工成本。</w:t>
      </w:r>
    </w:p>
    <w:p>
      <w:pPr>
        <w:pStyle w:val="a"/>
        <w:jc w:val="center"/>
        <w:rPr>
          <w:rFonts w:hint="eastAsia"/>
        </w:rPr>
      </w:pPr>
      <w:r>
        <w:rPr>
          <w:rFonts w:hint="eastAsia"/>
          <w:sz w:val="22"/>
          <w:szCs w:val="22"/>
        </w:rPr>
        <w:t>表：大模型上游产业核心一览</w:t>
      </w:r>
    </w:p>
    <w:tbl>
      <w:tblPr>
        <w:tblStyle w:val="a1"/>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3"/>
        <w:gridCol w:w="1503"/>
        <w:gridCol w:w="3292"/>
        <w:gridCol w:w="3130"/>
      </w:tblGrid>
      <w:tr>
        <w:trPr>
          <w:tblHeader w:val="1"/>
        </w:trPr>
        <w:tc>
          <w:tcPr>
            <w:tcW w:w="1573" w:type="dxa"/>
            <w:shd w:val="clear" w:color="auto" w:fill="F5F5F5"/>
            <w:tcMar>
              <w:top w:w="135" w:type="dxa"/>
              <w:left w:w="180" w:type="dxa"/>
              <w:bottom w:w="135" w:type="dxa"/>
              <w:right w:w="180" w:type="dxa"/>
            </w:tcMar>
            <w:vAlign w:val="center"/>
            <w:hideMark/>
          </w:tcPr>
          <w:p>
            <w:pPr>
              <w:pStyle w:val="a"/>
              <w:rPr>
                <w:rFonts w:hint="eastAsia"/>
                <w:b/>
                <w:bCs/>
                <w:sz w:val="21"/>
                <w:szCs w:val="22"/>
              </w:rPr>
            </w:pPr>
            <w:r w:rsidRPr="00C42458">
              <w:rPr>
                <w:b/>
                <w:sz w:val="21"/>
                <w:szCs w:val="22"/>
                <w:rFonts w:hint="eastAsia"/>
              </w:rPr>
              <w:t>环节</w:t>
            </w:r>
          </w:p>
        </w:tc>
        <w:tc>
          <w:tcPr>
            <w:tcW w:w="1503" w:type="auto"/>
            <w:shd w:val="clear" w:color="auto" w:fill="F5F5F5"/>
            <w:tcMar>
              <w:top w:w="135" w:type="dxa"/>
              <w:left w:w="180" w:type="dxa"/>
              <w:bottom w:w="135" w:type="dxa"/>
              <w:right w:w="180" w:type="dxa"/>
            </w:tcMar>
            <w:vAlign w:val="center"/>
            <w:hideMark/>
          </w:tcPr>
          <w:p>
            <w:pPr>
              <w:pStyle w:val="a"/>
              <w:rPr>
                <w:rFonts w:hint="eastAsia"/>
                <w:b/>
                <w:bCs/>
                <w:sz w:val="21"/>
                <w:szCs w:val="22"/>
              </w:rPr>
            </w:pPr>
            <w:r w:rsidRPr="00C42458">
              <w:rPr>
                <w:b/>
                <w:sz w:val="21"/>
                <w:szCs w:val="22"/>
                <w:rFonts w:hint="eastAsia"/>
              </w:rPr>
              <w:t>核心内容</w:t>
            </w:r>
          </w:p>
        </w:tc>
        <w:tc>
          <w:tcPr>
            <w:tcW w:w="3292" w:type="auto"/>
            <w:shd w:val="clear" w:color="auto" w:fill="F5F5F5"/>
            <w:tcMar>
              <w:top w:w="135" w:type="dxa"/>
              <w:left w:w="180" w:type="dxa"/>
              <w:bottom w:w="135" w:type="dxa"/>
              <w:right w:w="180" w:type="dxa"/>
            </w:tcMar>
            <w:vAlign w:val="center"/>
            <w:hideMark/>
          </w:tcPr>
          <w:p>
            <w:pPr>
              <w:pStyle w:val="a"/>
              <w:rPr>
                <w:rFonts w:hint="eastAsia"/>
                <w:b/>
                <w:bCs/>
                <w:sz w:val="21"/>
                <w:szCs w:val="22"/>
              </w:rPr>
            </w:pPr>
            <w:r w:rsidRPr="00C42458">
              <w:rPr>
                <w:b/>
                <w:sz w:val="21"/>
                <w:szCs w:val="22"/>
                <w:rFonts w:hint="eastAsia"/>
              </w:rPr>
              <w:t>代表厂商/技术</w:t>
            </w:r>
          </w:p>
        </w:tc>
        <w:tc>
          <w:tcPr>
            <w:tcW w:w="3130" w:type="dxa"/>
            <w:shd w:val="clear" w:color="auto" w:fill="F5F5F5"/>
            <w:tcMar>
              <w:top w:w="135" w:type="dxa"/>
              <w:left w:w="180" w:type="dxa"/>
              <w:bottom w:w="135" w:type="dxa"/>
              <w:right w:w="180" w:type="dxa"/>
            </w:tcMar>
            <w:vAlign w:val="center"/>
            <w:hideMark/>
          </w:tcPr>
          <w:p>
            <w:pPr>
              <w:pStyle w:val="a"/>
              <w:rPr>
                <w:rFonts w:hint="eastAsia"/>
                <w:b/>
                <w:bCs/>
                <w:sz w:val="21"/>
                <w:szCs w:val="22"/>
              </w:rPr>
            </w:pPr>
            <w:r w:rsidRPr="00C42458">
              <w:rPr>
                <w:b/>
                <w:sz w:val="21"/>
                <w:szCs w:val="22"/>
                <w:rFonts w:hint="eastAsia"/>
              </w:rPr>
              <w:t>当前趋势与挑战</w:t>
            </w:r>
          </w:p>
        </w:tc>
      </w:tr>
      <w:tr>
        <w:tc>
          <w:tcPr>
            <w:tcW w:w="1573" w:type="dxa"/>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b/>
                <w:sz w:val="21"/>
                <w:szCs w:val="22"/>
                <w:rFonts w:hint="eastAsia"/>
              </w:rPr>
              <w:t>算力芯片</w:t>
            </w:r>
          </w:p>
        </w:tc>
        <w:tc>
          <w:tcPr>
            <w:tcW w:w="1503"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GPU、AI ASIC、HBM内存</w:t>
            </w:r>
          </w:p>
        </w:tc>
        <w:tc>
          <w:tcPr>
            <w:tcW w:w="3292" w:type="auto"/>
            <w:shd w:val="clear" w:color="auto" w:fill="FFFFFF"/>
            <w:tcMar>
              <w:top w:w="135" w:type="dxa"/>
              <w:left w:w="180" w:type="dxa"/>
              <w:bottom w:w="135" w:type="dxa"/>
              <w:right w:w="180" w:type="dxa"/>
            </w:tcMar>
            <w:vAlign w:val="center"/>
            <w:hideMark/>
          </w:tcPr>
          <w:p>
            <w:pPr>
              <w:pStyle w:val="a"/>
              <w:rPr>
                <w:rFonts w:hint="eastAsia"/>
                <w:sz w:val="21"/>
                <w:szCs w:val="22"/>
              </w:rPr>
            </w:pPr>
            <w:r>
              <w:rPr>
                <w:rFonts w:hint="eastAsia"/>
                <w:sz w:val="21"/>
                <w:szCs w:val="22"/>
                <w:b/>
              </w:rPr>
              <w:t>国际</w:t>
            </w:r>
            <w:r w:rsidRPr="00C42458">
              <w:rPr>
                <w:sz w:val="21"/>
                <w:szCs w:val="22"/>
                <w:rFonts w:hint="eastAsia"/>
              </w:rPr>
              <w:t>：英伟达（A100/H100）、AMD；</w:t>
            </w:r>
            <w:r w:rsidRPr="00C42458">
              <w:rPr>
                <w:b/>
                <w:sz w:val="21"/>
                <w:szCs w:val="22"/>
                <w:rFonts w:hint="eastAsia"/>
              </w:rPr>
              <w:t>国内</w:t>
            </w:r>
            <w:r>
              <w:rPr>
                <w:rFonts w:hint="eastAsia"/>
                <w:sz w:val="21"/>
                <w:szCs w:val="22"/>
              </w:rPr>
              <w:t>：华为昇腾、寒武纪、壁仞科技</w:t>
            </w:r>
          </w:p>
        </w:tc>
        <w:tc>
          <w:tcPr>
            <w:tcW w:w="3130" w:type="dxa"/>
            <w:shd w:val="clear" w:color="auto" w:fill="FFFFFF"/>
            <w:tcMar>
              <w:top w:w="135" w:type="dxa"/>
              <w:left w:w="180" w:type="dxa"/>
              <w:bottom w:w="135" w:type="dxa"/>
              <w:right w:w="180" w:type="dxa"/>
            </w:tcMar>
            <w:vAlign w:val="center"/>
            <w:hideMark/>
          </w:tcPr>
          <w:p>
            <w:pPr>
              <w:pStyle w:val="a"/>
              <w:rPr>
                <w:rFonts w:hint="eastAsia"/>
                <w:sz w:val="21"/>
                <w:szCs w:val="22"/>
              </w:rPr>
            </w:pPr>
            <w:r>
              <w:rPr>
                <w:rFonts w:hint="eastAsia"/>
                <w:sz w:val="21"/>
                <w:szCs w:val="22"/>
              </w:rPr>
              <w:t>国际巨头生态壁垒高；国产替代加速，聚焦推理端能效比与供应链安全。</w:t>
            </w:r>
          </w:p>
        </w:tc>
      </w:tr>
      <w:tr>
        <w:tc>
          <w:tcPr>
            <w:tcW w:w="1573" w:type="dxa"/>
            <w:shd w:val="clear" w:color="auto" w:fill="FFFFFF"/>
            <w:tcMar>
              <w:top w:w="135" w:type="dxa"/>
              <w:left w:w="180" w:type="dxa"/>
              <w:bottom w:w="135" w:type="dxa"/>
              <w:right w:w="180" w:type="dxa"/>
            </w:tcMar>
            <w:vAlign w:val="center"/>
            <w:hideMark/>
          </w:tcPr>
          <w:p>
            <w:pPr>
              <w:pStyle w:val="a"/>
              <w:rPr>
                <w:rFonts w:hint="eastAsia"/>
                <w:sz w:val="21"/>
                <w:szCs w:val="22"/>
              </w:rPr>
            </w:pPr>
            <w:r>
              <w:rPr>
                <w:rFonts w:hint="eastAsia"/>
                <w:sz w:val="21"/>
                <w:szCs w:val="22"/>
                <w:b/>
              </w:rPr>
              <w:t>云计算/IDC</w:t>
            </w:r>
          </w:p>
        </w:tc>
        <w:tc>
          <w:tcPr>
            <w:tcW w:w="1503"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算力租赁、数据中心运营</w:t>
            </w:r>
          </w:p>
        </w:tc>
        <w:tc>
          <w:tcPr>
            <w:tcW w:w="3292"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b/>
                <w:sz w:val="21"/>
                <w:szCs w:val="22"/>
                <w:rFonts w:hint="eastAsia"/>
              </w:rPr>
              <w:t>国际</w:t>
            </w:r>
            <w:r w:rsidRPr="00C42458">
              <w:rPr>
                <w:sz w:val="21"/>
                <w:szCs w:val="22"/>
                <w:rFonts w:hint="eastAsia"/>
              </w:rPr>
              <w:t>：AWS, Azure, Google Cloud；</w:t>
            </w:r>
            <w:r w:rsidRPr="00C42458">
              <w:rPr>
                <w:b/>
                <w:sz w:val="21"/>
                <w:szCs w:val="22"/>
                <w:rFonts w:hint="eastAsia"/>
              </w:rPr>
              <w:t>国内</w:t>
            </w:r>
            <w:r w:rsidRPr="00C42458">
              <w:rPr>
                <w:sz w:val="21"/>
                <w:szCs w:val="22"/>
                <w:rFonts w:hint="eastAsia"/>
              </w:rPr>
              <w:t>：阿里云、华为云、腾讯云、运营商云</w:t>
            </w:r>
          </w:p>
        </w:tc>
        <w:tc>
          <w:tcPr>
            <w:tcW w:w="3130" w:type="dxa"/>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从提供裸算力向提供“算力+模型+平台”一体化服务演进；绿色低碳、降PUE成关键。</w:t>
            </w:r>
          </w:p>
        </w:tc>
      </w:tr>
      <w:tr>
        <w:tc>
          <w:tcPr>
            <w:tcW w:w="1573" w:type="dxa"/>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b/>
                <w:sz w:val="21"/>
                <w:szCs w:val="22"/>
                <w:rFonts w:hint="eastAsia"/>
              </w:rPr>
              <w:t>数据服务</w:t>
            </w:r>
          </w:p>
        </w:tc>
        <w:tc>
          <w:tcPr>
            <w:tcW w:w="1503"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数据采集、清洗、标注、治理</w:t>
            </w:r>
          </w:p>
        </w:tc>
        <w:tc>
          <w:tcPr>
            <w:tcW w:w="3292"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众多专业数据服务商、大型互联网企业自有数据</w:t>
            </w:r>
          </w:p>
        </w:tc>
        <w:tc>
          <w:tcPr>
            <w:tcW w:w="3130" w:type="dxa"/>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多模态数据需求激增；数据合规、隐私保护要求日益严格；自动化标注技术发展。</w:t>
            </w:r>
          </w:p>
        </w:tc>
      </w:tr>
      <w:tr>
        <w:tc>
          <w:tcPr>
            <w:tcW w:w="1573" w:type="dxa"/>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b/>
                <w:sz w:val="21"/>
                <w:szCs w:val="22"/>
                <w:rFonts w:hint="eastAsia"/>
              </w:rPr>
              <w:t>关键基础设施</w:t>
            </w:r>
          </w:p>
        </w:tc>
        <w:tc>
          <w:tcPr>
            <w:tcW w:w="1503"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光模块、交换机、液冷、电力</w:t>
            </w:r>
          </w:p>
        </w:tc>
        <w:tc>
          <w:tcPr>
            <w:tcW w:w="3292" w:type="auto"/>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中际旭创、新易盛、英维克等</w:t>
            </w:r>
          </w:p>
        </w:tc>
        <w:tc>
          <w:tcPr>
            <w:tcW w:w="3130" w:type="dxa"/>
            <w:shd w:val="clear" w:color="auto" w:fill="FFFFFF"/>
            <w:tcMar>
              <w:top w:w="135" w:type="dxa"/>
              <w:left w:w="180" w:type="dxa"/>
              <w:bottom w:w="135" w:type="dxa"/>
              <w:right w:w="180" w:type="dxa"/>
            </w:tcMar>
            <w:vAlign w:val="center"/>
            <w:hideMark/>
          </w:tcPr>
          <w:p>
            <w:pPr>
              <w:pStyle w:val="a"/>
              <w:rPr>
                <w:rFonts w:hint="eastAsia"/>
                <w:sz w:val="21"/>
                <w:szCs w:val="22"/>
              </w:rPr>
            </w:pPr>
            <w:r w:rsidRPr="00C42458">
              <w:rPr>
                <w:sz w:val="21"/>
                <w:szCs w:val="22"/>
                <w:rFonts w:hint="eastAsia"/>
              </w:rPr>
              <w:t>伴随算力密度提升，高速光互联与高效散热方案成为瓶颈突破点。</w:t>
            </w:r>
          </w:p>
        </w:tc>
      </w:tr>
    </w:tbl>
    <w:p>
      <w:pPr>
        <w:pStyle w:val="a"/>
        <w:rPr>
          <w:rFonts w:hint="eastAsia"/>
        </w:rPr>
      </w:pPr>
    </w:p>
    <w:p>
      <w:pPr>
        <w:pStyle w:val="3"/>
        <w:rPr>
          <w:rFonts w:hint="eastAsia"/>
        </w:rPr>
      </w:pPr>
      <w:r>
        <w:rPr>
          <w:rFonts w:hint="eastAsia"/>
          <w:sz w:val="32"/>
          <w:szCs w:val="32"/>
        </w:rPr>
        <w:t>中游：模型与平台核心</w:t>
      </w:r>
    </w:p>
    <w:p>
      <w:pPr>
        <w:pStyle w:val="a"/>
        <w:rPr>
          <w:rFonts w:hint="eastAsia"/>
        </w:rPr>
      </w:pPr>
      <w:r>
        <w:rPr>
          <w:rFonts w:hint="eastAsia"/>
          <w:sz w:val="22"/>
          <w:szCs w:val="22"/>
        </w:rPr>
        <w:t>中游产业链是大模型产业的技术中枢和价值创造核心，聚焦于基础大模型的研发、训练、优化以及将其能力标准化输出的平台服务。这一层直接决定了产业智能水平的上限和商业化拓展的广度。</w:t>
      </w:r>
    </w:p>
    <w:p>
      <w:pPr>
        <w:pStyle w:val="4"/>
        <w:rPr>
          <w:rFonts w:hint="eastAsia"/>
        </w:rPr>
      </w:pPr>
      <w:r>
        <w:rPr>
          <w:rFonts w:hint="eastAsia"/>
          <w:sz w:val="28"/>
          <w:szCs w:val="28"/>
        </w:rPr>
        <w:t>1. 核心构成与竞争格局</w:t>
      </w:r>
    </w:p>
    <w:p>
      <w:pPr>
        <w:pStyle w:val="a"/>
        <w:rPr>
          <w:rFonts w:hint="eastAsia"/>
        </w:rPr>
      </w:pPr>
      <w:r>
        <w:rPr>
          <w:rFonts w:hint="eastAsia"/>
          <w:sz w:val="22"/>
          <w:szCs w:val="22"/>
        </w:rPr>
        <w:t>中游已形成多元化的竞争生态，参与者主要包括独立大模型厂商、互联网科技巨头以及开源社区。</w:t>
      </w:r>
    </w:p>
    <w:p>
      <w:pPr>
        <w:pStyle w:val="a"/>
        <w:rPr>
          <w:rFonts w:hint="eastAsia"/>
        </w:rPr>
      </w:pPr>
      <w:r>
        <w:rPr>
          <w:rFonts w:hint="eastAsia"/>
          <w:sz w:val="22"/>
          <w:szCs w:val="22"/>
        </w:rPr>
        <w:t>模型层（核心引擎）致力于研发通用或垂直领域的大模型。全球范围内，OpenAI、Google、Anthropic等处于闭源模型领先地位，Meta的Llama系列则激活了开源生态。中国已形成独特发展路径，头部厂商在文本和多模态理解与生成、深度推理等核心能力上已对标国际顶尖水平，形成了技术演进与场景协同并进的局面。当前，高性能模型研发已收敛至少数厂商，技术迭代呈现非线性跃升态势。</w:t>
      </w:r>
    </w:p>
    <w:p>
      <w:pPr>
        <w:pStyle w:val="a"/>
        <w:rPr>
          <w:rFonts w:hint="eastAsia"/>
        </w:rPr>
      </w:pPr>
      <w:r>
        <w:rPr>
          <w:rFonts w:hint="eastAsia"/>
          <w:sz w:val="22"/>
          <w:szCs w:val="22"/>
        </w:rPr>
        <w:t>平台/服务层提供模型即服务（MaaS）、API接口、私有化部署工具及开发者生态。这一层降低了应用开发门槛，是连接底层模型与上层应用的关键桥梁。例如，DeepSeek，智谱，kimi，阶跃星辰，和MiniMax均通过API、订阅、私有化部署等多种形式向客户输出大模型技术服务。</w:t>
      </w:r>
    </w:p>
    <w:p>
      <w:pPr>
        <w:pStyle w:val="4"/>
        <w:rPr>
          <w:rFonts w:hint="eastAsia"/>
        </w:rPr>
      </w:pPr>
      <w:r>
        <w:rPr>
          <w:rFonts w:hint="eastAsia"/>
          <w:sz w:val="28"/>
          <w:szCs w:val="28"/>
        </w:rPr>
        <w:t>2. 发展趋势与商业模式演进</w:t>
      </w:r>
    </w:p>
    <w:p>
      <w:pPr>
        <w:pStyle w:val="a"/>
        <w:rPr>
          <w:rFonts w:hint="eastAsia"/>
        </w:rPr>
      </w:pPr>
      <w:r>
        <w:rPr>
          <w:rFonts w:hint="eastAsia"/>
          <w:sz w:val="22"/>
          <w:szCs w:val="22"/>
        </w:rPr>
        <w:t>中游产业正从早期的“参数竞赛”和“技术叙事”阶段，全面转向“商业化效率”与“落地能力”竞争阶段。</w:t>
      </w:r>
    </w:p>
    <w:p>
      <w:pPr>
        <w:pStyle w:val="a"/>
        <w:rPr>
          <w:rFonts w:hint="eastAsia"/>
        </w:rPr>
      </w:pPr>
      <w:r>
        <w:rPr>
          <w:rFonts w:hint="eastAsia"/>
          <w:sz w:val="22"/>
          <w:szCs w:val="22"/>
        </w:rPr>
        <w:t>技术范式演进上，技术重点从单纯扩大参数规模，转向强化推理能力（思维链CoT）、多模态融合以及智能体（Agent）基础能力建设。多智能体协作、本地网关和cli工具操作能力、长记忆、长文本、自主任务执行等正在成为模型的底层标配。</w:t>
      </w:r>
    </w:p>
    <w:p>
      <w:pPr>
        <w:pStyle w:val="a"/>
        <w:rPr>
          <w:rFonts w:hint="eastAsia"/>
        </w:rPr>
      </w:pPr>
      <w:commentRangeStart w:id="1"/>
      <w:r>
        <w:rPr>
          <w:rFonts w:hint="eastAsia"/>
          <w:sz w:val="22"/>
          <w:szCs w:val="22"/>
        </w:rPr>
        <w:t>商业模式分化与探索主要呈现两种路径：一是以智谱为代表的To B深度定制模式，聚焦政企信创市场，通过私有化部署和行业定制获取收入，毛利率较高（1H25达50%），但规模化难度大；二是以MiniMax为代表的To C产品化与全球化模式，收入超70%来自C端，全球化特征突出，通过标准化API和订阅服务实现快速扩张，但毛利率相对较低（2025年为25.4%）。</w:t>
      </w:r>
      <w:r w:rsidR="006E3EE6">
        <w:rPr>
          <w:rStyle w:val="af7"/>
          <w:rFonts w:hint="eastAsia"/>
          <w:sz w:val="22"/>
          <w:szCs w:val="24"/>
        </w:rPr>
        <w:commentReference w:id="1"/>
      </w:r>
      <w:commentRangeEnd w:id="1"/>
    </w:p>
    <w:p>
      <w:pPr>
        <w:pStyle w:val="a"/>
        <w:rPr>
          <w:rFonts w:hint="eastAsia"/>
        </w:rPr>
      </w:pPr>
      <w:r>
        <w:rPr>
          <w:rFonts w:hint="eastAsia"/>
          <w:sz w:val="22"/>
          <w:szCs w:val="22"/>
        </w:rPr>
        <w:t>盈利拐点成为焦点：资本市场关注点已转向收入质量、毛利率改善及清晰的盈利拐点预期。尽管行业仍普遍亏损，但头部公司已展示出强劲的收入增长。例如，MiniMax的年度经常性收入（ARR）在2026年2月已超过1.5亿美元，标志着从“烧钱投入期”向“价值兑现期”的过渡。</w:t>
      </w:r>
    </w:p>
    <w:p>
      <w:pPr>
        <w:pStyle w:val="a"/>
        <w:rPr>
          <w:rFonts w:hint="eastAsia"/>
        </w:rPr>
      </w:pPr>
    </w:p>
    <w:p>
      <w:pPr>
        <w:pStyle w:val="3"/>
        <w:rPr>
          <w:rFonts w:hint="eastAsia"/>
        </w:rPr>
      </w:pPr>
      <w:r>
        <w:rPr>
          <w:rFonts w:hint="eastAsia"/>
          <w:sz w:val="32"/>
          <w:szCs w:val="32"/>
        </w:rPr>
        <w:t>下游：应用与产品落地</w:t>
      </w:r>
    </w:p>
    <w:p>
      <w:pPr>
        <w:pStyle w:val="4"/>
        <w:rPr>
          <w:rFonts w:hint="eastAsia"/>
        </w:rPr>
      </w:pPr>
      <w:r>
        <w:rPr>
          <w:rFonts w:hint="eastAsia"/>
          <w:sz w:val="28"/>
          <w:szCs w:val="28"/>
        </w:rPr>
        <w:t>1. 核心构成</w:t>
      </w:r>
    </w:p>
    <w:p>
      <w:pPr>
        <w:pStyle w:val="a"/>
        <w:rPr>
          <w:rFonts w:hint="eastAsia"/>
        </w:rPr>
      </w:pPr>
      <w:r>
        <w:rPr>
          <w:rFonts w:hint="eastAsia"/>
          <w:sz w:val="22"/>
          <w:szCs w:val="22"/>
        </w:rPr>
        <w:t>大模型应用正以前所未有的速度向各行业渗透，形成从通用工具到行业专有解决方案的矩阵。</w:t>
      </w:r>
    </w:p>
    <w:p>
      <w:pPr>
        <w:pStyle w:val="a"/>
        <w:rPr>
          <w:rFonts w:hint="eastAsia"/>
        </w:rPr>
      </w:pPr>
      <w:r>
        <w:rPr>
          <w:rFonts w:hint="eastAsia"/>
          <w:sz w:val="22"/>
          <w:szCs w:val="22"/>
        </w:rPr>
        <w:t>To B（企业服务）场景：这是当前商业化落地最稳健、确定性最强的领域。金融、政务、医疗、制造、电商等行业是主力军。应用包括智能客服、代码辅助开发、智能营销、办公自动化、辅助诊断、生产流程优化等。这些场景付费意愿强，能够承接算力成本。</w:t>
      </w:r>
    </w:p>
    <w:p>
      <w:pPr>
        <w:pStyle w:val="a"/>
        <w:rPr>
          <w:rFonts w:hint="eastAsia"/>
        </w:rPr>
      </w:pPr>
      <w:r>
        <w:rPr>
          <w:rFonts w:hint="eastAsia"/>
          <w:sz w:val="22"/>
          <w:szCs w:val="22"/>
        </w:rPr>
        <w:t>To C（消费者）场景：包括AI聊天助手（如豆包、文心一言）、AIGC内容生成工具（文生图、视频生成）、AI社交、个人学习助理等。该模式想象空间大，但受巨头流量把控影响，独立厂商在国内的生存空间被压缩，出海机会更大。</w:t>
      </w:r>
    </w:p>
    <w:p>
      <w:pPr>
        <w:pStyle w:val="a"/>
        <w:rPr>
          <w:rFonts w:hint="eastAsia"/>
        </w:rPr>
      </w:pPr>
      <w:r>
        <w:rPr>
          <w:rFonts w:hint="eastAsia"/>
          <w:sz w:val="22"/>
          <w:szCs w:val="22"/>
        </w:rPr>
        <w:t>AI智能体（Agent）：这是下游应用演进的重要方向。智能体不再是简单的问答机器人，而是能理解复杂指令、自主规划、调用工具完成任务的“数字员工”。其应用将Token消耗量提升了一个数量级，极大地拉动了中游模型调用和上游推理算力需求。例如，开源项目OpenClaw（“龙虾”）的流行，直接带动了国产大模型调用量的激增。</w:t>
      </w:r>
    </w:p>
    <w:p>
      <w:pPr>
        <w:pStyle w:val="a"/>
        <w:rPr>
          <w:rFonts w:hint="eastAsia"/>
        </w:rPr>
      </w:pPr>
      <w:r>
        <w:rPr>
          <w:rFonts w:hint="eastAsia"/>
          <w:sz w:val="22"/>
          <w:szCs w:val="22"/>
        </w:rPr>
        <w:t>端侧AI：随着模型轻量化技术的发展，大模型正部署到手机、汽车、IoT设备等终端，实现低延迟、高隐私的本地化智能服务，开辟了新的市场空间。</w:t>
      </w:r>
    </w:p>
    <w:p>
      <w:pPr>
        <w:pStyle w:val="4"/>
        <w:rPr>
          <w:rFonts w:hint="eastAsia"/>
        </w:rPr>
      </w:pPr>
      <w:r>
        <w:rPr>
          <w:rFonts w:hint="eastAsia"/>
          <w:sz w:val="28"/>
          <w:szCs w:val="28"/>
        </w:rPr>
        <w:t>2. 发展趋势与投资启示</w:t>
      </w:r>
    </w:p>
    <w:p>
      <w:pPr>
        <w:pStyle w:val="a"/>
        <w:rPr>
          <w:rFonts w:hint="eastAsia"/>
        </w:rPr>
      </w:pPr>
      <w:r>
        <w:rPr>
          <w:rFonts w:hint="eastAsia"/>
          <w:sz w:val="22"/>
          <w:szCs w:val="22"/>
        </w:rPr>
        <w:t>下游应用的发展正深刻改变整个产业链的价值分配和增长逻辑。</w:t>
      </w:r>
    </w:p>
    <w:p>
      <w:pPr>
        <w:pStyle w:val="a"/>
        <w:rPr>
          <w:rFonts w:hint="eastAsia"/>
        </w:rPr>
      </w:pPr>
      <w:r>
        <w:rPr>
          <w:rFonts w:hint="eastAsia"/>
          <w:sz w:val="22"/>
          <w:szCs w:val="22"/>
        </w:rPr>
        <w:t>应用模式变革驱动需求暴涨：从"问答式"交互到"智能体"持续执行任务的模式转变，使得单次会话的Token消耗呈几何级数增长。这是推动2026年3月国产大模型周调用量突破 12.96 万亿Token、达到美国市场（3.03万亿）的 4.28 倍的核心原因，全球TOP6调用量模型全为中国阵营。</w:t>
      </w:r>
    </w:p>
    <w:p>
      <w:pPr>
        <w:pStyle w:val="a"/>
        <w:rPr>
          <w:rFonts w:hint="eastAsia"/>
        </w:rPr>
      </w:pPr>
      <w:r>
        <w:rPr>
          <w:rFonts w:hint="eastAsia"/>
          <w:sz w:val="22"/>
          <w:szCs w:val="22"/>
        </w:rPr>
        <w:t>“应用成功反哺全产业链”逻辑验证：一个成功的下游应用（如“龙虾”智能体）会像多米诺骨牌一样，强力拉动中游模型调用和上游算力需求，验证了“应用-模型-算力”的产业增长飞轮。</w:t>
      </w:r>
    </w:p>
    <w:p>
      <w:pPr>
        <w:pStyle w:val="a"/>
        <w:rPr>
          <w:rFonts w:hint="eastAsia"/>
        </w:rPr>
      </w:pPr>
    </w:p>
    <w:p>
      <w:pPr>
        <w:pStyle w:val="2"/>
        <w:rPr>
          <w:rFonts w:hint="eastAsia"/>
        </w:rPr>
      </w:pPr>
      <w:r>
        <w:rPr>
          <w:rFonts w:hint="eastAsia"/>
          <w:sz w:val="21"/>
          <w:szCs w:val="22"/>
        </w:rPr>
        <w:t>商业模式</w:t>
      </w:r>
    </w:p>
    <w:p>
      <w:pPr>
        <w:pStyle w:val="a"/>
        <w:rPr>
          <w:rFonts w:hint="eastAsia"/>
        </w:rPr>
      </w:pPr>
      <w:r w:rsidRPr="00B23F1D">
        <w:rPr>
          <w:b/>
          <w:rFonts w:hint="eastAsia"/>
          <w:sz w:val="22"/>
          <w:szCs w:val="22"/>
        </w:rPr>
        <w:t>商业模式</w:t>
      </w:r>
      <w:r w:rsidRPr="00B23F1D">
        <w:rPr>
          <w:rFonts w:hint="eastAsia"/>
          <w:sz w:val="22"/>
          <w:szCs w:val="22"/>
        </w:rPr>
        <w:t>描述的是企业创造、传递和捕获价值的底层逻辑。它关注的是</w:t>
      </w:r>
      <w:r w:rsidRPr="00B23F1D">
        <w:rPr>
          <w:b/>
          <w:rFonts w:hint="eastAsia"/>
          <w:sz w:val="22"/>
          <w:szCs w:val="22"/>
        </w:rPr>
        <w:t>机制</w:t>
      </w:r>
      <w:r w:rsidRPr="00B23F1D">
        <w:rPr>
          <w:rFonts w:hint="eastAsia"/>
          <w:sz w:val="22"/>
          <w:szCs w:val="22"/>
        </w:rPr>
        <w:t>——你向谁收钱、收什么钱、凭什么能收上来、成本花在哪里、护城河在哪里。比如大模型行业同时存在几种商业模式：OpenAI 的订阅制（ChatGPT Plus）加 API 按量计费；DeepSeek 的低价 API 加开源生态渗透；Anthropic 的企业级 Claude for Work 按席位收费；以及一些厂商试图做的 Agent 平台抽成。这些模式可以在</w:t>
      </w:r>
      <w:r w:rsidRPr="00B23F1D">
        <w:rPr>
          <w:b/>
          <w:rFonts w:hint="eastAsia"/>
          <w:sz w:val="22"/>
          <w:szCs w:val="22"/>
        </w:rPr>
        <w:t>同一商业化阶段内并存</w:t>
      </w:r>
      <w:r w:rsidRPr="00B23F1D">
        <w:rPr>
          <w:rFonts w:hint="eastAsia"/>
          <w:sz w:val="22"/>
          <w:szCs w:val="22"/>
        </w:rPr>
        <w:t>，也可以被同一企业在不同阶段切换。</w:t>
      </w:r>
    </w:p>
    <w:p>
      <w:pPr>
        <w:pStyle w:val="a"/>
        <w:rPr>
          <w:rFonts w:hint="eastAsia"/>
        </w:rPr>
      </w:pPr>
    </w:p>
    <w:p>
      <w:pPr>
        <w:pStyle w:val="a"/>
        <w:rPr>
          <w:rFonts w:hint="eastAsia"/>
        </w:rPr>
      </w:pPr>
      <w:r>
        <w:rPr>
          <w:rFonts w:hint="eastAsia"/>
          <w:sz w:val="22"/>
          <w:szCs w:val="22"/>
        </w:rPr>
        <w:t>大模型商业化目前形成三条清晰路径：API调用（MaaS）、订阅制（SaaS）和私有化部署（On-Premise），各自面向不同客群和使用场景。</w:t>
      </w:r>
    </w:p>
    <w:p>
      <w:pPr>
        <w:pStyle w:val="a"/>
        <w:rPr>
          <w:rFonts w:hint="eastAsia"/>
        </w:rPr>
      </w:pPr>
      <w:r>
        <w:rPr>
          <w:rFonts w:hint="eastAsia"/>
          <w:sz w:val="22"/>
          <w:szCs w:val="22"/>
        </w:rPr>
        <w:t>API调用是最核心的变现方式，按token计费，input/output分别定价。一般input更便宜，output更贵，input价格为output的三分之一到十数分之一。客户包括开发者、企业应用集成商和SaaS厂商。2024年Enterprise LLM市场中，云端部署占比约49%，API调用是其中的主导形式。各厂商通过持续降价扩大采用规模：OpenAI GPT-4 Turbo在2023年末定价$10/$30（/前为输入价格，后为输出价格，下同）每百万token，而2026年GPT-5.4已降至$2.50/$15 每百万token。Epoch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trPr>
          <w:trHeight w:val="300"/>
        </w:trPr>
        <w:tc>
          <w:tcPr>
            <w:tcW w:w="2369" w:type="dxa"/>
            <w:hideMark/>
          </w:tcPr>
          <w:p>
            <w:pPr>
              <w:pStyle w:val="a"/>
              <w:spacing w:after="160" w:line="278" w:lineRule="auto"/>
              <w:rPr>
                <w:rFonts w:hint="eastAsia"/>
                <w:b/>
                <w:bCs/>
              </w:rPr>
            </w:pPr>
            <w:r w:rsidRPr="00B4783E">
              <w:rPr>
                <w:b/>
                <w:rFonts w:hint="eastAsia"/>
                <w:sz w:val="22"/>
                <w:szCs w:val="22"/>
              </w:rPr>
              <w:t>数据来源</w:t>
            </w:r>
          </w:p>
        </w:tc>
        <w:tc>
          <w:tcPr>
            <w:tcW w:w="2241" w:type="dxa"/>
            <w:hideMark/>
          </w:tcPr>
          <w:p>
            <w:pPr>
              <w:pStyle w:val="a"/>
              <w:spacing w:after="160" w:line="278" w:lineRule="auto"/>
              <w:rPr>
                <w:rFonts w:hint="eastAsia"/>
                <w:b/>
                <w:bCs/>
              </w:rPr>
            </w:pPr>
            <w:r w:rsidRPr="00B4783E">
              <w:rPr>
                <w:b/>
                <w:rFonts w:hint="eastAsia"/>
                <w:sz w:val="22"/>
                <w:szCs w:val="22"/>
              </w:rPr>
              <w:t>时间窗口</w:t>
            </w:r>
          </w:p>
        </w:tc>
        <w:tc>
          <w:tcPr>
            <w:tcW w:w="1824" w:type="dxa"/>
            <w:hideMark/>
          </w:tcPr>
          <w:p>
            <w:pPr>
              <w:pStyle w:val="a"/>
              <w:spacing w:after="160" w:line="278" w:lineRule="auto"/>
              <w:rPr>
                <w:rFonts w:hint="eastAsia"/>
                <w:b/>
                <w:bCs/>
              </w:rPr>
            </w:pPr>
            <w:r w:rsidRPr="00B4783E">
              <w:rPr>
                <w:b/>
                <w:rFonts w:hint="eastAsia"/>
                <w:sz w:val="22"/>
                <w:szCs w:val="22"/>
              </w:rPr>
              <w:t>降幅</w:t>
            </w:r>
          </w:p>
        </w:tc>
        <w:tc>
          <w:tcPr>
            <w:tcW w:w="1862" w:type="dxa"/>
            <w:hideMark/>
          </w:tcPr>
          <w:p>
            <w:pPr>
              <w:pStyle w:val="a"/>
              <w:spacing w:after="160" w:line="278" w:lineRule="auto"/>
              <w:rPr>
                <w:rFonts w:hint="eastAsia"/>
                <w:b/>
                <w:bCs/>
              </w:rPr>
            </w:pPr>
            <w:r w:rsidRPr="00B4783E">
              <w:rPr>
                <w:b/>
                <w:rFonts w:hint="eastAsia"/>
                <w:sz w:val="22"/>
                <w:szCs w:val="22"/>
              </w:rPr>
              <w:t>备注</w:t>
            </w:r>
          </w:p>
        </w:tc>
      </w:tr>
      <w:tr>
        <w:trPr>
          <w:trHeight w:val="585"/>
        </w:trPr>
        <w:tc>
          <w:tcPr>
            <w:tcW w:w="2369" w:type="dxa"/>
            <w:hideMark/>
          </w:tcPr>
          <w:p>
            <w:pPr>
              <w:pStyle w:val="a"/>
              <w:spacing w:after="160" w:line="278" w:lineRule="auto"/>
              <w:rPr>
                <w:rFonts w:hint="eastAsia"/>
                <w:b/>
                <w:bCs/>
              </w:rPr>
            </w:pPr>
            <w:r w:rsidRPr="00B4783E">
              <w:rPr>
                <w:b/>
                <w:rFonts w:hint="eastAsia"/>
                <w:sz w:val="22"/>
                <w:szCs w:val="22"/>
              </w:rPr>
              <w:t>Epoch AI / arXiv 论文</w:t>
            </w:r>
          </w:p>
        </w:tc>
        <w:tc>
          <w:tcPr>
            <w:tcW w:w="2241" w:type="dxa"/>
            <w:hideMark/>
          </w:tcPr>
          <w:p>
            <w:pPr>
              <w:pStyle w:val="a"/>
              <w:spacing w:after="160" w:line="278" w:lineRule="auto"/>
              <w:rPr>
                <w:rFonts w:hint="eastAsia"/>
              </w:rPr>
            </w:pPr>
            <w:r w:rsidRPr="00B4783E">
              <w:rPr>
                <w:rFonts w:hint="eastAsia"/>
                <w:sz w:val="22"/>
                <w:szCs w:val="22"/>
              </w:rPr>
              <w:t>2024–2025</w:t>
            </w:r>
          </w:p>
        </w:tc>
        <w:tc>
          <w:tcPr>
            <w:tcW w:w="1824" w:type="dxa"/>
            <w:hideMark/>
          </w:tcPr>
          <w:p>
            <w:pPr>
              <w:pStyle w:val="a"/>
              <w:spacing w:after="160" w:line="278" w:lineRule="auto"/>
              <w:rPr>
                <w:rFonts w:hint="eastAsia"/>
                <w:b/>
                <w:bCs/>
              </w:rPr>
            </w:pPr>
            <w:r w:rsidRPr="00B4783E">
              <w:rPr>
                <w:b/>
                <w:rFonts w:hint="eastAsia"/>
                <w:sz w:val="22"/>
                <w:szCs w:val="22"/>
              </w:rPr>
              <w:t>5-10倍/年</w:t>
            </w:r>
          </w:p>
        </w:tc>
        <w:tc>
          <w:tcPr>
            <w:tcW w:w="1862" w:type="dxa"/>
            <w:hideMark/>
          </w:tcPr>
          <w:p>
            <w:pPr>
              <w:pStyle w:val="a"/>
              <w:spacing w:after="160" w:line="278" w:lineRule="auto"/>
              <w:rPr>
                <w:rFonts w:hint="eastAsia"/>
              </w:rPr>
            </w:pPr>
            <w:r w:rsidRPr="00B4783E">
              <w:rPr>
                <w:rFonts w:hint="eastAsia"/>
                <w:sz w:val="22"/>
                <w:szCs w:val="22"/>
              </w:rPr>
              <w:t xml:space="preserve">控制性能水平后的回归估计 </w:t>
            </w:r>
          </w:p>
        </w:tc>
      </w:tr>
      <w:tr>
        <w:trPr>
          <w:trHeight w:val="585"/>
        </w:trPr>
        <w:tc>
          <w:tcPr>
            <w:tcW w:w="2369" w:type="dxa"/>
            <w:hideMark/>
          </w:tcPr>
          <w:p>
            <w:pPr>
              <w:pStyle w:val="a"/>
              <w:spacing w:after="160" w:line="278" w:lineRule="auto"/>
              <w:rPr>
                <w:rFonts w:hint="eastAsia"/>
              </w:rPr>
            </w:pPr>
            <w:r w:rsidRPr="00B4783E">
              <w:rPr>
                <w:b/>
                <w:rFonts w:hint="eastAsia"/>
                <w:sz w:val="22"/>
                <w:szCs w:val="22"/>
              </w:rPr>
              <w:t>Epoch AI / arXiv 论文</w:t>
            </w:r>
          </w:p>
        </w:tc>
        <w:tc>
          <w:tcPr>
            <w:tcW w:w="2241" w:type="dxa"/>
            <w:hideMark/>
          </w:tcPr>
          <w:p>
            <w:pPr>
              <w:pStyle w:val="a"/>
              <w:spacing w:after="160" w:line="278" w:lineRule="auto"/>
              <w:rPr>
                <w:rFonts w:hint="eastAsia"/>
              </w:rPr>
            </w:pPr>
            <w:r w:rsidRPr="00B4783E">
              <w:rPr>
                <w:rFonts w:hint="eastAsia"/>
                <w:sz w:val="22"/>
                <w:szCs w:val="22"/>
              </w:rPr>
              <w:t>高端模型</w:t>
            </w:r>
          </w:p>
        </w:tc>
        <w:tc>
          <w:tcPr>
            <w:tcW w:w="1824" w:type="dxa"/>
            <w:hideMark/>
          </w:tcPr>
          <w:p>
            <w:pPr>
              <w:pStyle w:val="a"/>
              <w:spacing w:after="160" w:line="278" w:lineRule="auto"/>
              <w:rPr>
                <w:rFonts w:hint="eastAsia"/>
                <w:b/>
                <w:bCs/>
              </w:rPr>
            </w:pPr>
            <w:r w:rsidRPr="00B4783E">
              <w:rPr>
                <w:b/>
                <w:rFonts w:hint="eastAsia"/>
                <w:sz w:val="22"/>
                <w:szCs w:val="22"/>
              </w:rPr>
              <w:t>~32倍/年</w:t>
            </w:r>
          </w:p>
        </w:tc>
        <w:tc>
          <w:tcPr>
            <w:tcW w:w="1862" w:type="dxa"/>
            <w:hideMark/>
          </w:tcPr>
          <w:p>
            <w:pPr>
              <w:pStyle w:val="a"/>
              <w:spacing w:after="160" w:line="278" w:lineRule="auto"/>
              <w:rPr>
                <w:rFonts w:hint="eastAsia"/>
              </w:rPr>
            </w:pPr>
            <w:r w:rsidRPr="00B4783E">
              <w:rPr>
                <w:rFonts w:hint="eastAsia"/>
                <w:sz w:val="22"/>
                <w:szCs w:val="22"/>
              </w:rPr>
              <w:t xml:space="preserve">前沿能力模型降幅更大 </w:t>
            </w:r>
          </w:p>
        </w:tc>
      </w:tr>
      <w:tr>
        <w:trPr>
          <w:trHeight w:val="300"/>
        </w:trPr>
        <w:tc>
          <w:tcPr>
            <w:tcW w:w="2369" w:type="dxa"/>
            <w:hideMark/>
          </w:tcPr>
          <w:p>
            <w:pPr>
              <w:pStyle w:val="a"/>
              <w:spacing w:after="160" w:line="278" w:lineRule="auto"/>
              <w:rPr>
                <w:rFonts w:hint="eastAsia"/>
                <w:b/>
                <w:bCs/>
              </w:rPr>
            </w:pPr>
            <w:r>
              <w:rPr>
                <w:rFonts w:hint="eastAsia"/>
                <w:b/>
                <w:sz w:val="22"/>
                <w:szCs w:val="22"/>
              </w:rPr>
              <w:t>A16z Infrastructure</w:t>
            </w:r>
          </w:p>
        </w:tc>
        <w:tc>
          <w:tcPr>
            <w:tcW w:w="2241" w:type="dxa"/>
            <w:hideMark/>
          </w:tcPr>
          <w:p>
            <w:pPr>
              <w:pStyle w:val="a"/>
              <w:spacing w:after="160" w:line="278" w:lineRule="auto"/>
              <w:rPr>
                <w:rFonts w:hint="eastAsia"/>
              </w:rPr>
            </w:pPr>
            <w:r w:rsidRPr="00B4783E">
              <w:rPr>
                <w:rFonts w:hint="eastAsia"/>
                <w:sz w:val="22"/>
                <w:szCs w:val="22"/>
              </w:rPr>
              <w:t>长期趋势</w:t>
            </w:r>
          </w:p>
        </w:tc>
        <w:tc>
          <w:tcPr>
            <w:tcW w:w="1824" w:type="dxa"/>
            <w:hideMark/>
          </w:tcPr>
          <w:p>
            <w:pPr>
              <w:pStyle w:val="a"/>
              <w:spacing w:after="160" w:line="278" w:lineRule="auto"/>
              <w:rPr>
                <w:rFonts w:hint="eastAsia"/>
                <w:b/>
                <w:bCs/>
              </w:rPr>
            </w:pPr>
            <w:r w:rsidRPr="00B4783E">
              <w:rPr>
                <w:b/>
                <w:rFonts w:hint="eastAsia"/>
                <w:sz w:val="22"/>
                <w:szCs w:val="22"/>
              </w:rPr>
              <w:t>~10倍/年</w:t>
            </w:r>
          </w:p>
        </w:tc>
        <w:tc>
          <w:tcPr>
            <w:tcW w:w="1862" w:type="dxa"/>
            <w:hideMark/>
          </w:tcPr>
          <w:p>
            <w:pPr>
              <w:pStyle w:val="a"/>
              <w:spacing w:after="160" w:line="278" w:lineRule="auto"/>
              <w:rPr>
                <w:rFonts w:hint="eastAsia"/>
              </w:rPr>
            </w:pPr>
            <w:r w:rsidRPr="00B4783E">
              <w:rPr>
                <w:rFonts w:hint="eastAsia"/>
                <w:sz w:val="22"/>
                <w:szCs w:val="22"/>
              </w:rPr>
              <w:t xml:space="preserve">指数下降曲线 </w:t>
            </w:r>
          </w:p>
        </w:tc>
      </w:tr>
      <w:tr>
        <w:trPr>
          <w:trHeight w:val="585"/>
        </w:trPr>
        <w:tc>
          <w:tcPr>
            <w:tcW w:w="2369" w:type="dxa"/>
            <w:hideMark/>
          </w:tcPr>
          <w:p>
            <w:pPr>
              <w:pStyle w:val="a"/>
              <w:spacing w:after="160" w:line="278" w:lineRule="auto"/>
              <w:rPr>
                <w:rFonts w:hint="eastAsia"/>
                <w:b/>
                <w:bCs/>
              </w:rPr>
            </w:pPr>
            <w:r w:rsidRPr="00B4783E">
              <w:rPr>
                <w:b/>
                <w:rFonts w:hint="eastAsia"/>
                <w:sz w:val="22"/>
                <w:szCs w:val="22"/>
              </w:rPr>
              <w:t>Stanford HAI / 李飞飞实验室</w:t>
            </w:r>
          </w:p>
        </w:tc>
        <w:tc>
          <w:tcPr>
            <w:tcW w:w="2241" w:type="dxa"/>
            <w:hideMark/>
          </w:tcPr>
          <w:p>
            <w:pPr>
              <w:pStyle w:val="a"/>
              <w:spacing w:after="160" w:line="278" w:lineRule="auto"/>
              <w:rPr>
                <w:rFonts w:hint="eastAsia"/>
              </w:rPr>
            </w:pPr>
            <w:r w:rsidRPr="00B4783E">
              <w:rPr>
                <w:rFonts w:hint="eastAsia"/>
                <w:sz w:val="22"/>
                <w:szCs w:val="22"/>
              </w:rPr>
              <w:t>2022.11–2024.10</w:t>
            </w:r>
          </w:p>
        </w:tc>
        <w:tc>
          <w:tcPr>
            <w:tcW w:w="1824" w:type="dxa"/>
            <w:hideMark/>
          </w:tcPr>
          <w:p>
            <w:pPr>
              <w:pStyle w:val="a"/>
              <w:spacing w:after="160" w:line="278" w:lineRule="auto"/>
              <w:rPr>
                <w:rFonts w:hint="eastAsia"/>
                <w:b/>
                <w:bCs/>
              </w:rPr>
            </w:pPr>
            <w:r w:rsidRPr="00B4783E">
              <w:rPr>
                <w:rFonts w:hint="eastAsia"/>
                <w:b/>
                <w:sz w:val="22"/>
                <w:szCs w:val="22"/>
              </w:rPr>
              <w:t>280倍（22个月）</w:t>
            </w:r>
          </w:p>
        </w:tc>
        <w:tc>
          <w:tcPr>
            <w:tcW w:w="1862" w:type="dxa"/>
            <w:hideMark/>
          </w:tcPr>
          <w:p>
            <w:pPr>
              <w:pStyle w:val="a"/>
              <w:spacing w:after="160" w:line="278" w:lineRule="auto"/>
              <w:rPr>
                <w:rFonts w:hint="eastAsia"/>
                <w:u w:val="single"/>
              </w:rPr>
            </w:pPr>
            <w:hyperlink r:id="rId20" w:tgtFrame="_blank" w:history="1">
              <w:r w:rsidRPr="00B4783E">
                <w:rPr>
                  <w:rStyle w:val="af3"/>
                  <w:rFonts w:hint="eastAsia"/>
                </w:rPr>
                <w:t xml:space="preserve">GPT-3.5等效性能 </w:t>
              </w:r>
            </w:hyperlink>
          </w:p>
        </w:tc>
      </w:tr>
      <w:tr>
        <w:trPr>
          <w:trHeight w:val="285"/>
        </w:trPr>
        <w:tc>
          <w:tcPr>
            <w:tcW w:w="2369" w:type="dxa"/>
            <w:hideMark/>
          </w:tcPr>
          <w:p>
            <w:pPr>
              <w:pStyle w:val="a"/>
              <w:spacing w:after="160" w:line="278" w:lineRule="auto"/>
              <w:rPr>
                <w:rFonts w:hint="eastAsia"/>
                <w:b/>
                <w:bCs/>
              </w:rPr>
            </w:pPr>
            <w:r w:rsidRPr="00B4783E">
              <w:rPr>
                <w:b/>
                <w:rFonts w:hint="eastAsia"/>
                <w:sz w:val="22"/>
                <w:szCs w:val="22"/>
              </w:rPr>
              <w:t>李彦宏 / 百度</w:t>
            </w:r>
          </w:p>
        </w:tc>
        <w:tc>
          <w:tcPr>
            <w:tcW w:w="2241" w:type="dxa"/>
            <w:hideMark/>
          </w:tcPr>
          <w:p>
            <w:pPr>
              <w:pStyle w:val="a"/>
              <w:spacing w:after="160" w:line="278" w:lineRule="auto"/>
              <w:rPr>
                <w:rFonts w:hint="eastAsia"/>
              </w:rPr>
            </w:pPr>
            <w:r w:rsidRPr="00B4783E">
              <w:rPr>
                <w:rFonts w:hint="eastAsia"/>
                <w:sz w:val="22"/>
                <w:szCs w:val="22"/>
              </w:rPr>
              <w:t>近期趋势</w:t>
            </w:r>
          </w:p>
        </w:tc>
        <w:tc>
          <w:tcPr>
            <w:tcW w:w="1824" w:type="dxa"/>
            <w:hideMark/>
          </w:tcPr>
          <w:p>
            <w:pPr>
              <w:pStyle w:val="a"/>
              <w:spacing w:after="160" w:line="278" w:lineRule="auto"/>
              <w:rPr>
                <w:rFonts w:hint="eastAsia"/>
                <w:b/>
                <w:bCs/>
              </w:rPr>
            </w:pPr>
            <w:r w:rsidRPr="00B4783E">
              <w:rPr>
                <w:b/>
                <w:rFonts w:hint="eastAsia"/>
                <w:sz w:val="22"/>
                <w:szCs w:val="22"/>
              </w:rPr>
              <w:t>90%/年</w:t>
            </w:r>
          </w:p>
        </w:tc>
        <w:tc>
          <w:tcPr>
            <w:tcW w:w="1862" w:type="dxa"/>
            <w:hideMark/>
          </w:tcPr>
          <w:p>
            <w:pPr>
              <w:pStyle w:val="a"/>
              <w:spacing w:after="160" w:line="278" w:lineRule="auto"/>
              <w:rPr>
                <w:rFonts w:hint="eastAsia"/>
              </w:rPr>
            </w:pPr>
            <w:r w:rsidRPr="00B4783E">
              <w:rPr>
                <w:rFonts w:hint="eastAsia"/>
                <w:sz w:val="22"/>
                <w:szCs w:val="22"/>
              </w:rPr>
              <w:t xml:space="preserve">即每年约10倍 </w:t>
            </w:r>
          </w:p>
        </w:tc>
      </w:tr>
    </w:tbl>
    <w:p>
      <w:pPr>
        <w:pStyle w:val="a"/>
        <w:rPr>
          <w:rFonts w:hint="eastAsia"/>
        </w:rPr>
      </w:pPr>
      <w:r>
        <w:rPr>
          <w:rFonts w:hint="eastAsia"/>
          <w:sz w:val="22"/>
          <w:szCs w:val="22"/>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pPr>
        <w:pStyle w:val="a"/>
        <w:rPr>
          <w:rFonts w:hint="eastAsia"/>
        </w:rPr>
      </w:pPr>
      <w:r>
        <w:rPr>
          <w:rFonts w:hint="eastAsia"/>
          <w:sz w:val="22"/>
          <w:szCs w:val="22"/>
        </w:rPr>
        <w:t>订阅制面向终端用户和企业办公场景。OpenAI的ChatGPT Plus（$20/月）、Pro（$200/月）和Team（$25/人/月）是最成熟的订阅体系，截至2025年7月拥有约3,500万付费订阅用户，付费转化率约5%[Reuters, 2025]。Google Gemini Advanced（$20/月）整合在Google One AI Premium中，截至2025年6月Gemini月活用户达4.5亿[AdverGroup, 2025]。Anthropic Claude Pro（$20/月）也在快速扩张。</w:t>
      </w:r>
    </w:p>
    <w:p>
      <w:pPr>
        <w:pStyle w:val="a"/>
        <w:rPr>
          <w:rFonts w:hint="eastAsia"/>
        </w:rPr>
      </w:pPr>
      <w:r>
        <w:rPr>
          <w:rFonts w:hint="eastAsia"/>
          <w:sz w:val="22"/>
          <w:szCs w:val="22"/>
        </w:rPr>
        <w:t>私有化部署主要面向金融、政府、医疗等对数据安全有强要求的行业。根据Forrester和IDC报告，PET（隐私增强技术）市场在2024年达$15.5亿，其中同态加密占31.2%[AInvest, 2026]。企业选择私有化部署的核心驱动包括：数据合规（GDPR、中国《生成式AI管理办法》等）、数据主权诉求和低延迟需求。国内厂商在私有化部署方面具备先天优势，百度智能云、阿里云均提供大模型私有化版本。</w:t>
      </w:r>
    </w:p>
    <w:p>
      <w:pPr>
        <w:pStyle w:val="a"/>
        <w:rPr>
          <w:rFonts w:hint="eastAsia"/>
        </w:rPr>
      </w:pPr>
      <w:r>
        <w:rPr>
          <w:rFonts w:hint="eastAsia"/>
          <w:sz w:val="22"/>
          <w:szCs w:val="22"/>
        </w:rPr>
        <w:t>三条路径并非互斥：头部厂商通常”API + 订阅 + 私有化”三线并行，并通过生态合作伙伴（如Anthropic与AWS Bedrock、Google Cloud Vertex AI的合作）扩大分发渠道。</w:t>
      </w:r>
    </w:p>
    <w:p>
      <w:pPr>
        <w:pStyle w:val="a"/>
        <w:jc w:val="center"/>
        <w:rPr>
          <w:rFonts w:hint="eastAsia"/>
        </w:rPr>
      </w:pPr>
      <w:r>
        <w:rPr>
          <w:rFonts w:hint="eastAsia"/>
          <w:sz w:val="22"/>
          <w:szCs w:val="22"/>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trPr>
          <w:trHeight w:val="270"/>
        </w:trPr>
        <w:tc>
          <w:tcPr>
            <w:tcW w:w="1560" w:type="dxa"/>
            <w:hideMark/>
          </w:tcPr>
          <w:p>
            <w:pPr>
              <w:pStyle w:val="a"/>
              <w:rPr>
                <w:rFonts w:hint="eastAsia"/>
                <w:b/>
                <w:bCs/>
              </w:rPr>
            </w:pPr>
            <w:r w:rsidRPr="00C7160C">
              <w:rPr>
                <w:rFonts w:hint="eastAsia"/>
                <w:b/>
                <w:sz w:val="22"/>
                <w:szCs w:val="22"/>
              </w:rPr>
              <w:t>模式</w:t>
            </w:r>
          </w:p>
        </w:tc>
        <w:tc>
          <w:tcPr>
            <w:tcW w:w="1985" w:type="dxa"/>
            <w:hideMark/>
          </w:tcPr>
          <w:p>
            <w:pPr>
              <w:pStyle w:val="a"/>
              <w:rPr>
                <w:rFonts w:hint="eastAsia"/>
                <w:b/>
                <w:bCs/>
              </w:rPr>
            </w:pPr>
            <w:r w:rsidRPr="00C7160C">
              <w:rPr>
                <w:rFonts w:hint="eastAsia"/>
                <w:b/>
                <w:sz w:val="22"/>
                <w:szCs w:val="22"/>
              </w:rPr>
              <w:t>说明</w:t>
            </w:r>
          </w:p>
        </w:tc>
        <w:tc>
          <w:tcPr>
            <w:tcW w:w="1984" w:type="dxa"/>
            <w:hideMark/>
          </w:tcPr>
          <w:p>
            <w:pPr>
              <w:pStyle w:val="a"/>
              <w:rPr>
                <w:rFonts w:hint="eastAsia"/>
                <w:b/>
                <w:bCs/>
              </w:rPr>
            </w:pPr>
            <w:r w:rsidRPr="00C7160C">
              <w:rPr>
                <w:rFonts w:hint="eastAsia"/>
                <w:b/>
                <w:sz w:val="22"/>
                <w:szCs w:val="22"/>
              </w:rPr>
              <w:t>收费方式</w:t>
            </w:r>
          </w:p>
        </w:tc>
        <w:tc>
          <w:tcPr>
            <w:tcW w:w="2126" w:type="dxa"/>
            <w:hideMark/>
          </w:tcPr>
          <w:p>
            <w:pPr>
              <w:pStyle w:val="a"/>
              <w:rPr>
                <w:rFonts w:hint="eastAsia"/>
                <w:b/>
                <w:bCs/>
              </w:rPr>
            </w:pPr>
            <w:r w:rsidRPr="00C7160C">
              <w:rPr>
                <w:rFonts w:hint="eastAsia"/>
                <w:b/>
                <w:sz w:val="22"/>
                <w:szCs w:val="22"/>
              </w:rPr>
              <w:t>代表玩家</w:t>
            </w:r>
          </w:p>
        </w:tc>
        <w:tc>
          <w:tcPr>
            <w:tcW w:w="2268" w:type="dxa"/>
            <w:hideMark/>
          </w:tcPr>
          <w:p>
            <w:pPr>
              <w:pStyle w:val="a"/>
              <w:rPr>
                <w:rFonts w:hint="eastAsia"/>
                <w:b/>
                <w:bCs/>
              </w:rPr>
            </w:pPr>
            <w:r w:rsidRPr="00C7160C">
              <w:rPr>
                <w:rFonts w:hint="eastAsia"/>
                <w:b/>
                <w:sz w:val="22"/>
                <w:szCs w:val="22"/>
              </w:rPr>
              <w:t>盈利现状</w:t>
            </w:r>
          </w:p>
        </w:tc>
      </w:tr>
      <w:tr>
        <w:trPr>
          <w:trHeight w:val="1200"/>
        </w:trPr>
        <w:tc>
          <w:tcPr>
            <w:tcW w:w="1560" w:type="dxa"/>
            <w:hideMark/>
          </w:tcPr>
          <w:p>
            <w:pPr>
              <w:pStyle w:val="a"/>
              <w:rPr>
                <w:rFonts w:hint="eastAsia"/>
              </w:rPr>
            </w:pPr>
            <w:r w:rsidRPr="00C7160C">
              <w:rPr>
                <w:rFonts w:hint="eastAsia"/>
                <w:sz w:val="22"/>
                <w:szCs w:val="22"/>
              </w:rPr>
              <w:t>MaaS（模型即服务）</w:t>
            </w:r>
          </w:p>
        </w:tc>
        <w:tc>
          <w:tcPr>
            <w:tcW w:w="1985" w:type="dxa"/>
            <w:hideMark/>
          </w:tcPr>
          <w:p>
            <w:pPr>
              <w:pStyle w:val="a"/>
              <w:rPr>
                <w:rFonts w:hint="eastAsia"/>
              </w:rPr>
            </w:pPr>
            <w:r w:rsidRPr="00C7160C">
              <w:rPr>
                <w:rFonts w:hint="eastAsia"/>
                <w:sz w:val="22"/>
                <w:szCs w:val="22"/>
              </w:rPr>
              <w:t>通过API提供大模型能力，企业按需调用</w:t>
            </w:r>
            <w:r w:rsidRPr="00C7160C">
              <w:rPr>
                <w:rFonts w:hint="eastAsia"/>
              </w:rPr>
              <w:br/>
            </w:r>
            <w:r w:rsidRPr="00C7160C">
              <w:rPr>
                <w:rFonts w:hint="eastAsia"/>
                <w:sz w:val="22"/>
                <w:szCs w:val="22"/>
              </w:rPr>
              <w:t>降低开发门槛，一站式模型聚合+开发+维护</w:t>
            </w:r>
          </w:p>
        </w:tc>
        <w:tc>
          <w:tcPr>
            <w:tcW w:w="1984" w:type="dxa"/>
            <w:hideMark/>
          </w:tcPr>
          <w:p>
            <w:pPr>
              <w:pStyle w:val="a"/>
              <w:rPr>
                <w:rFonts w:hint="eastAsia"/>
              </w:rPr>
            </w:pPr>
            <w:r w:rsidRPr="00C7160C">
              <w:rPr>
                <w:rFonts w:hint="eastAsia"/>
                <w:sz w:val="22"/>
                <w:szCs w:val="22"/>
              </w:rPr>
              <w:t>按Token消耗量计费</w:t>
            </w:r>
            <w:r w:rsidRPr="00C7160C">
              <w:rPr>
                <w:rFonts w:hint="eastAsia"/>
              </w:rPr>
              <w:br/>
            </w:r>
            <w:r w:rsidRPr="00C7160C">
              <w:rPr>
                <w:rFonts w:hint="eastAsia"/>
                <w:sz w:val="22"/>
                <w:szCs w:val="22"/>
              </w:rPr>
              <w:t>少量按内容量（文本/图像/音频）收费</w:t>
            </w:r>
            <w:r w:rsidRPr="00C7160C">
              <w:rPr>
                <w:rFonts w:hint="eastAsia"/>
              </w:rPr>
              <w:br/>
            </w:r>
            <w:r w:rsidRPr="00C7160C">
              <w:rPr>
                <w:rFonts w:hint="eastAsia"/>
                <w:sz w:val="22"/>
                <w:szCs w:val="22"/>
              </w:rPr>
              <w:t>分层定价（基础版免费→企业版付费）</w:t>
            </w:r>
          </w:p>
        </w:tc>
        <w:tc>
          <w:tcPr>
            <w:tcW w:w="2126" w:type="dxa"/>
            <w:hideMark/>
          </w:tcPr>
          <w:p>
            <w:pPr>
              <w:pStyle w:val="a"/>
              <w:rPr>
                <w:rFonts w:hint="eastAsia"/>
              </w:rPr>
            </w:pPr>
            <w:r w:rsidRPr="00C7160C">
              <w:rPr>
                <w:rFonts w:hint="eastAsia"/>
                <w:sz w:val="22"/>
                <w:szCs w:val="22"/>
              </w:rPr>
              <w:t>智谱（MaaS占收入84.8%）</w:t>
            </w:r>
            <w:r w:rsidRPr="00C7160C">
              <w:rPr>
                <w:rFonts w:hint="eastAsia"/>
              </w:rPr>
              <w:br/>
            </w:r>
            <w:r w:rsidRPr="00C7160C">
              <w:rPr>
                <w:rFonts w:hint="eastAsia"/>
                <w:sz w:val="22"/>
                <w:szCs w:val="22"/>
              </w:rPr>
              <w:t>OpenAI API</w:t>
            </w:r>
            <w:r w:rsidRPr="00C7160C">
              <w:rPr>
                <w:rFonts w:hint="eastAsia"/>
              </w:rPr>
              <w:br/>
            </w:r>
            <w:r w:rsidRPr="00C7160C">
              <w:rPr>
                <w:rFonts w:hint="eastAsia"/>
                <w:sz w:val="22"/>
                <w:szCs w:val="22"/>
              </w:rPr>
              <w:t>百度文心·千帆</w:t>
            </w:r>
            <w:r w:rsidRPr="00C7160C">
              <w:rPr>
                <w:rFonts w:hint="eastAsia"/>
              </w:rPr>
              <w:br/>
            </w:r>
            <w:r w:rsidRPr="00C7160C">
              <w:rPr>
                <w:rFonts w:hint="eastAsia"/>
                <w:sz w:val="22"/>
                <w:szCs w:val="22"/>
              </w:rPr>
              <w:t>阿里通义·百炼</w:t>
            </w:r>
            <w:r w:rsidRPr="00C7160C">
              <w:rPr>
                <w:rFonts w:hint="eastAsia"/>
              </w:rPr>
              <w:br/>
            </w:r>
            <w:r w:rsidRPr="00C7160C">
              <w:rPr>
                <w:rFonts w:hint="eastAsia"/>
                <w:sz w:val="22"/>
                <w:szCs w:val="22"/>
              </w:rPr>
              <w:t>字节火山方舟</w:t>
            </w:r>
          </w:p>
        </w:tc>
        <w:tc>
          <w:tcPr>
            <w:tcW w:w="2268" w:type="dxa"/>
            <w:hideMark/>
          </w:tcPr>
          <w:p>
            <w:pPr>
              <w:pStyle w:val="a"/>
              <w:rPr>
                <w:rFonts w:hint="eastAsia"/>
              </w:rPr>
            </w:pPr>
            <w:r w:rsidRPr="00C7160C">
              <w:rPr>
                <w:rFonts w:hint="eastAsia"/>
                <w:sz w:val="22"/>
                <w:szCs w:val="22"/>
              </w:rPr>
              <w:t>头部厂商收入增长快</w:t>
            </w:r>
            <w:r w:rsidRPr="00C7160C">
              <w:rPr>
                <w:rFonts w:hint="eastAsia"/>
              </w:rPr>
              <w:br/>
            </w:r>
            <w:r w:rsidRPr="00C7160C">
              <w:rPr>
                <w:rFonts w:hint="eastAsia"/>
                <w:sz w:val="22"/>
                <w:szCs w:val="22"/>
              </w:rPr>
              <w:t>但整体仍亏损</w:t>
            </w:r>
            <w:r w:rsidRPr="00C7160C">
              <w:rPr>
                <w:rFonts w:hint="eastAsia"/>
              </w:rPr>
              <w:br/>
            </w:r>
            <w:r w:rsidRPr="00C7160C">
              <w:rPr>
                <w:rFonts w:hint="eastAsia"/>
                <w:sz w:val="22"/>
                <w:szCs w:val="22"/>
              </w:rPr>
              <w:t>智谱2025毛利率54-77%（云端）</w:t>
            </w:r>
            <w:r w:rsidRPr="00C7160C">
              <w:rPr>
                <w:rFonts w:hint="eastAsia"/>
              </w:rPr>
              <w:br/>
            </w:r>
            <w:r w:rsidRPr="00C7160C">
              <w:rPr>
                <w:rFonts w:hint="eastAsia"/>
                <w:sz w:val="22"/>
                <w:szCs w:val="22"/>
              </w:rPr>
              <w:t>毛利率受算力成本制约</w:t>
            </w:r>
          </w:p>
        </w:tc>
      </w:tr>
      <w:tr>
        <w:trPr>
          <w:trHeight w:val="960"/>
        </w:trPr>
        <w:tc>
          <w:tcPr>
            <w:tcW w:w="1560" w:type="dxa"/>
            <w:hideMark/>
          </w:tcPr>
          <w:p>
            <w:pPr>
              <w:pStyle w:val="a"/>
              <w:rPr>
                <w:rFonts w:hint="eastAsia"/>
              </w:rPr>
            </w:pPr>
            <w:r w:rsidRPr="00C7160C">
              <w:rPr>
                <w:rFonts w:hint="eastAsia"/>
                <w:sz w:val="22"/>
                <w:szCs w:val="22"/>
              </w:rPr>
              <w:t>本地化/私有化部署</w:t>
            </w:r>
          </w:p>
        </w:tc>
        <w:tc>
          <w:tcPr>
            <w:tcW w:w="1985" w:type="dxa"/>
            <w:hideMark/>
          </w:tcPr>
          <w:p>
            <w:pPr>
              <w:pStyle w:val="a"/>
              <w:rPr>
                <w:rFonts w:hint="eastAsia"/>
              </w:rPr>
            </w:pPr>
            <w:r w:rsidRPr="00C7160C">
              <w:rPr>
                <w:rFonts w:hint="eastAsia"/>
                <w:sz w:val="22"/>
                <w:szCs w:val="22"/>
              </w:rPr>
              <w:t>模型部署在企业自有基础设施内</w:t>
            </w:r>
            <w:r w:rsidRPr="00C7160C">
              <w:rPr>
                <w:rFonts w:hint="eastAsia"/>
              </w:rPr>
              <w:br/>
            </w:r>
            <w:r w:rsidRPr="00C7160C">
              <w:rPr>
                <w:rFonts w:hint="eastAsia"/>
                <w:sz w:val="22"/>
                <w:szCs w:val="22"/>
              </w:rPr>
              <w:t>提供行业数据微调、数据加训等服务</w:t>
            </w:r>
            <w:r w:rsidRPr="00C7160C">
              <w:rPr>
                <w:rFonts w:hint="eastAsia"/>
              </w:rPr>
              <w:br/>
            </w:r>
            <w:r w:rsidRPr="00C7160C">
              <w:rPr>
                <w:rFonts w:hint="eastAsia"/>
                <w:sz w:val="22"/>
                <w:szCs w:val="22"/>
              </w:rPr>
              <w:t>注重安全性、可控性和定制化</w:t>
            </w:r>
          </w:p>
        </w:tc>
        <w:tc>
          <w:tcPr>
            <w:tcW w:w="1984" w:type="dxa"/>
            <w:hideMark/>
          </w:tcPr>
          <w:p>
            <w:pPr>
              <w:pStyle w:val="a"/>
              <w:rPr>
                <w:rFonts w:hint="eastAsia"/>
              </w:rPr>
            </w:pPr>
            <w:r w:rsidRPr="00C7160C">
              <w:rPr>
                <w:rFonts w:hint="eastAsia"/>
                <w:sz w:val="22"/>
                <w:szCs w:val="22"/>
              </w:rPr>
              <w:t>项目制收费（一次性+运维）</w:t>
            </w:r>
            <w:r w:rsidRPr="00C7160C">
              <w:rPr>
                <w:rFonts w:hint="eastAsia"/>
              </w:rPr>
              <w:br/>
            </w:r>
            <w:r w:rsidRPr="00C7160C">
              <w:rPr>
                <w:rFonts w:hint="eastAsia"/>
                <w:sz w:val="22"/>
                <w:szCs w:val="22"/>
              </w:rPr>
              <w:t>License授权费</w:t>
            </w:r>
            <w:r w:rsidRPr="00C7160C">
              <w:rPr>
                <w:rFonts w:hint="eastAsia"/>
              </w:rPr>
              <w:br/>
            </w:r>
            <w:r w:rsidRPr="00C7160C">
              <w:rPr>
                <w:rFonts w:hint="eastAsia"/>
                <w:sz w:val="22"/>
                <w:szCs w:val="22"/>
              </w:rPr>
              <w:t>可能叠加算力硬件销售</w:t>
            </w:r>
          </w:p>
        </w:tc>
        <w:tc>
          <w:tcPr>
            <w:tcW w:w="2126" w:type="dxa"/>
            <w:hideMark/>
          </w:tcPr>
          <w:p>
            <w:pPr>
              <w:pStyle w:val="a"/>
              <w:rPr>
                <w:rFonts w:hint="eastAsia"/>
              </w:rPr>
            </w:pPr>
            <w:r w:rsidRPr="00C7160C">
              <w:rPr>
                <w:rFonts w:hint="eastAsia"/>
                <w:sz w:val="22"/>
                <w:szCs w:val="22"/>
              </w:rPr>
              <w:t>智谱（私有化部署收入占比高）</w:t>
            </w:r>
            <w:r w:rsidRPr="00C7160C">
              <w:rPr>
                <w:rFonts w:hint="eastAsia"/>
              </w:rPr>
              <w:br/>
            </w:r>
            <w:r w:rsidRPr="00C7160C">
              <w:rPr>
                <w:rFonts w:hint="eastAsia"/>
                <w:sz w:val="22"/>
                <w:szCs w:val="22"/>
              </w:rPr>
              <w:t>科大讯飞</w:t>
            </w:r>
            <w:r w:rsidRPr="00C7160C">
              <w:rPr>
                <w:rFonts w:hint="eastAsia"/>
              </w:rPr>
              <w:br/>
            </w:r>
            <w:r>
              <w:rPr>
                <w:rFonts w:hint="eastAsia"/>
                <w:sz w:val="22"/>
                <w:szCs w:val="22"/>
              </w:rPr>
              <w:t>百度智能云</w:t>
            </w:r>
            <w:r w:rsidRPr="00C7160C">
              <w:rPr>
                <w:rFonts w:hint="eastAsia"/>
              </w:rPr>
              <w:br/>
            </w:r>
            <w:r w:rsidRPr="00C7160C">
              <w:rPr>
                <w:rFonts w:hint="eastAsia"/>
                <w:sz w:val="22"/>
                <w:szCs w:val="22"/>
              </w:rPr>
              <w:t>阿里云</w:t>
            </w:r>
          </w:p>
        </w:tc>
        <w:tc>
          <w:tcPr>
            <w:tcW w:w="2268" w:type="dxa"/>
            <w:hideMark/>
          </w:tcPr>
          <w:p>
            <w:pPr>
              <w:pStyle w:val="a"/>
              <w:rPr>
                <w:rFonts w:hint="eastAsia"/>
              </w:rPr>
            </w:pPr>
            <w:r>
              <w:rPr>
                <w:rFonts w:hint="eastAsia"/>
                <w:sz w:val="22"/>
                <w:szCs w:val="22"/>
              </w:rPr>
              <w:t>客单价高但交付周期长</w:t>
            </w:r>
            <w:r w:rsidRPr="00C7160C">
              <w:rPr>
                <w:rFonts w:hint="eastAsia"/>
              </w:rPr>
              <w:br/>
            </w:r>
            <w:r>
              <w:rPr>
                <w:rFonts w:hint="eastAsia"/>
                <w:sz w:val="22"/>
                <w:szCs w:val="22"/>
              </w:rPr>
              <w:t>毛利率高于api调用（本地业务60%+）</w:t>
            </w:r>
            <w:r w:rsidRPr="00C7160C">
              <w:rPr>
                <w:rFonts w:hint="eastAsia"/>
              </w:rPr>
              <w:br/>
            </w:r>
            <w:r w:rsidRPr="00C7160C">
              <w:rPr>
                <w:rFonts w:hint="eastAsia"/>
                <w:sz w:val="22"/>
                <w:szCs w:val="22"/>
              </w:rPr>
              <w:t>但项目制难以规模化</w:t>
            </w:r>
          </w:p>
        </w:tc>
      </w:tr>
      <w:tr>
        <w:trPr>
          <w:trHeight w:val="960"/>
        </w:trPr>
        <w:tc>
          <w:tcPr>
            <w:tcW w:w="1560" w:type="dxa"/>
            <w:hideMark/>
          </w:tcPr>
          <w:p>
            <w:pPr>
              <w:pStyle w:val="a"/>
              <w:rPr>
                <w:rFonts w:hint="eastAsia"/>
              </w:rPr>
            </w:pPr>
            <w:r>
              <w:rPr>
                <w:rFonts w:hint="eastAsia"/>
                <w:sz w:val="22"/>
                <w:szCs w:val="22"/>
              </w:rPr>
              <w:t>行业解决方案</w:t>
            </w:r>
          </w:p>
        </w:tc>
        <w:tc>
          <w:tcPr>
            <w:tcW w:w="1985" w:type="dxa"/>
            <w:hideMark/>
          </w:tcPr>
          <w:p>
            <w:pPr>
              <w:pStyle w:val="a"/>
              <w:rPr>
                <w:rFonts w:hint="eastAsia"/>
              </w:rPr>
            </w:pPr>
            <w:r w:rsidRPr="00C7160C">
              <w:rPr>
                <w:rFonts w:hint="eastAsia"/>
                <w:sz w:val="22"/>
                <w:szCs w:val="22"/>
              </w:rPr>
              <w:t>基于大模型能力，针对垂直行业打造</w:t>
            </w:r>
            <w:r w:rsidRPr="00C7160C">
              <w:rPr>
                <w:rFonts w:hint="eastAsia"/>
              </w:rPr>
              <w:br/>
            </w:r>
            <w:r w:rsidRPr="00C7160C">
              <w:rPr>
                <w:rFonts w:hint="eastAsia"/>
                <w:sz w:val="22"/>
                <w:szCs w:val="22"/>
              </w:rPr>
              <w:t>完整解决方案（金融、医疗、法律、教育等）</w:t>
            </w:r>
            <w:r w:rsidRPr="00C7160C">
              <w:rPr>
                <w:rFonts w:hint="eastAsia"/>
              </w:rPr>
              <w:br/>
            </w:r>
            <w:r w:rsidRPr="00C7160C">
              <w:rPr>
                <w:rFonts w:hint="eastAsia"/>
                <w:sz w:val="22"/>
                <w:szCs w:val="22"/>
              </w:rPr>
              <w:t>包含模型+应用+数据+服务的打包方案</w:t>
            </w:r>
          </w:p>
        </w:tc>
        <w:tc>
          <w:tcPr>
            <w:tcW w:w="1984" w:type="dxa"/>
            <w:hideMark/>
          </w:tcPr>
          <w:p>
            <w:pPr>
              <w:pStyle w:val="a"/>
              <w:rPr>
                <w:rFonts w:hint="eastAsia"/>
              </w:rPr>
            </w:pPr>
            <w:r w:rsidRPr="00C7160C">
              <w:rPr>
                <w:rFonts w:hint="eastAsia"/>
                <w:sz w:val="22"/>
                <w:szCs w:val="22"/>
              </w:rPr>
              <w:t>SaaS订阅费</w:t>
            </w:r>
            <w:r w:rsidRPr="00C7160C">
              <w:rPr>
                <w:rFonts w:hint="eastAsia"/>
              </w:rPr>
              <w:br/>
            </w:r>
            <w:r w:rsidRPr="00C7160C">
              <w:rPr>
                <w:rFonts w:hint="eastAsia"/>
                <w:sz w:val="22"/>
                <w:szCs w:val="22"/>
              </w:rPr>
              <w:t>按项目收费</w:t>
            </w:r>
            <w:r w:rsidRPr="00C7160C">
              <w:rPr>
                <w:rFonts w:hint="eastAsia"/>
              </w:rPr>
              <w:br/>
            </w:r>
            <w:r w:rsidRPr="00C7160C">
              <w:rPr>
                <w:rFonts w:hint="eastAsia"/>
                <w:sz w:val="22"/>
                <w:szCs w:val="22"/>
              </w:rPr>
              <w:t>按效果/结果付费（新兴）</w:t>
            </w:r>
          </w:p>
        </w:tc>
        <w:tc>
          <w:tcPr>
            <w:tcW w:w="2126" w:type="dxa"/>
            <w:hideMark/>
          </w:tcPr>
          <w:p>
            <w:pPr>
              <w:pStyle w:val="a"/>
              <w:rPr>
                <w:rFonts w:hint="eastAsia"/>
              </w:rPr>
            </w:pPr>
            <w:r w:rsidRPr="00C7160C">
              <w:rPr>
                <w:rFonts w:hint="eastAsia"/>
                <w:sz w:val="22"/>
                <w:szCs w:val="22"/>
              </w:rPr>
              <w:t>百度（金融、政务）</w:t>
            </w:r>
            <w:r w:rsidRPr="00C7160C">
              <w:rPr>
                <w:rFonts w:hint="eastAsia"/>
              </w:rPr>
              <w:br/>
            </w:r>
            <w:r w:rsidRPr="00C7160C">
              <w:rPr>
                <w:rFonts w:hint="eastAsia"/>
                <w:sz w:val="22"/>
                <w:szCs w:val="22"/>
              </w:rPr>
              <w:t>阿里（医疗、零售）</w:t>
            </w:r>
            <w:r w:rsidRPr="00C7160C">
              <w:rPr>
                <w:rFonts w:hint="eastAsia"/>
              </w:rPr>
              <w:br/>
            </w:r>
            <w:r w:rsidRPr="00C7160C">
              <w:rPr>
                <w:rFonts w:hint="eastAsia"/>
                <w:sz w:val="22"/>
                <w:szCs w:val="22"/>
              </w:rPr>
              <w:t>腾讯（企业智能体）</w:t>
            </w:r>
            <w:r w:rsidRPr="00C7160C">
              <w:rPr>
                <w:rFonts w:hint="eastAsia"/>
              </w:rPr>
              <w:br/>
            </w:r>
            <w:r w:rsidRPr="00C7160C">
              <w:rPr>
                <w:rFonts w:hint="eastAsia"/>
                <w:sz w:val="22"/>
                <w:szCs w:val="22"/>
              </w:rPr>
              <w:t>科大讯飞（教育、医疗）</w:t>
            </w:r>
          </w:p>
        </w:tc>
        <w:tc>
          <w:tcPr>
            <w:tcW w:w="2268" w:type="dxa"/>
            <w:hideMark/>
          </w:tcPr>
          <w:p>
            <w:pPr>
              <w:pStyle w:val="a"/>
              <w:rPr>
                <w:rFonts w:hint="eastAsia"/>
              </w:rPr>
            </w:pPr>
            <w:r w:rsidRPr="00C7160C">
              <w:rPr>
                <w:rFonts w:hint="eastAsia"/>
                <w:sz w:val="22"/>
                <w:szCs w:val="22"/>
              </w:rPr>
              <w:t>部分场景开始变现</w:t>
            </w:r>
            <w:r w:rsidRPr="00C7160C">
              <w:rPr>
                <w:rFonts w:hint="eastAsia"/>
              </w:rPr>
              <w:br/>
            </w:r>
            <w:r w:rsidRPr="00C7160C">
              <w:rPr>
                <w:rFonts w:hint="eastAsia"/>
                <w:sz w:val="22"/>
                <w:szCs w:val="22"/>
              </w:rPr>
              <w:t>但多数仍在跑通PMF（取得用户-取得付费用户-付费用户积累）阶段</w:t>
            </w:r>
            <w:r w:rsidRPr="00C7160C">
              <w:rPr>
                <w:rFonts w:hint="eastAsia"/>
              </w:rPr>
              <w:br/>
            </w:r>
            <w:r w:rsidRPr="00C7160C">
              <w:rPr>
                <w:rFonts w:hint="eastAsia"/>
                <w:sz w:val="22"/>
                <w:szCs w:val="22"/>
              </w:rPr>
              <w:t>传统行业渗透率仍低</w:t>
            </w:r>
          </w:p>
        </w:tc>
      </w:tr>
      <w:tr>
        <w:trPr>
          <w:trHeight w:val="960"/>
        </w:trPr>
        <w:tc>
          <w:tcPr>
            <w:tcW w:w="1560" w:type="dxa"/>
            <w:hideMark/>
          </w:tcPr>
          <w:p>
            <w:pPr>
              <w:pStyle w:val="a"/>
              <w:rPr>
                <w:rFonts w:hint="eastAsia"/>
              </w:rPr>
            </w:pPr>
            <w:r w:rsidRPr="00C7160C">
              <w:rPr>
                <w:rFonts w:hint="eastAsia"/>
                <w:sz w:val="22"/>
                <w:szCs w:val="22"/>
              </w:rPr>
              <w:t>AI Agent/企业智能体</w:t>
            </w:r>
          </w:p>
        </w:tc>
        <w:tc>
          <w:tcPr>
            <w:tcW w:w="1985" w:type="dxa"/>
            <w:hideMark/>
          </w:tcPr>
          <w:p>
            <w:pPr>
              <w:pStyle w:val="a"/>
              <w:rPr>
                <w:rFonts w:hint="eastAsia"/>
              </w:rPr>
            </w:pPr>
            <w:r w:rsidRPr="00C7160C">
              <w:rPr>
                <w:rFonts w:hint="eastAsia"/>
                <w:sz w:val="22"/>
                <w:szCs w:val="22"/>
              </w:rPr>
              <w:t>基于大模型的自主执行代理</w:t>
            </w:r>
            <w:r w:rsidRPr="00C7160C">
              <w:rPr>
                <w:rFonts w:hint="eastAsia"/>
              </w:rPr>
              <w:br/>
            </w:r>
            <w:r w:rsidRPr="00C7160C">
              <w:rPr>
                <w:rFonts w:hint="eastAsia"/>
                <w:sz w:val="22"/>
                <w:szCs w:val="22"/>
              </w:rPr>
              <w:t>可完成多步骤复杂任务</w:t>
            </w:r>
            <w:r w:rsidRPr="00C7160C">
              <w:rPr>
                <w:rFonts w:hint="eastAsia"/>
              </w:rPr>
              <w:br/>
            </w:r>
            <w:r w:rsidRPr="00C7160C">
              <w:rPr>
                <w:rFonts w:hint="eastAsia"/>
                <w:sz w:val="22"/>
                <w:szCs w:val="22"/>
              </w:rPr>
              <w:t>替代部分人工岗位</w:t>
            </w:r>
          </w:p>
        </w:tc>
        <w:tc>
          <w:tcPr>
            <w:tcW w:w="1984" w:type="dxa"/>
            <w:hideMark/>
          </w:tcPr>
          <w:p>
            <w:pPr>
              <w:pStyle w:val="a"/>
              <w:rPr>
                <w:rFonts w:hint="eastAsia"/>
              </w:rPr>
            </w:pPr>
            <w:r w:rsidRPr="00C7160C">
              <w:rPr>
                <w:rFonts w:hint="eastAsia"/>
                <w:sz w:val="22"/>
                <w:szCs w:val="22"/>
              </w:rPr>
              <w:t>按任务/执行次数收费</w:t>
            </w:r>
            <w:r w:rsidRPr="00C7160C">
              <w:rPr>
                <w:rFonts w:hint="eastAsia"/>
              </w:rPr>
              <w:br/>
            </w:r>
            <w:r w:rsidRPr="00C7160C">
              <w:rPr>
                <w:rFonts w:hint="eastAsia"/>
                <w:sz w:val="22"/>
                <w:szCs w:val="22"/>
              </w:rPr>
              <w:t>SaaS订阅</w:t>
            </w:r>
            <w:r w:rsidRPr="00C7160C">
              <w:rPr>
                <w:rFonts w:hint="eastAsia"/>
              </w:rPr>
              <w:br/>
            </w:r>
            <w:r w:rsidRPr="00C7160C">
              <w:rPr>
                <w:rFonts w:hint="eastAsia"/>
                <w:sz w:val="22"/>
                <w:szCs w:val="22"/>
              </w:rPr>
              <w:t>按结果/ROI分成（探索中）</w:t>
            </w:r>
          </w:p>
        </w:tc>
        <w:tc>
          <w:tcPr>
            <w:tcW w:w="2126" w:type="dxa"/>
            <w:hideMark/>
          </w:tcPr>
          <w:p>
            <w:pPr>
              <w:pStyle w:val="a"/>
              <w:rPr>
                <w:rFonts w:hint="eastAsia"/>
              </w:rPr>
            </w:pPr>
            <w:r w:rsidRPr="00C7160C">
              <w:rPr>
                <w:rFonts w:hint="eastAsia"/>
                <w:sz w:val="22"/>
                <w:szCs w:val="22"/>
              </w:rPr>
              <w:t>ServiceNow</w:t>
            </w:r>
            <w:r w:rsidRPr="00C7160C">
              <w:rPr>
                <w:rFonts w:hint="eastAsia"/>
              </w:rPr>
              <w:br/>
            </w:r>
            <w:r w:rsidRPr="00C7160C">
              <w:rPr>
                <w:rFonts w:hint="eastAsia"/>
                <w:sz w:val="22"/>
                <w:szCs w:val="22"/>
              </w:rPr>
              <w:t>Salesforce</w:t>
            </w:r>
            <w:r w:rsidRPr="00C7160C">
              <w:rPr>
                <w:rFonts w:hint="eastAsia"/>
              </w:rPr>
              <w:br/>
            </w:r>
            <w:r w:rsidRPr="00C7160C">
              <w:rPr>
                <w:rFonts w:hint="eastAsia"/>
                <w:sz w:val="22"/>
                <w:szCs w:val="22"/>
              </w:rPr>
              <w:t>腾讯（元宝Agent）</w:t>
            </w:r>
            <w:r w:rsidRPr="00C7160C">
              <w:rPr>
                <w:rFonts w:hint="eastAsia"/>
              </w:rPr>
              <w:br/>
            </w:r>
            <w:r w:rsidRPr="00C7160C">
              <w:rPr>
                <w:rFonts w:hint="eastAsia"/>
                <w:sz w:val="22"/>
                <w:szCs w:val="22"/>
              </w:rPr>
              <w:t>中关村科金PowerClaw</w:t>
            </w:r>
          </w:p>
        </w:tc>
        <w:tc>
          <w:tcPr>
            <w:tcW w:w="2268" w:type="dxa"/>
            <w:hideMark/>
          </w:tcPr>
          <w:p>
            <w:pPr>
              <w:pStyle w:val="a"/>
              <w:rPr>
                <w:rFonts w:hint="eastAsia"/>
              </w:rPr>
            </w:pPr>
            <w:r w:rsidRPr="00C7160C">
              <w:rPr>
                <w:rFonts w:hint="eastAsia"/>
                <w:sz w:val="22"/>
                <w:szCs w:val="22"/>
              </w:rPr>
              <w:t>商业化早期</w:t>
            </w:r>
            <w:r w:rsidRPr="00C7160C">
              <w:rPr>
                <w:rFonts w:hint="eastAsia"/>
              </w:rPr>
              <w:br/>
            </w:r>
            <w:r w:rsidRPr="00C7160C">
              <w:rPr>
                <w:rFonts w:hint="eastAsia"/>
                <w:sz w:val="22"/>
                <w:szCs w:val="22"/>
              </w:rPr>
              <w:t>2030E TAM约1000亿美元（Goldman）</w:t>
            </w:r>
            <w:r w:rsidRPr="00C7160C">
              <w:rPr>
                <w:rFonts w:hint="eastAsia"/>
              </w:rPr>
              <w:br/>
            </w:r>
            <w:r w:rsidRPr="00C7160C">
              <w:rPr>
                <w:rFonts w:hint="eastAsia"/>
                <w:sz w:val="22"/>
                <w:szCs w:val="22"/>
              </w:rPr>
              <w:t>企业付费意愿正在验证</w:t>
            </w:r>
          </w:p>
        </w:tc>
      </w:tr>
      <w:tr>
        <w:trPr>
          <w:trHeight w:val="960"/>
        </w:trPr>
        <w:tc>
          <w:tcPr>
            <w:tcW w:w="1560" w:type="dxa"/>
            <w:hideMark/>
          </w:tcPr>
          <w:p>
            <w:pPr>
              <w:pStyle w:val="a"/>
              <w:rPr>
                <w:rFonts w:hint="eastAsia"/>
              </w:rPr>
            </w:pPr>
            <w:r w:rsidRPr="00C7160C">
              <w:rPr>
                <w:rFonts w:hint="eastAsia"/>
                <w:sz w:val="22"/>
                <w:szCs w:val="22"/>
              </w:rPr>
              <w:t>算力+模型捆绑</w:t>
            </w:r>
          </w:p>
        </w:tc>
        <w:tc>
          <w:tcPr>
            <w:tcW w:w="1985" w:type="dxa"/>
            <w:hideMark/>
          </w:tcPr>
          <w:p>
            <w:pPr>
              <w:pStyle w:val="a"/>
              <w:rPr>
                <w:rFonts w:hint="eastAsia"/>
              </w:rPr>
            </w:pPr>
            <w:r w:rsidRPr="00C7160C">
              <w:rPr>
                <w:rFonts w:hint="eastAsia"/>
                <w:sz w:val="22"/>
                <w:szCs w:val="22"/>
              </w:rPr>
              <w:t>云厂商将大模型与云基础设施打包</w:t>
            </w:r>
            <w:r w:rsidRPr="00C7160C">
              <w:rPr>
                <w:rFonts w:hint="eastAsia"/>
              </w:rPr>
              <w:br/>
            </w:r>
            <w:r w:rsidRPr="00C7160C">
              <w:rPr>
                <w:rFonts w:hint="eastAsia"/>
                <w:sz w:val="22"/>
                <w:szCs w:val="22"/>
              </w:rPr>
              <w:t>通过模型需求拉动云业务增长</w:t>
            </w:r>
            <w:r w:rsidRPr="00C7160C">
              <w:rPr>
                <w:rFonts w:hint="eastAsia"/>
              </w:rPr>
              <w:br/>
            </w:r>
            <w:r w:rsidRPr="00C7160C">
              <w:rPr>
                <w:rFonts w:hint="eastAsia"/>
                <w:sz w:val="22"/>
                <w:szCs w:val="22"/>
              </w:rPr>
              <w:t>算力成本通过云服务收入回收</w:t>
            </w:r>
          </w:p>
        </w:tc>
        <w:tc>
          <w:tcPr>
            <w:tcW w:w="1984" w:type="dxa"/>
            <w:hideMark/>
          </w:tcPr>
          <w:p>
            <w:pPr>
              <w:pStyle w:val="a"/>
              <w:rPr>
                <w:rFonts w:hint="eastAsia"/>
              </w:rPr>
            </w:pPr>
            <w:r w:rsidRPr="00C7160C">
              <w:rPr>
                <w:rFonts w:hint="eastAsia"/>
                <w:sz w:val="22"/>
                <w:szCs w:val="22"/>
              </w:rPr>
              <w:t>云服务费（含算力）</w:t>
            </w:r>
            <w:r w:rsidRPr="00C7160C">
              <w:rPr>
                <w:rFonts w:hint="eastAsia"/>
              </w:rPr>
              <w:br/>
            </w:r>
            <w:r w:rsidRPr="00C7160C">
              <w:rPr>
                <w:rFonts w:hint="eastAsia"/>
                <w:sz w:val="22"/>
                <w:szCs w:val="22"/>
              </w:rPr>
              <w:t>模型调用附加费</w:t>
            </w:r>
            <w:r w:rsidRPr="00C7160C">
              <w:rPr>
                <w:rFonts w:hint="eastAsia"/>
              </w:rPr>
              <w:br/>
            </w:r>
            <w:r w:rsidRPr="00C7160C">
              <w:rPr>
                <w:rFonts w:hint="eastAsia"/>
                <w:sz w:val="22"/>
                <w:szCs w:val="22"/>
              </w:rPr>
              <w:t>一体化定价</w:t>
            </w:r>
          </w:p>
        </w:tc>
        <w:tc>
          <w:tcPr>
            <w:tcW w:w="2126" w:type="dxa"/>
            <w:hideMark/>
          </w:tcPr>
          <w:p>
            <w:pPr>
              <w:pStyle w:val="a"/>
              <w:rPr>
                <w:rFonts w:hint="eastAsia"/>
              </w:rPr>
            </w:pPr>
            <w:r w:rsidRPr="00C7160C">
              <w:rPr>
                <w:rFonts w:hint="eastAsia"/>
                <w:sz w:val="22"/>
                <w:szCs w:val="22"/>
              </w:rPr>
              <w:t>阿里云</w:t>
            </w:r>
            <w:r w:rsidRPr="00C7160C">
              <w:rPr>
                <w:rFonts w:hint="eastAsia"/>
              </w:rPr>
              <w:br/>
            </w:r>
            <w:r w:rsidRPr="00C7160C">
              <w:rPr>
                <w:rFonts w:hint="eastAsia"/>
                <w:sz w:val="22"/>
                <w:szCs w:val="22"/>
              </w:rPr>
              <w:t>百度智能云</w:t>
            </w:r>
            <w:r w:rsidRPr="00C7160C">
              <w:rPr>
                <w:rFonts w:hint="eastAsia"/>
              </w:rPr>
              <w:br/>
            </w:r>
            <w:r w:rsidRPr="00C7160C">
              <w:rPr>
                <w:rFonts w:hint="eastAsia"/>
                <w:sz w:val="22"/>
                <w:szCs w:val="22"/>
              </w:rPr>
              <w:t>腾讯云</w:t>
            </w:r>
            <w:r w:rsidRPr="00C7160C">
              <w:rPr>
                <w:rFonts w:hint="eastAsia"/>
              </w:rPr>
              <w:br/>
            </w:r>
            <w:r w:rsidRPr="00C7160C">
              <w:rPr>
                <w:rFonts w:hint="eastAsia"/>
                <w:sz w:val="22"/>
                <w:szCs w:val="22"/>
              </w:rPr>
              <w:t>AWS/Azure/GCP</w:t>
            </w:r>
          </w:p>
        </w:tc>
        <w:tc>
          <w:tcPr>
            <w:tcW w:w="2268" w:type="dxa"/>
            <w:hideMark/>
          </w:tcPr>
          <w:p>
            <w:pPr>
              <w:pStyle w:val="a"/>
              <w:rPr>
                <w:rFonts w:hint="eastAsia"/>
              </w:rPr>
            </w:pPr>
            <w:r w:rsidRPr="00C7160C">
              <w:rPr>
                <w:rFonts w:hint="eastAsia"/>
                <w:sz w:val="22"/>
                <w:szCs w:val="22"/>
              </w:rPr>
              <w:t>云厂商AI相关收入高速增长</w:t>
            </w:r>
            <w:r w:rsidRPr="00C7160C">
              <w:rPr>
                <w:rFonts w:hint="eastAsia"/>
              </w:rPr>
              <w:br/>
            </w:r>
            <w:r w:rsidRPr="00C7160C">
              <w:rPr>
                <w:rFonts w:hint="eastAsia"/>
                <w:sz w:val="22"/>
                <w:szCs w:val="22"/>
              </w:rPr>
              <w:t>3Q25美国云厂商AI Capex +71% YoY</w:t>
            </w:r>
            <w:r w:rsidRPr="00C7160C">
              <w:rPr>
                <w:rFonts w:hint="eastAsia"/>
              </w:rPr>
              <w:br/>
            </w:r>
            <w:r w:rsidRPr="00C7160C">
              <w:rPr>
                <w:rFonts w:hint="eastAsia"/>
                <w:sz w:val="22"/>
                <w:szCs w:val="22"/>
              </w:rPr>
              <w:t>但利润率受算力投入拖累</w:t>
            </w:r>
          </w:p>
        </w:tc>
      </w:tr>
      <w:tr>
        <w:trPr>
          <w:trHeight w:val="960"/>
        </w:trPr>
        <w:tc>
          <w:tcPr>
            <w:tcW w:w="1560" w:type="dxa"/>
          </w:tcPr>
          <w:p>
            <w:pPr>
              <w:pStyle w:val="a"/>
              <w:rPr>
                <w:rFonts w:hint="eastAsia"/>
              </w:rPr>
            </w:pPr>
            <w:r>
              <w:rPr>
                <w:rFonts w:hint="eastAsia"/>
                <w:sz w:val="22"/>
                <w:szCs w:val="22"/>
              </w:rPr>
              <w:t>广告</w:t>
            </w:r>
          </w:p>
        </w:tc>
        <w:tc>
          <w:tcPr>
            <w:tcW w:w="1985" w:type="dxa"/>
          </w:tcPr>
          <w:p>
            <w:pPr>
              <w:pStyle w:val="a"/>
              <w:rPr>
                <w:rFonts w:hint="eastAsia"/>
              </w:rPr>
            </w:pPr>
            <w:r>
              <w:rPr>
                <w:rFonts w:hint="eastAsia"/>
                <w:sz w:val="22"/>
                <w:szCs w:val="22"/>
              </w:rPr>
              <w:t>分为AI赋能广告制作和AI赋能广告投放</w:t>
            </w:r>
          </w:p>
        </w:tc>
        <w:tc>
          <w:tcPr>
            <w:tcW w:w="1984" w:type="dxa"/>
          </w:tcPr>
          <w:p>
            <w:pPr>
              <w:pStyle w:val="a"/>
              <w:rPr>
                <w:rFonts w:hint="eastAsia"/>
              </w:rPr>
            </w:pPr>
            <w:r>
              <w:rPr>
                <w:rFonts w:hint="eastAsia"/>
                <w:sz w:val="22"/>
                <w:szCs w:val="22"/>
              </w:rPr>
              <w:t>商业协议合作</w:t>
            </w:r>
          </w:p>
        </w:tc>
        <w:tc>
          <w:tcPr>
            <w:tcW w:w="2126" w:type="dxa"/>
          </w:tcPr>
          <w:p>
            <w:pPr>
              <w:pStyle w:val="a"/>
              <w:rPr>
                <w:rFonts w:hint="eastAsia"/>
              </w:rPr>
            </w:pPr>
            <w:r>
              <w:rPr>
                <w:rFonts w:hint="eastAsia"/>
                <w:sz w:val="22"/>
                <w:szCs w:val="22"/>
              </w:rPr>
              <w:t>OpenAI，Vidu，米云等</w:t>
            </w:r>
          </w:p>
        </w:tc>
        <w:tc>
          <w:tcPr>
            <w:tcW w:w="2268" w:type="dxa"/>
          </w:tcPr>
          <w:p>
            <w:pPr>
              <w:pStyle w:val="a"/>
              <w:rPr>
                <w:rFonts w:hint="eastAsia"/>
              </w:rPr>
            </w:pPr>
            <w:r>
              <w:rPr>
                <w:rFonts w:hint="eastAsia"/>
                <w:sz w:val="22"/>
                <w:szCs w:val="22"/>
              </w:rPr>
              <w:t>目前最成熟的AI变现路径之一</w:t>
            </w:r>
          </w:p>
          <w:p>
            <w:pPr>
              <w:pStyle w:val="a"/>
              <w:rPr>
                <w:rFonts w:hint="eastAsia"/>
              </w:rPr>
            </w:pPr>
            <w:r>
              <w:rPr>
                <w:rFonts w:hint="eastAsia"/>
                <w:sz w:val="22"/>
                <w:szCs w:val="22"/>
              </w:rPr>
              <w:t>ROI可量化，广告主付费意愿强</w:t>
            </w:r>
          </w:p>
          <w:p>
            <w:pPr>
              <w:pStyle w:val="a"/>
              <w:rPr>
                <w:rFonts w:hint="eastAsia"/>
              </w:rPr>
            </w:pPr>
            <w:r>
              <w:rPr>
                <w:rFonts w:hint="eastAsia"/>
                <w:sz w:val="22"/>
                <w:szCs w:val="22"/>
              </w:rPr>
              <w:t>AI从成本中心→利润中心</w:t>
            </w:r>
          </w:p>
        </w:tc>
      </w:tr>
    </w:tbl>
    <w:p>
      <w:pPr>
        <w:pStyle w:val="a"/>
        <w:rPr>
          <w:rFonts w:hint="eastAsia"/>
        </w:rPr>
      </w:pPr>
    </w:p>
    <w:p>
      <w:pPr>
        <w:pStyle w:val="a"/>
        <w:rPr>
          <w:rFonts w:hint="eastAsia"/>
        </w:rPr>
      </w:pPr>
      <w:r>
        <w:rPr>
          <w:rFonts w:hint="eastAsia"/>
          <w:sz w:val="22"/>
          <w:szCs w:val="22"/>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trPr>
          <w:trHeight w:val="270"/>
        </w:trPr>
        <w:tc>
          <w:tcPr>
            <w:tcW w:w="1560" w:type="dxa"/>
            <w:hideMark/>
          </w:tcPr>
          <w:p>
            <w:pPr>
              <w:pStyle w:val="a"/>
              <w:rPr>
                <w:rFonts w:hint="eastAsia"/>
                <w:b/>
                <w:bCs/>
              </w:rPr>
            </w:pPr>
            <w:r w:rsidRPr="00C7160C">
              <w:rPr>
                <w:rFonts w:hint="eastAsia"/>
                <w:b/>
                <w:sz w:val="22"/>
                <w:szCs w:val="22"/>
              </w:rPr>
              <w:t>模式</w:t>
            </w:r>
          </w:p>
        </w:tc>
        <w:tc>
          <w:tcPr>
            <w:tcW w:w="1985" w:type="dxa"/>
            <w:hideMark/>
          </w:tcPr>
          <w:p>
            <w:pPr>
              <w:pStyle w:val="a"/>
              <w:rPr>
                <w:rFonts w:hint="eastAsia"/>
                <w:b/>
                <w:bCs/>
              </w:rPr>
            </w:pPr>
            <w:r w:rsidRPr="00C7160C">
              <w:rPr>
                <w:rFonts w:hint="eastAsia"/>
                <w:b/>
                <w:sz w:val="22"/>
                <w:szCs w:val="22"/>
              </w:rPr>
              <w:t>说明</w:t>
            </w:r>
          </w:p>
        </w:tc>
        <w:tc>
          <w:tcPr>
            <w:tcW w:w="1984" w:type="dxa"/>
            <w:hideMark/>
          </w:tcPr>
          <w:p>
            <w:pPr>
              <w:pStyle w:val="a"/>
              <w:rPr>
                <w:rFonts w:hint="eastAsia"/>
                <w:b/>
                <w:bCs/>
              </w:rPr>
            </w:pPr>
            <w:r w:rsidRPr="00C7160C">
              <w:rPr>
                <w:rFonts w:hint="eastAsia"/>
                <w:b/>
                <w:sz w:val="22"/>
                <w:szCs w:val="22"/>
              </w:rPr>
              <w:t>收费方式</w:t>
            </w:r>
          </w:p>
        </w:tc>
        <w:tc>
          <w:tcPr>
            <w:tcW w:w="2126" w:type="dxa"/>
            <w:hideMark/>
          </w:tcPr>
          <w:p>
            <w:pPr>
              <w:pStyle w:val="a"/>
              <w:rPr>
                <w:rFonts w:hint="eastAsia"/>
                <w:b/>
                <w:bCs/>
              </w:rPr>
            </w:pPr>
            <w:r w:rsidRPr="00C7160C">
              <w:rPr>
                <w:rFonts w:hint="eastAsia"/>
                <w:b/>
                <w:sz w:val="22"/>
                <w:szCs w:val="22"/>
              </w:rPr>
              <w:t>代表玩家</w:t>
            </w:r>
          </w:p>
        </w:tc>
        <w:tc>
          <w:tcPr>
            <w:tcW w:w="2268" w:type="dxa"/>
            <w:hideMark/>
          </w:tcPr>
          <w:p>
            <w:pPr>
              <w:pStyle w:val="a"/>
              <w:rPr>
                <w:rFonts w:hint="eastAsia"/>
                <w:b/>
                <w:bCs/>
              </w:rPr>
            </w:pPr>
            <w:r w:rsidRPr="00C7160C">
              <w:rPr>
                <w:rFonts w:hint="eastAsia"/>
                <w:b/>
                <w:sz w:val="22"/>
                <w:szCs w:val="22"/>
              </w:rPr>
              <w:t>盈利现状</w:t>
            </w:r>
          </w:p>
        </w:tc>
      </w:tr>
      <w:tr>
        <w:trPr>
          <w:trHeight w:val="1200"/>
        </w:trPr>
        <w:tc>
          <w:tcPr>
            <w:tcW w:w="1560" w:type="dxa"/>
            <w:hideMark/>
          </w:tcPr>
          <w:p>
            <w:pPr>
              <w:pStyle w:val="a"/>
              <w:rPr>
                <w:rFonts w:hint="eastAsia"/>
              </w:rPr>
            </w:pPr>
            <w:r w:rsidRPr="00C7160C">
              <w:rPr>
                <w:rFonts w:hint="eastAsia"/>
                <w:sz w:val="22"/>
                <w:szCs w:val="22"/>
              </w:rPr>
              <w:t>MaaS（模型即服务）</w:t>
            </w:r>
          </w:p>
        </w:tc>
        <w:tc>
          <w:tcPr>
            <w:tcW w:w="1985" w:type="dxa"/>
            <w:hideMark/>
          </w:tcPr>
          <w:p>
            <w:pPr>
              <w:pStyle w:val="a"/>
              <w:rPr>
                <w:rFonts w:hint="eastAsia"/>
              </w:rPr>
            </w:pPr>
            <w:r>
              <w:rPr>
                <w:rFonts w:hint="eastAsia"/>
                <w:sz w:val="22"/>
                <w:szCs w:val="22"/>
              </w:rPr>
              <w:t>分为API售卖，订阅制度两部分</w:t>
            </w:r>
          </w:p>
        </w:tc>
        <w:tc>
          <w:tcPr>
            <w:tcW w:w="1984" w:type="dxa"/>
            <w:hideMark/>
          </w:tcPr>
          <w:p>
            <w:pPr>
              <w:pStyle w:val="a"/>
              <w:rPr>
                <w:rFonts w:hint="eastAsia"/>
              </w:rPr>
            </w:pPr>
            <w:r w:rsidRPr="00C7160C">
              <w:rPr>
                <w:rFonts w:hint="eastAsia"/>
                <w:sz w:val="22"/>
                <w:szCs w:val="22"/>
              </w:rPr>
              <w:t>API售卖主要按Token消耗量计费</w:t>
            </w:r>
            <w:r w:rsidRPr="00C7160C">
              <w:rPr>
                <w:rFonts w:hint="eastAsia"/>
              </w:rPr>
              <w:br/>
            </w:r>
            <w:r>
              <w:rPr>
                <w:rFonts w:hint="eastAsia"/>
                <w:sz w:val="22"/>
                <w:szCs w:val="22"/>
              </w:rPr>
              <w:t>，订阅制度一般为月包或者年包</w:t>
            </w:r>
          </w:p>
        </w:tc>
        <w:tc>
          <w:tcPr>
            <w:tcW w:w="2126" w:type="dxa"/>
            <w:hideMark/>
          </w:tcPr>
          <w:p>
            <w:pPr>
              <w:pStyle w:val="a"/>
              <w:rPr>
                <w:rFonts w:hint="eastAsia"/>
              </w:rPr>
            </w:pPr>
            <w:r>
              <w:rPr>
                <w:rFonts w:hint="eastAsia"/>
                <w:sz w:val="22"/>
                <w:szCs w:val="22"/>
              </w:rPr>
              <w:t>几乎所有模型厂商</w:t>
            </w:r>
          </w:p>
        </w:tc>
        <w:tc>
          <w:tcPr>
            <w:tcW w:w="2268" w:type="dxa"/>
            <w:hideMark/>
          </w:tcPr>
          <w:p>
            <w:pPr>
              <w:pStyle w:val="a"/>
              <w:rPr>
                <w:rFonts w:hint="eastAsia"/>
              </w:rPr>
            </w:pPr>
            <w:r>
              <w:rPr>
                <w:rFonts w:hint="eastAsia"/>
                <w:sz w:val="22"/>
                <w:szCs w:val="22"/>
              </w:rPr>
              <w:t>使用量增长几块，但价格战剧烈，毛利率收到算力成本和内卷情况制约，用户量巨大但是ARPU低。</w:t>
            </w:r>
          </w:p>
        </w:tc>
      </w:tr>
      <w:tr>
        <w:trPr>
          <w:trHeight w:val="960"/>
        </w:trPr>
        <w:tc>
          <w:tcPr>
            <w:tcW w:w="1560" w:type="dxa"/>
            <w:hideMark/>
          </w:tcPr>
          <w:p>
            <w:pPr>
              <w:pStyle w:val="a"/>
              <w:rPr>
                <w:rFonts w:hint="eastAsia"/>
              </w:rPr>
            </w:pPr>
            <w:r>
              <w:rPr>
                <w:rFonts w:hint="eastAsia"/>
                <w:sz w:val="22"/>
                <w:szCs w:val="22"/>
              </w:rPr>
              <w:t>AIGC（AI内容生成工具）工具</w:t>
            </w:r>
          </w:p>
        </w:tc>
        <w:tc>
          <w:tcPr>
            <w:tcW w:w="1985" w:type="dxa"/>
            <w:hideMark/>
          </w:tcPr>
          <w:p>
            <w:pPr>
              <w:pStyle w:val="a"/>
              <w:rPr>
                <w:rFonts w:hint="eastAsia"/>
              </w:rPr>
            </w:pPr>
            <w:r>
              <w:rPr>
                <w:rFonts w:hint="eastAsia"/>
                <w:sz w:val="22"/>
                <w:szCs w:val="22"/>
              </w:rPr>
              <w:t>与MaaS有一定交叉，但是更加专业化，一般有独立的窗口</w:t>
            </w:r>
          </w:p>
        </w:tc>
        <w:tc>
          <w:tcPr>
            <w:tcW w:w="1984" w:type="dxa"/>
            <w:hideMark/>
          </w:tcPr>
          <w:p>
            <w:pPr>
              <w:pStyle w:val="a"/>
              <w:rPr>
                <w:rFonts w:hint="eastAsia"/>
              </w:rPr>
            </w:pPr>
            <w:r>
              <w:rPr>
                <w:rFonts w:hint="eastAsia"/>
                <w:sz w:val="22"/>
                <w:szCs w:val="22"/>
              </w:rPr>
              <w:t>订阅制和积分制双轨收费</w:t>
            </w:r>
          </w:p>
        </w:tc>
        <w:tc>
          <w:tcPr>
            <w:tcW w:w="2126" w:type="dxa"/>
            <w:hideMark/>
          </w:tcPr>
          <w:p>
            <w:pPr>
              <w:pStyle w:val="a"/>
              <w:rPr>
                <w:rFonts w:hint="eastAsia"/>
              </w:rPr>
            </w:pPr>
            <w:r>
              <w:rPr>
                <w:rFonts w:hint="eastAsia"/>
                <w:sz w:val="22"/>
                <w:szCs w:val="22"/>
              </w:rPr>
              <w:t>视频类：Sora（已被放弃），即梦，云雀</w:t>
            </w:r>
          </w:p>
          <w:p>
            <w:pPr>
              <w:pStyle w:val="a"/>
              <w:rPr>
                <w:rFonts w:hint="eastAsia"/>
              </w:rPr>
            </w:pPr>
            <w:r>
              <w:rPr>
                <w:rFonts w:hint="eastAsia"/>
                <w:sz w:val="22"/>
                <w:szCs w:val="22"/>
              </w:rPr>
              <w:t>音乐类：Suno，Udio</w:t>
            </w:r>
          </w:p>
          <w:p>
            <w:pPr>
              <w:pStyle w:val="a"/>
              <w:rPr>
                <w:rFonts w:hint="eastAsia"/>
              </w:rPr>
            </w:pPr>
            <w:r>
              <w:rPr>
                <w:rFonts w:hint="eastAsia"/>
                <w:sz w:val="22"/>
                <w:szCs w:val="22"/>
              </w:rPr>
              <w:t>笔记写作类：Notion，Obsidian</w:t>
            </w:r>
          </w:p>
          <w:p>
            <w:pPr>
              <w:pStyle w:val="a"/>
              <w:rPr>
                <w:rFonts w:hint="eastAsia"/>
              </w:rPr>
            </w:pPr>
            <w:r>
              <w:rPr>
                <w:rFonts w:hint="eastAsia"/>
                <w:sz w:val="22"/>
                <w:szCs w:val="22"/>
              </w:rPr>
              <w:t>……</w:t>
            </w:r>
          </w:p>
        </w:tc>
        <w:tc>
          <w:tcPr>
            <w:tcW w:w="2268" w:type="dxa"/>
            <w:hideMark/>
          </w:tcPr>
          <w:p>
            <w:pPr>
              <w:pStyle w:val="a"/>
              <w:rPr>
                <w:rFonts w:hint="eastAsia"/>
              </w:rPr>
            </w:pPr>
            <w:r>
              <w:rPr>
                <w:rFonts w:hint="eastAsia"/>
                <w:sz w:val="22"/>
                <w:szCs w:val="22"/>
              </w:rPr>
              <w:t>根据具体的子分类，各自的盈利情况有所不同。整体上看市场规模均有上限，且竞争激烈，独立变现难度较大。</w:t>
            </w:r>
          </w:p>
        </w:tc>
      </w:tr>
      <w:tr>
        <w:trPr>
          <w:trHeight w:val="960"/>
        </w:trPr>
        <w:tc>
          <w:tcPr>
            <w:tcW w:w="1560" w:type="dxa"/>
            <w:hideMark/>
          </w:tcPr>
          <w:p>
            <w:pPr>
              <w:pStyle w:val="a"/>
              <w:rPr>
                <w:rFonts w:hint="eastAsia"/>
              </w:rPr>
            </w:pPr>
            <w:r>
              <w:rPr>
                <w:rFonts w:hint="eastAsia"/>
                <w:sz w:val="22"/>
                <w:szCs w:val="22"/>
              </w:rPr>
              <w:t>办公类工具</w:t>
            </w:r>
          </w:p>
        </w:tc>
        <w:tc>
          <w:tcPr>
            <w:tcW w:w="1985" w:type="dxa"/>
            <w:hideMark/>
          </w:tcPr>
          <w:p>
            <w:pPr>
              <w:pStyle w:val="a"/>
              <w:rPr>
                <w:rFonts w:hint="eastAsia"/>
              </w:rPr>
            </w:pPr>
            <w:r>
              <w:rPr>
                <w:rFonts w:hint="eastAsia"/>
                <w:sz w:val="22"/>
                <w:szCs w:val="22"/>
              </w:rPr>
              <w:t>包含传统办公的AI化改造板块（比如微软全家桶AI改造，会议纪要AI）以及编程辅助</w:t>
            </w:r>
          </w:p>
        </w:tc>
        <w:tc>
          <w:tcPr>
            <w:tcW w:w="1984" w:type="dxa"/>
            <w:hideMark/>
          </w:tcPr>
          <w:p>
            <w:pPr>
              <w:pStyle w:val="a"/>
              <w:rPr>
                <w:rFonts w:hint="eastAsia"/>
              </w:rPr>
            </w:pPr>
            <w:r>
              <w:rPr>
                <w:rFonts w:hint="eastAsia"/>
                <w:sz w:val="22"/>
                <w:szCs w:val="22"/>
              </w:rPr>
              <w:t>订阅制为主</w:t>
            </w:r>
          </w:p>
        </w:tc>
        <w:tc>
          <w:tcPr>
            <w:tcW w:w="2126" w:type="dxa"/>
            <w:hideMark/>
          </w:tcPr>
          <w:p>
            <w:pPr>
              <w:pStyle w:val="a"/>
              <w:rPr>
                <w:rFonts w:hint="eastAsia"/>
              </w:rPr>
            </w:pPr>
            <w:r>
              <w:rPr>
                <w:rFonts w:hint="eastAsia"/>
                <w:sz w:val="22"/>
                <w:szCs w:val="22"/>
              </w:rPr>
              <w:t>Microsoft copolit，WPS AI，Micosoft Office AI，Cursor，通义灵码，扣子，腾讯会议AI，Canva</w:t>
            </w:r>
          </w:p>
        </w:tc>
        <w:tc>
          <w:tcPr>
            <w:tcW w:w="2268" w:type="dxa"/>
            <w:hideMark/>
          </w:tcPr>
          <w:p>
            <w:pPr>
              <w:pStyle w:val="a"/>
              <w:rPr>
                <w:rFonts w:hint="eastAsia"/>
              </w:rPr>
            </w:pPr>
            <w:r>
              <w:rPr>
                <w:rFonts w:hint="eastAsia"/>
                <w:sz w:val="22"/>
                <w:szCs w:val="22"/>
              </w:rPr>
              <w:t>编程场景付费意愿最强，传统办公AI化仍在验证中，设计工具AI化进程较快但是竞争激烈</w:t>
            </w:r>
          </w:p>
        </w:tc>
      </w:tr>
      <w:tr>
        <w:trPr>
          <w:trHeight w:val="960"/>
        </w:trPr>
        <w:tc>
          <w:tcPr>
            <w:tcW w:w="1560" w:type="dxa"/>
          </w:tcPr>
          <w:p>
            <w:pPr>
              <w:pStyle w:val="a"/>
              <w:rPr>
                <w:rFonts w:hint="eastAsia"/>
              </w:rPr>
            </w:pPr>
            <w:r>
              <w:rPr>
                <w:rFonts w:hint="eastAsia"/>
                <w:sz w:val="22"/>
                <w:szCs w:val="22"/>
              </w:rPr>
              <w:t>AI原生应用类</w:t>
            </w:r>
          </w:p>
        </w:tc>
        <w:tc>
          <w:tcPr>
            <w:tcW w:w="1985" w:type="dxa"/>
          </w:tcPr>
          <w:p>
            <w:pPr>
              <w:pStyle w:val="a"/>
              <w:rPr>
                <w:rFonts w:hint="eastAsia"/>
              </w:rPr>
            </w:pPr>
            <w:r>
              <w:rPr>
                <w:rFonts w:hint="eastAsia"/>
                <w:sz w:val="22"/>
                <w:szCs w:val="22"/>
              </w:rPr>
              <w:t>目前处于百花齐放状态，情感陪伴，教育，娱乐，游戏，内容创作社区皆有受众</w:t>
            </w:r>
          </w:p>
        </w:tc>
        <w:tc>
          <w:tcPr>
            <w:tcW w:w="1984" w:type="dxa"/>
          </w:tcPr>
          <w:p>
            <w:pPr>
              <w:pStyle w:val="a"/>
              <w:rPr>
                <w:rFonts w:hint="eastAsia"/>
              </w:rPr>
            </w:pPr>
            <w:r>
              <w:rPr>
                <w:rFonts w:hint="eastAsia"/>
                <w:sz w:val="22"/>
                <w:szCs w:val="22"/>
              </w:rPr>
              <w:t>订阅制为主，参杂内购与积分次数制度</w:t>
            </w:r>
          </w:p>
        </w:tc>
        <w:tc>
          <w:tcPr>
            <w:tcW w:w="2126" w:type="dxa"/>
          </w:tcPr>
          <w:p>
            <w:pPr>
              <w:pStyle w:val="a"/>
              <w:rPr>
                <w:rFonts w:hint="eastAsia"/>
              </w:rPr>
            </w:pPr>
            <w:r>
              <w:rPr>
                <w:rFonts w:hint="eastAsia"/>
                <w:sz w:val="22"/>
                <w:szCs w:val="22"/>
              </w:rPr>
              <w:t>情感陪伴类：星野/Talkie（MiniMax）</w:t>
            </w:r>
          </w:p>
          <w:p>
            <w:pPr>
              <w:pStyle w:val="a"/>
              <w:rPr>
                <w:rFonts w:hint="eastAsia"/>
              </w:rPr>
            </w:pPr>
            <w:r>
              <w:rPr>
                <w:rFonts w:hint="eastAsia"/>
                <w:sz w:val="22"/>
                <w:szCs w:val="22"/>
              </w:rPr>
              <w:t>Character.AI</w:t>
            </w:r>
          </w:p>
          <w:p>
            <w:pPr>
              <w:pStyle w:val="a"/>
              <w:rPr>
                <w:rFonts w:hint="eastAsia"/>
              </w:rPr>
            </w:pPr>
            <w:r>
              <w:rPr>
                <w:rFonts w:hint="eastAsia"/>
                <w:sz w:val="22"/>
                <w:szCs w:val="22"/>
              </w:rPr>
              <w:t>Replika"</w:t>
            </w:r>
          </w:p>
          <w:p>
            <w:pPr>
              <w:pStyle w:val="a"/>
              <w:rPr>
                <w:rFonts w:hint="eastAsia"/>
              </w:rPr>
            </w:pPr>
            <w:r>
              <w:rPr>
                <w:rFonts w:hint="eastAsia"/>
                <w:sz w:val="22"/>
                <w:szCs w:val="22"/>
              </w:rPr>
              <w:t>教育：Duolingo Max（AI辅导）</w:t>
            </w:r>
          </w:p>
          <w:p>
            <w:pPr>
              <w:pStyle w:val="a"/>
              <w:rPr>
                <w:rFonts w:hint="eastAsia"/>
              </w:rPr>
            </w:pPr>
            <w:r>
              <w:rPr>
                <w:rFonts w:hint="eastAsia"/>
                <w:sz w:val="22"/>
                <w:szCs w:val="22"/>
              </w:rPr>
              <w:t>Khan Academy（Khanmigo）</w:t>
            </w:r>
          </w:p>
        </w:tc>
        <w:tc>
          <w:tcPr>
            <w:tcW w:w="2268" w:type="dxa"/>
          </w:tcPr>
          <w:p>
            <w:pPr>
              <w:pStyle w:val="a"/>
              <w:rPr>
                <w:rFonts w:hint="eastAsia"/>
              </w:rPr>
            </w:pPr>
            <w:r>
              <w:rPr>
                <w:rFonts w:hint="eastAsia"/>
                <w:sz w:val="22"/>
                <w:szCs w:val="22"/>
              </w:rPr>
              <w:t>以情感陪伴和教育为代表的细分赛道用户粘性和付费意愿相对较高，娱乐及部分前沿类型尚未形成稳定商业模式，尚在探索中</w:t>
            </w:r>
          </w:p>
        </w:tc>
      </w:tr>
    </w:tbl>
    <w:p>
      <w:pPr>
        <w:pStyle w:val="a"/>
        <w:rPr>
          <w:rFonts w:hint="eastAsia"/>
        </w:rPr>
      </w:pPr>
    </w:p>
    <w:p>
      <w:pPr>
        <w:pStyle w:val="a"/>
        <w:rPr>
          <w:rFonts w:hint="eastAsia"/>
        </w:rPr>
      </w:pPr>
      <w:r>
        <w:rPr>
          <w:rFonts w:hint="eastAsia"/>
          <w:sz w:val="22"/>
          <w:szCs w:val="22"/>
        </w:rPr>
        <w:t>目前大模型的商业格局远远称不上收敛。从盈利能力上来看，状况远远称不上健康。商业进程上OpenAI 是最接近跑通的样本，其2026年第一季度年化营收（ARR）已达约 250 亿美元，其中ChatGPT订阅及企业席位贡献约 70% 收入，付费订阅用户约 3,500 万。但Sam Altman亲口承认，即便定价200美元/月的ChatGPT Pro，由于重度用户的推理消耗过大，"仍然不盈利"，公司2026年预计亏损高达 140 亿美元，整体仍靠千亿级融资续命，2026年4月最新一轮融资估值达 8,520 亿美元。其主要竞争对手Anthropic则走出了一条差异化路径：2026年4月ARR正式突破 300 亿美元，超过OpenAI，其中80%来自企业客户，年消费超100万美元的大客户突破 1,000 家，隐含估值超 1 万亿美元，预计2027年即可实现正向自由现金流。</w:t>
      </w:r>
    </w:p>
    <w:p>
      <w:pPr>
        <w:pStyle w:val="a"/>
        <w:rPr>
          <w:rFonts w:hint="eastAsia"/>
        </w:rPr>
      </w:pPr>
      <w:r>
        <w:rPr>
          <w:rFonts w:hint="eastAsia"/>
          <w:sz w:val="22"/>
          <w:szCs w:val="22"/>
        </w:rPr>
        <w:t>以已经上市的智谱和Minimax为参考。2025年Minimax C端产品（海螺AI、星野等）收入5308万美元，同比增长143%，占总收入67%。但同期经调整净亏损2.5亿美元。虽然2026年2月ARR突破1.5亿美元、毛利同比飙升437%，但距离盈亏平衡仍有距离。智谱总收入7.24亿人民币，同比增长132%</w:t>
      </w:r>
    </w:p>
    <w:p>
      <w:pPr>
        <w:pStyle w:val="a"/>
        <w:rPr>
          <w:rFonts w:hint="eastAsia"/>
        </w:rPr>
      </w:pPr>
      <w:r>
        <w:rPr>
          <w:rFonts w:hint="eastAsia"/>
          <w:sz w:val="22"/>
          <w:szCs w:val="22"/>
        </w:rPr>
        <w:t>表：收入情况</w:t>
      </w:r>
    </w:p>
    <w:tbl>
      <w:tblPr>
        <w:tblStyle w:val="af2"/>
        <w:tblW w:w="0" w:type="auto"/>
        <w:tblLook w:val="04A0" w:firstRow="1" w:lastRow="0" w:firstColumn="1" w:lastColumn="0" w:noHBand="0" w:noVBand="1"/>
      </w:tblPr>
      <w:tblGrid>
        <w:gridCol w:w="2538"/>
        <w:gridCol w:w="2879"/>
        <w:gridCol w:w="2879"/>
      </w:tblGrid>
      <w:tr>
        <w:trPr>
          <w:trHeight w:val="270"/>
        </w:trPr>
        <w:tc>
          <w:tcPr>
            <w:tcW w:w="2538" w:type="dxa"/>
            <w:hideMark/>
          </w:tcPr>
          <w:p>
            <w:pPr>
              <w:pStyle w:val="a"/>
              <w:rPr>
                <w:rFonts w:hint="eastAsia"/>
                <w:b/>
                <w:bCs/>
              </w:rPr>
            </w:pPr>
            <w:r w:rsidRPr="00834FE0">
              <w:rPr>
                <w:rFonts w:hint="eastAsia"/>
                <w:b/>
                <w:sz w:val="22"/>
                <w:szCs w:val="22"/>
              </w:rPr>
              <w:t>指标</w:t>
            </w:r>
          </w:p>
        </w:tc>
        <w:tc>
          <w:tcPr>
            <w:tcW w:w="2879" w:type="dxa"/>
            <w:hideMark/>
          </w:tcPr>
          <w:p>
            <w:pPr>
              <w:pStyle w:val="a"/>
              <w:rPr>
                <w:rFonts w:hint="eastAsia"/>
                <w:b/>
                <w:bCs/>
              </w:rPr>
            </w:pPr>
            <w:r w:rsidRPr="00834FE0">
              <w:rPr>
                <w:rFonts w:hint="eastAsia"/>
                <w:b/>
                <w:sz w:val="22"/>
                <w:szCs w:val="22"/>
              </w:rPr>
              <w:t>智谱（02513）</w:t>
            </w:r>
          </w:p>
        </w:tc>
        <w:tc>
          <w:tcPr>
            <w:tcW w:w="2879" w:type="dxa"/>
            <w:hideMark/>
          </w:tcPr>
          <w:p>
            <w:pPr>
              <w:pStyle w:val="a"/>
              <w:rPr>
                <w:rFonts w:hint="eastAsia"/>
                <w:b/>
                <w:bCs/>
              </w:rPr>
            </w:pPr>
            <w:r w:rsidRPr="00834FE0">
              <w:rPr>
                <w:rFonts w:hint="eastAsia"/>
                <w:b/>
                <w:sz w:val="22"/>
                <w:szCs w:val="22"/>
              </w:rPr>
              <w:t>MiniMax（00100）</w:t>
            </w:r>
          </w:p>
        </w:tc>
      </w:tr>
      <w:tr>
        <w:trPr>
          <w:trHeight w:val="270"/>
        </w:trPr>
        <w:tc>
          <w:tcPr>
            <w:tcW w:w="2538" w:type="dxa"/>
            <w:hideMark/>
          </w:tcPr>
          <w:p>
            <w:pPr>
              <w:pStyle w:val="a"/>
              <w:rPr>
                <w:rFonts w:hint="eastAsia"/>
              </w:rPr>
            </w:pPr>
            <w:r w:rsidRPr="00834FE0">
              <w:rPr>
                <w:rFonts w:hint="eastAsia"/>
                <w:sz w:val="22"/>
                <w:szCs w:val="22"/>
              </w:rPr>
              <w:t>2022年收入</w:t>
            </w:r>
          </w:p>
        </w:tc>
        <w:tc>
          <w:tcPr>
            <w:tcW w:w="2879" w:type="dxa"/>
            <w:hideMark/>
          </w:tcPr>
          <w:p>
            <w:pPr>
              <w:pStyle w:val="a"/>
              <w:rPr>
                <w:rFonts w:hint="eastAsia"/>
              </w:rPr>
            </w:pPr>
            <w:r w:rsidRPr="00834FE0">
              <w:rPr>
                <w:rFonts w:hint="eastAsia"/>
                <w:sz w:val="22"/>
                <w:szCs w:val="22"/>
              </w:rPr>
              <w:t>0.57亿 RMB</w:t>
            </w:r>
          </w:p>
        </w:tc>
        <w:tc>
          <w:tcPr>
            <w:tcW w:w="2879" w:type="dxa"/>
            <w:hideMark/>
          </w:tcPr>
          <w:p>
            <w:pPr>
              <w:pStyle w:val="a"/>
              <w:rPr>
                <w:rFonts w:hint="eastAsia"/>
              </w:rPr>
            </w:pPr>
            <w:r w:rsidRPr="00834FE0">
              <w:rPr>
                <w:rFonts w:hint="eastAsia"/>
                <w:sz w:val="22"/>
                <w:szCs w:val="22"/>
              </w:rPr>
              <w:t>—</w:t>
            </w:r>
          </w:p>
        </w:tc>
      </w:tr>
      <w:tr>
        <w:trPr>
          <w:trHeight w:val="270"/>
        </w:trPr>
        <w:tc>
          <w:tcPr>
            <w:tcW w:w="2538" w:type="dxa"/>
            <w:hideMark/>
          </w:tcPr>
          <w:p>
            <w:pPr>
              <w:pStyle w:val="a"/>
              <w:rPr>
                <w:rFonts w:hint="eastAsia"/>
              </w:rPr>
            </w:pPr>
            <w:r w:rsidRPr="00834FE0">
              <w:rPr>
                <w:rFonts w:hint="eastAsia"/>
                <w:sz w:val="22"/>
                <w:szCs w:val="22"/>
              </w:rPr>
              <w:t>2023年收入</w:t>
            </w:r>
          </w:p>
        </w:tc>
        <w:tc>
          <w:tcPr>
            <w:tcW w:w="2879" w:type="dxa"/>
            <w:hideMark/>
          </w:tcPr>
          <w:p>
            <w:pPr>
              <w:pStyle w:val="a"/>
              <w:rPr>
                <w:rFonts w:hint="eastAsia"/>
              </w:rPr>
            </w:pPr>
            <w:r w:rsidRPr="00834FE0">
              <w:rPr>
                <w:rFonts w:hint="eastAsia"/>
                <w:sz w:val="22"/>
                <w:szCs w:val="22"/>
              </w:rPr>
              <w:t>1.25亿 RMB</w:t>
            </w:r>
          </w:p>
        </w:tc>
        <w:tc>
          <w:tcPr>
            <w:tcW w:w="2879" w:type="dxa"/>
            <w:hideMark/>
          </w:tcPr>
          <w:p>
            <w:pPr>
              <w:pStyle w:val="a"/>
              <w:rPr>
                <w:rFonts w:hint="eastAsia"/>
              </w:rPr>
            </w:pPr>
            <w:r w:rsidRPr="00834FE0">
              <w:rPr>
                <w:rFonts w:hint="eastAsia"/>
                <w:sz w:val="22"/>
                <w:szCs w:val="22"/>
              </w:rPr>
              <w:t>~0.35亿 USD</w:t>
            </w:r>
          </w:p>
        </w:tc>
      </w:tr>
      <w:tr>
        <w:trPr>
          <w:trHeight w:val="270"/>
        </w:trPr>
        <w:tc>
          <w:tcPr>
            <w:tcW w:w="2538" w:type="dxa"/>
            <w:hideMark/>
          </w:tcPr>
          <w:p>
            <w:pPr>
              <w:pStyle w:val="a"/>
              <w:rPr>
                <w:rFonts w:hint="eastAsia"/>
              </w:rPr>
            </w:pPr>
            <w:r w:rsidRPr="00834FE0">
              <w:rPr>
                <w:rFonts w:hint="eastAsia"/>
                <w:sz w:val="22"/>
                <w:szCs w:val="22"/>
              </w:rPr>
              <w:t>2024年收入</w:t>
            </w:r>
          </w:p>
        </w:tc>
        <w:tc>
          <w:tcPr>
            <w:tcW w:w="2879" w:type="dxa"/>
            <w:hideMark/>
          </w:tcPr>
          <w:p>
            <w:pPr>
              <w:pStyle w:val="a"/>
              <w:rPr>
                <w:rFonts w:hint="eastAsia"/>
              </w:rPr>
            </w:pPr>
            <w:r w:rsidRPr="00834FE0">
              <w:rPr>
                <w:rFonts w:hint="eastAsia"/>
                <w:sz w:val="22"/>
                <w:szCs w:val="22"/>
              </w:rPr>
              <w:t>3.12亿 RMB</w:t>
            </w:r>
          </w:p>
        </w:tc>
        <w:tc>
          <w:tcPr>
            <w:tcW w:w="2879" w:type="dxa"/>
            <w:hideMark/>
          </w:tcPr>
          <w:p>
            <w:pPr>
              <w:pStyle w:val="a"/>
              <w:rPr>
                <w:rFonts w:hint="eastAsia"/>
              </w:rPr>
            </w:pPr>
            <w:r w:rsidRPr="00834FE0">
              <w:rPr>
                <w:rFonts w:hint="eastAsia"/>
                <w:sz w:val="22"/>
                <w:szCs w:val="22"/>
              </w:rPr>
              <w:t>~0.31亿 USD</w:t>
            </w:r>
          </w:p>
        </w:tc>
      </w:tr>
      <w:tr>
        <w:trPr>
          <w:trHeight w:val="270"/>
        </w:trPr>
        <w:tc>
          <w:tcPr>
            <w:tcW w:w="2538" w:type="dxa"/>
            <w:hideMark/>
          </w:tcPr>
          <w:p>
            <w:pPr>
              <w:pStyle w:val="a"/>
              <w:rPr>
                <w:rFonts w:hint="eastAsia"/>
              </w:rPr>
            </w:pPr>
            <w:r w:rsidRPr="00834FE0">
              <w:rPr>
                <w:rFonts w:hint="eastAsia"/>
                <w:sz w:val="22"/>
                <w:szCs w:val="22"/>
              </w:rPr>
              <w:t>2025年收入</w:t>
            </w:r>
          </w:p>
        </w:tc>
        <w:tc>
          <w:tcPr>
            <w:tcW w:w="2879" w:type="dxa"/>
            <w:hideMark/>
          </w:tcPr>
          <w:p>
            <w:pPr>
              <w:pStyle w:val="a"/>
              <w:rPr>
                <w:rFonts w:hint="eastAsia"/>
              </w:rPr>
            </w:pPr>
            <w:r w:rsidRPr="00834FE0">
              <w:rPr>
                <w:rFonts w:hint="eastAsia"/>
                <w:sz w:val="22"/>
                <w:szCs w:val="22"/>
              </w:rPr>
              <w:t>7.24亿 RMB（+132% YoY）</w:t>
            </w:r>
          </w:p>
        </w:tc>
        <w:tc>
          <w:tcPr>
            <w:tcW w:w="2879" w:type="dxa"/>
            <w:hideMark/>
          </w:tcPr>
          <w:p>
            <w:pPr>
              <w:pStyle w:val="a"/>
              <w:rPr>
                <w:rFonts w:hint="eastAsia"/>
              </w:rPr>
            </w:pPr>
            <w:r w:rsidRPr="00834FE0">
              <w:rPr>
                <w:rFonts w:hint="eastAsia"/>
                <w:sz w:val="22"/>
                <w:szCs w:val="22"/>
              </w:rPr>
              <w:t>0.79亿 USD（+159% YoY）</w:t>
            </w:r>
          </w:p>
        </w:tc>
      </w:tr>
      <w:tr>
        <w:trPr>
          <w:trHeight w:val="270"/>
        </w:trPr>
        <w:tc>
          <w:tcPr>
            <w:tcW w:w="2538" w:type="dxa"/>
            <w:hideMark/>
          </w:tcPr>
          <w:p>
            <w:pPr>
              <w:pStyle w:val="a"/>
              <w:rPr>
                <w:rFonts w:hint="eastAsia"/>
              </w:rPr>
            </w:pPr>
            <w:r w:rsidRPr="00834FE0">
              <w:rPr>
                <w:rFonts w:hint="eastAsia"/>
                <w:sz w:val="22"/>
                <w:szCs w:val="22"/>
              </w:rPr>
              <w:t>2026E收入（UBS/JPM）</w:t>
            </w:r>
          </w:p>
        </w:tc>
        <w:tc>
          <w:tcPr>
            <w:tcW w:w="2879" w:type="dxa"/>
            <w:hideMark/>
          </w:tcPr>
          <w:p>
            <w:pPr>
              <w:pStyle w:val="a"/>
              <w:rPr>
                <w:rFonts w:hint="eastAsia"/>
              </w:rPr>
            </w:pPr>
            <w:r w:rsidRPr="00834FE0">
              <w:rPr>
                <w:rFonts w:hint="eastAsia"/>
                <w:sz w:val="22"/>
                <w:szCs w:val="22"/>
              </w:rPr>
              <w:t>32.08亿 RMB（UBS）</w:t>
            </w:r>
          </w:p>
        </w:tc>
        <w:tc>
          <w:tcPr>
            <w:tcW w:w="2879" w:type="dxa"/>
            <w:hideMark/>
          </w:tcPr>
          <w:p>
            <w:pPr>
              <w:pStyle w:val="a"/>
              <w:rPr>
                <w:rFonts w:hint="eastAsia"/>
              </w:rPr>
            </w:pPr>
            <w:r w:rsidRPr="00834FE0">
              <w:rPr>
                <w:rFonts w:hint="eastAsia"/>
                <w:sz w:val="22"/>
                <w:szCs w:val="22"/>
              </w:rPr>
              <w:t>2.20亿 USD（JPM）</w:t>
            </w:r>
          </w:p>
        </w:tc>
      </w:tr>
      <w:tr>
        <w:trPr>
          <w:trHeight w:val="270"/>
        </w:trPr>
        <w:tc>
          <w:tcPr>
            <w:tcW w:w="2538" w:type="dxa"/>
            <w:hideMark/>
          </w:tcPr>
          <w:p>
            <w:pPr>
              <w:pStyle w:val="a"/>
              <w:rPr>
                <w:rFonts w:hint="eastAsia"/>
              </w:rPr>
            </w:pPr>
            <w:r w:rsidRPr="00834FE0">
              <w:rPr>
                <w:rFonts w:hint="eastAsia"/>
                <w:sz w:val="22"/>
                <w:szCs w:val="22"/>
              </w:rPr>
              <w:t>2027E收入（UBS/JPM）</w:t>
            </w:r>
          </w:p>
        </w:tc>
        <w:tc>
          <w:tcPr>
            <w:tcW w:w="2879" w:type="dxa"/>
            <w:hideMark/>
          </w:tcPr>
          <w:p>
            <w:pPr>
              <w:pStyle w:val="a"/>
              <w:rPr>
                <w:rFonts w:hint="eastAsia"/>
              </w:rPr>
            </w:pPr>
            <w:r w:rsidRPr="00834FE0">
              <w:rPr>
                <w:rFonts w:hint="eastAsia"/>
                <w:sz w:val="22"/>
                <w:szCs w:val="22"/>
              </w:rPr>
              <w:t>79.41亿 RMB（UBS）</w:t>
            </w:r>
          </w:p>
        </w:tc>
        <w:tc>
          <w:tcPr>
            <w:tcW w:w="2879" w:type="dxa"/>
            <w:hideMark/>
          </w:tcPr>
          <w:p>
            <w:pPr>
              <w:pStyle w:val="a"/>
              <w:rPr>
                <w:rFonts w:hint="eastAsia"/>
              </w:rPr>
            </w:pPr>
            <w:r w:rsidRPr="00834FE0">
              <w:rPr>
                <w:rFonts w:hint="eastAsia"/>
                <w:sz w:val="22"/>
                <w:szCs w:val="22"/>
              </w:rPr>
              <w:t>6.34亿 USD（JPM）</w:t>
            </w:r>
          </w:p>
        </w:tc>
      </w:tr>
      <w:tr>
        <w:trPr>
          <w:trHeight w:val="270"/>
        </w:trPr>
        <w:tc>
          <w:tcPr>
            <w:tcW w:w="2538" w:type="dxa"/>
            <w:hideMark/>
          </w:tcPr>
          <w:p>
            <w:pPr>
              <w:pStyle w:val="a"/>
              <w:rPr>
                <w:rFonts w:hint="eastAsia"/>
              </w:rPr>
            </w:pPr>
            <w:r>
              <w:rPr>
                <w:rFonts w:hint="eastAsia"/>
                <w:sz w:val="22"/>
                <w:szCs w:val="22"/>
              </w:rPr>
              <w:t>收入CAGR（预测）</w:t>
            </w:r>
          </w:p>
        </w:tc>
        <w:tc>
          <w:tcPr>
            <w:tcW w:w="2879" w:type="dxa"/>
            <w:hideMark/>
          </w:tcPr>
          <w:p>
            <w:pPr>
              <w:pStyle w:val="a"/>
              <w:rPr>
                <w:rFonts w:hint="eastAsia"/>
              </w:rPr>
            </w:pPr>
            <w:r w:rsidRPr="00834FE0">
              <w:rPr>
                <w:rFonts w:hint="eastAsia"/>
                <w:sz w:val="22"/>
                <w:szCs w:val="22"/>
              </w:rPr>
              <w:t>231%（UBS，25-27E）</w:t>
            </w:r>
          </w:p>
        </w:tc>
        <w:tc>
          <w:tcPr>
            <w:tcW w:w="2879" w:type="dxa"/>
            <w:hideMark/>
          </w:tcPr>
          <w:p>
            <w:pPr>
              <w:pStyle w:val="a"/>
              <w:rPr>
                <w:rFonts w:hint="eastAsia"/>
              </w:rPr>
            </w:pPr>
            <w:r w:rsidRPr="00834FE0">
              <w:rPr>
                <w:rFonts w:hint="eastAsia"/>
                <w:sz w:val="22"/>
                <w:szCs w:val="22"/>
              </w:rPr>
              <w:t>约2年内9-10倍增长（MS）</w:t>
            </w:r>
          </w:p>
        </w:tc>
      </w:tr>
    </w:tbl>
    <w:p>
      <w:pPr>
        <w:pStyle w:val="a"/>
        <w:rPr>
          <w:rFonts w:hint="eastAsia"/>
        </w:rPr>
      </w:pPr>
      <w:r>
        <w:rPr>
          <w:rFonts w:hint="eastAsia"/>
          <w:sz w:val="22"/>
          <w:szCs w:val="22"/>
        </w:rPr>
        <w:t>表：盈亏情况</w:t>
      </w:r>
    </w:p>
    <w:tbl>
      <w:tblPr>
        <w:tblStyle w:val="af2"/>
        <w:tblW w:w="0" w:type="auto"/>
        <w:tblLook w:val="04A0" w:firstRow="1" w:lastRow="0" w:firstColumn="1" w:lastColumn="0" w:noHBand="0" w:noVBand="1"/>
      </w:tblPr>
      <w:tblGrid>
        <w:gridCol w:w="2426"/>
        <w:gridCol w:w="2890"/>
        <w:gridCol w:w="2980"/>
      </w:tblGrid>
      <w:tr>
        <w:trPr>
          <w:trHeight w:val="270"/>
        </w:trPr>
        <w:tc>
          <w:tcPr>
            <w:tcW w:w="2426" w:type="dxa"/>
            <w:hideMark/>
          </w:tcPr>
          <w:p>
            <w:pPr>
              <w:pStyle w:val="a"/>
              <w:rPr>
                <w:rFonts w:hint="eastAsia"/>
                <w:b/>
                <w:bCs/>
              </w:rPr>
            </w:pPr>
            <w:r w:rsidRPr="00394936">
              <w:rPr>
                <w:rFonts w:hint="eastAsia"/>
                <w:b/>
                <w:sz w:val="22"/>
                <w:szCs w:val="22"/>
              </w:rPr>
              <w:t>指标</w:t>
            </w:r>
          </w:p>
        </w:tc>
        <w:tc>
          <w:tcPr>
            <w:tcW w:w="2890" w:type="dxa"/>
            <w:hideMark/>
          </w:tcPr>
          <w:p>
            <w:pPr>
              <w:pStyle w:val="a"/>
              <w:rPr>
                <w:rFonts w:hint="eastAsia"/>
                <w:b/>
                <w:bCs/>
              </w:rPr>
            </w:pPr>
            <w:r w:rsidRPr="00394936">
              <w:rPr>
                <w:rFonts w:hint="eastAsia"/>
                <w:b/>
                <w:sz w:val="22"/>
                <w:szCs w:val="22"/>
              </w:rPr>
              <w:t>智谱</w:t>
            </w:r>
          </w:p>
        </w:tc>
        <w:tc>
          <w:tcPr>
            <w:tcW w:w="2980" w:type="dxa"/>
            <w:hideMark/>
          </w:tcPr>
          <w:p>
            <w:pPr>
              <w:pStyle w:val="a"/>
              <w:rPr>
                <w:rFonts w:hint="eastAsia"/>
                <w:b/>
                <w:bCs/>
              </w:rPr>
            </w:pPr>
            <w:r w:rsidRPr="00394936">
              <w:rPr>
                <w:rFonts w:hint="eastAsia"/>
                <w:b/>
                <w:sz w:val="22"/>
                <w:szCs w:val="22"/>
              </w:rPr>
              <w:t>MiniMax</w:t>
            </w:r>
          </w:p>
        </w:tc>
      </w:tr>
      <w:tr>
        <w:trPr>
          <w:trHeight w:val="480"/>
        </w:trPr>
        <w:tc>
          <w:tcPr>
            <w:tcW w:w="2426" w:type="dxa"/>
            <w:hideMark/>
          </w:tcPr>
          <w:p>
            <w:pPr>
              <w:pStyle w:val="a"/>
              <w:rPr>
                <w:rFonts w:hint="eastAsia"/>
              </w:rPr>
            </w:pPr>
            <w:r w:rsidRPr="00394936">
              <w:rPr>
                <w:rFonts w:hint="eastAsia"/>
                <w:sz w:val="22"/>
                <w:szCs w:val="22"/>
              </w:rPr>
              <w:t>2025整体毛利率</w:t>
            </w:r>
          </w:p>
        </w:tc>
        <w:tc>
          <w:tcPr>
            <w:tcW w:w="2890" w:type="dxa"/>
            <w:hideMark/>
          </w:tcPr>
          <w:p>
            <w:pPr>
              <w:pStyle w:val="a"/>
              <w:rPr>
                <w:rFonts w:hint="eastAsia"/>
              </w:rPr>
            </w:pPr>
            <w:r>
              <w:rPr>
                <w:rFonts w:hint="eastAsia"/>
                <w:sz w:val="22"/>
                <w:szCs w:val="22"/>
              </w:rPr>
              <w:t>41%</w:t>
            </w:r>
          </w:p>
        </w:tc>
        <w:tc>
          <w:tcPr>
            <w:tcW w:w="2980" w:type="dxa"/>
            <w:hideMark/>
          </w:tcPr>
          <w:p>
            <w:pPr>
              <w:pStyle w:val="a"/>
              <w:rPr>
                <w:rFonts w:hint="eastAsia"/>
              </w:rPr>
            </w:pPr>
            <w:r w:rsidRPr="00394936">
              <w:rPr>
                <w:rFonts w:hint="eastAsia"/>
                <w:sz w:val="22"/>
                <w:szCs w:val="22"/>
              </w:rPr>
              <w:t>25.4%</w:t>
            </w:r>
          </w:p>
        </w:tc>
      </w:tr>
      <w:tr>
        <w:trPr>
          <w:trHeight w:val="270"/>
        </w:trPr>
        <w:tc>
          <w:tcPr>
            <w:tcW w:w="2426" w:type="dxa"/>
            <w:hideMark/>
          </w:tcPr>
          <w:p>
            <w:pPr>
              <w:pStyle w:val="a"/>
              <w:rPr>
                <w:rFonts w:hint="eastAsia"/>
              </w:rPr>
            </w:pPr>
            <w:r w:rsidRPr="00394936">
              <w:rPr>
                <w:rFonts w:hint="eastAsia"/>
                <w:sz w:val="22"/>
                <w:szCs w:val="22"/>
              </w:rPr>
              <w:t>2025云端毛利率</w:t>
            </w:r>
          </w:p>
        </w:tc>
        <w:tc>
          <w:tcPr>
            <w:tcW w:w="2890" w:type="dxa"/>
            <w:hideMark/>
          </w:tcPr>
          <w:p>
            <w:pPr>
              <w:pStyle w:val="a"/>
              <w:rPr>
                <w:rFonts w:hint="eastAsia"/>
              </w:rPr>
            </w:pPr>
            <w:r w:rsidRPr="00394936">
              <w:rPr>
                <w:rFonts w:hint="eastAsia"/>
                <w:sz w:val="22"/>
                <w:szCs w:val="22"/>
              </w:rPr>
              <w:t>18.9%</w:t>
            </w:r>
          </w:p>
        </w:tc>
        <w:tc>
          <w:tcPr>
            <w:tcW w:w="2980" w:type="dxa"/>
            <w:hideMark/>
          </w:tcPr>
          <w:p>
            <w:pPr>
              <w:pStyle w:val="a"/>
              <w:rPr>
                <w:rFonts w:hint="eastAsia"/>
              </w:rPr>
            </w:pPr>
            <w:r w:rsidRPr="00394936">
              <w:rPr>
                <w:rFonts w:hint="eastAsia"/>
                <w:sz w:val="22"/>
                <w:szCs w:val="22"/>
              </w:rPr>
              <w:t>69.4%（前三季度）</w:t>
            </w:r>
          </w:p>
        </w:tc>
      </w:tr>
      <w:tr>
        <w:trPr>
          <w:trHeight w:val="270"/>
        </w:trPr>
        <w:tc>
          <w:tcPr>
            <w:tcW w:w="2426" w:type="dxa"/>
            <w:hideMark/>
          </w:tcPr>
          <w:p>
            <w:pPr>
              <w:pStyle w:val="a"/>
              <w:rPr>
                <w:rFonts w:hint="eastAsia"/>
              </w:rPr>
            </w:pPr>
            <w:r w:rsidRPr="00394936">
              <w:rPr>
                <w:rFonts w:hint="eastAsia"/>
                <w:sz w:val="22"/>
                <w:szCs w:val="22"/>
              </w:rPr>
              <w:t>毛利率趋势</w:t>
            </w:r>
          </w:p>
        </w:tc>
        <w:tc>
          <w:tcPr>
            <w:tcW w:w="2890" w:type="dxa"/>
            <w:hideMark/>
          </w:tcPr>
          <w:p>
            <w:pPr>
              <w:pStyle w:val="a"/>
              <w:rPr>
                <w:rFonts w:hint="eastAsia"/>
              </w:rPr>
            </w:pPr>
            <w:r w:rsidRPr="00394936">
              <w:rPr>
                <w:rFonts w:hint="eastAsia"/>
                <w:sz w:val="22"/>
                <w:szCs w:val="22"/>
              </w:rPr>
              <w:t>云端提升显著，本地稳定</w:t>
            </w:r>
          </w:p>
        </w:tc>
        <w:tc>
          <w:tcPr>
            <w:tcW w:w="2980" w:type="dxa"/>
            <w:hideMark/>
          </w:tcPr>
          <w:p>
            <w:pPr>
              <w:pStyle w:val="a"/>
              <w:rPr>
                <w:rFonts w:hint="eastAsia"/>
              </w:rPr>
            </w:pPr>
            <w:r w:rsidRPr="00394936">
              <w:rPr>
                <w:rFonts w:hint="eastAsia"/>
                <w:sz w:val="22"/>
                <w:szCs w:val="22"/>
              </w:rPr>
              <w:t>2023:-25%→2024:12%→2025:25%</w:t>
            </w:r>
          </w:p>
        </w:tc>
      </w:tr>
      <w:tr>
        <w:trPr>
          <w:trHeight w:val="270"/>
        </w:trPr>
        <w:tc>
          <w:tcPr>
            <w:tcW w:w="2426" w:type="dxa"/>
            <w:hideMark/>
          </w:tcPr>
          <w:p>
            <w:pPr>
              <w:pStyle w:val="a"/>
              <w:rPr>
                <w:rFonts w:hint="eastAsia"/>
              </w:rPr>
            </w:pPr>
            <w:r w:rsidRPr="00394936">
              <w:rPr>
                <w:rFonts w:hint="eastAsia"/>
                <w:sz w:val="22"/>
                <w:szCs w:val="22"/>
              </w:rPr>
              <w:t>2025调整后净亏损</w:t>
            </w:r>
          </w:p>
        </w:tc>
        <w:tc>
          <w:tcPr>
            <w:tcW w:w="2890" w:type="dxa"/>
            <w:hideMark/>
          </w:tcPr>
          <w:p>
            <w:pPr>
              <w:pStyle w:val="a"/>
              <w:rPr>
                <w:rFonts w:hint="eastAsia"/>
              </w:rPr>
            </w:pPr>
            <w:r w:rsidRPr="00394936">
              <w:rPr>
                <w:rFonts w:hint="eastAsia"/>
                <w:sz w:val="22"/>
                <w:szCs w:val="22"/>
              </w:rPr>
              <w:t>~-31.82亿 RMB（广发）</w:t>
            </w:r>
          </w:p>
        </w:tc>
        <w:tc>
          <w:tcPr>
            <w:tcW w:w="2980" w:type="dxa"/>
            <w:hideMark/>
          </w:tcPr>
          <w:p>
            <w:pPr>
              <w:pStyle w:val="a"/>
              <w:rPr>
                <w:rFonts w:hint="eastAsia"/>
              </w:rPr>
            </w:pPr>
            <w:r w:rsidRPr="00394936">
              <w:rPr>
                <w:rFonts w:hint="eastAsia"/>
                <w:sz w:val="22"/>
                <w:szCs w:val="22"/>
              </w:rPr>
              <w:t>-2.51亿 USD</w:t>
            </w:r>
          </w:p>
        </w:tc>
      </w:tr>
      <w:tr>
        <w:trPr>
          <w:trHeight w:val="270"/>
        </w:trPr>
        <w:tc>
          <w:tcPr>
            <w:tcW w:w="2426" w:type="dxa"/>
            <w:hideMark/>
          </w:tcPr>
          <w:p>
            <w:pPr>
              <w:pStyle w:val="a"/>
              <w:rPr>
                <w:rFonts w:hint="eastAsia"/>
              </w:rPr>
            </w:pPr>
            <w:r>
              <w:rPr>
                <w:rFonts w:hint="eastAsia"/>
                <w:sz w:val="22"/>
                <w:szCs w:val="22"/>
              </w:rPr>
              <w:t>调整后净亏损/收入</w:t>
            </w:r>
          </w:p>
        </w:tc>
        <w:tc>
          <w:tcPr>
            <w:tcW w:w="2890" w:type="dxa"/>
            <w:hideMark/>
          </w:tcPr>
          <w:p>
            <w:pPr>
              <w:pStyle w:val="a"/>
              <w:rPr>
                <w:rFonts w:hint="eastAsia"/>
              </w:rPr>
            </w:pPr>
            <w:r>
              <w:rPr>
                <w:rFonts w:hint="eastAsia"/>
                <w:sz w:val="22"/>
                <w:szCs w:val="22"/>
              </w:rPr>
              <w:t>-439%</w:t>
            </w:r>
          </w:p>
        </w:tc>
        <w:tc>
          <w:tcPr>
            <w:tcW w:w="2980" w:type="dxa"/>
            <w:hideMark/>
          </w:tcPr>
          <w:p>
            <w:pPr>
              <w:pStyle w:val="a"/>
              <w:rPr>
                <w:rFonts w:hint="eastAsia"/>
              </w:rPr>
            </w:pPr>
            <w:r>
              <w:rPr>
                <w:rFonts w:hint="eastAsia"/>
                <w:sz w:val="22"/>
                <w:szCs w:val="22"/>
              </w:rPr>
              <w:t>-316%</w:t>
            </w:r>
          </w:p>
        </w:tc>
      </w:tr>
      <w:tr>
        <w:trPr>
          <w:trHeight w:val="270"/>
        </w:trPr>
        <w:tc>
          <w:tcPr>
            <w:tcW w:w="2426" w:type="dxa"/>
            <w:hideMark/>
          </w:tcPr>
          <w:p>
            <w:pPr>
              <w:pStyle w:val="a"/>
              <w:rPr>
                <w:rFonts w:hint="eastAsia"/>
              </w:rPr>
            </w:pPr>
            <w:r w:rsidRPr="00394936">
              <w:rPr>
                <w:rFonts w:hint="eastAsia"/>
                <w:sz w:val="22"/>
                <w:szCs w:val="22"/>
              </w:rPr>
              <w:t>亏损率趋势</w:t>
            </w:r>
          </w:p>
        </w:tc>
        <w:tc>
          <w:tcPr>
            <w:tcW w:w="2890" w:type="dxa"/>
            <w:hideMark/>
          </w:tcPr>
          <w:p>
            <w:pPr>
              <w:pStyle w:val="a"/>
              <w:rPr>
                <w:rFonts w:hint="eastAsia"/>
              </w:rPr>
            </w:pPr>
            <w:r w:rsidRPr="00394936">
              <w:rPr>
                <w:rFonts w:hint="eastAsia"/>
                <w:sz w:val="22"/>
                <w:szCs w:val="22"/>
              </w:rPr>
              <w:t>仍在扩大（加大研发）</w:t>
            </w:r>
          </w:p>
        </w:tc>
        <w:tc>
          <w:tcPr>
            <w:tcW w:w="2980" w:type="dxa"/>
            <w:hideMark/>
          </w:tcPr>
          <w:p>
            <w:pPr>
              <w:pStyle w:val="a"/>
              <w:rPr>
                <w:rFonts w:hint="eastAsia"/>
              </w:rPr>
            </w:pPr>
            <w:r w:rsidRPr="00394936">
              <w:rPr>
                <w:rFonts w:hint="eastAsia"/>
                <w:sz w:val="22"/>
                <w:szCs w:val="22"/>
              </w:rPr>
              <w:t>收窄：-807%→-321%</w:t>
            </w:r>
          </w:p>
        </w:tc>
      </w:tr>
    </w:tbl>
    <w:p>
      <w:pPr>
        <w:pStyle w:val="a"/>
        <w:rPr>
          <w:rFonts w:hint="eastAsia"/>
        </w:rPr>
      </w:pPr>
    </w:p>
    <w:p>
      <w:pPr>
        <w:pStyle w:val="a"/>
        <w:rPr>
          <w:rFonts w:hint="eastAsia"/>
        </w:rPr>
      </w:pPr>
    </w:p>
    <w:p>
      <w:pPr>
        <w:pStyle w:val="3"/>
        <w:rPr>
          <w:rFonts w:hint="eastAsia"/>
        </w:rPr>
      </w:pPr>
      <w:r>
        <w:rPr>
          <w:rFonts w:hint="eastAsia"/>
          <w:sz w:val="32"/>
          <w:szCs w:val="32"/>
        </w:rPr>
        <w:t>商业化阶段</w:t>
      </w:r>
    </w:p>
    <w:p>
      <w:pPr>
        <w:pStyle w:val="a"/>
        <w:rPr>
          <w:rFonts w:hint="eastAsia"/>
        </w:rPr>
      </w:pPr>
      <w:r w:rsidRPr="00A27798">
        <w:rPr>
          <w:rFonts w:hint="eastAsia"/>
          <w:sz w:val="22"/>
          <w:szCs w:val="22"/>
        </w:rPr>
        <w:t>商业化阶段描述的是一个产品、技术或产业从实验室走向市场、从免费走向收费、从亏损走向盈利的生命周期位置。它关注的是进程——渗透率到了什么水平，收入规模是否起量，成本结构是否收敛，盈利拐点是否出现。比如当前的大模型行业，你可以说"整体处于商业化早期向加速期过渡的阶段"：C端付费意愿刚刚培育，B端API调用量在涨但价格战激烈，除了少数头部企业外大部分厂商还没有实现稳定的经营利润。这个阶段判断用的是时间序列语言——增速、拐点、渗透率、盈亏平衡时点。</w:t>
      </w:r>
    </w:p>
    <w:p>
      <w:pPr>
        <w:pStyle w:val="a"/>
        <w:rPr>
          <w:rFonts w:hint="eastAsia"/>
        </w:rPr>
      </w:pPr>
    </w:p>
    <w:p>
      <w:pPr>
        <w:pStyle w:val="a"/>
        <w:rPr>
          <w:rFonts w:hint="eastAsia"/>
        </w:rPr>
      </w:pPr>
      <w:commentRangeStart w:id="2"/>
      <w:r>
        <w:rPr>
          <w:rFonts w:hint="eastAsia"/>
          <w:sz w:val="22"/>
          <w:szCs w:val="22"/>
        </w:rPr>
        <w:t>推理成本优化：通过算法创新（如MoE架构）、工程优化和硬件适配，持续提升算力利用率，降低单位Token的推理成本。数据显示，机器学习专用GPU的算力性价比平均每2.1年翻倍，GPT-4级别的模型推理成本在2025年已降至2024年的1/40。</w:t>
      </w:r>
      <w:r w:rsidR="006B17D5" w:rsidRPr="00FB2BF4">
        <w:rPr>
          <w:rStyle w:val="af7"/>
          <w:rFonts w:hint="eastAsia"/>
          <w:sz w:val="22"/>
          <w:szCs w:val="24"/>
        </w:rPr>
        <w:commentReference w:id="2"/>
      </w:r>
      <w:commentRangeEnd w:id="2"/>
    </w:p>
    <w:p>
      <w:pPr>
        <w:pStyle w:val="2"/>
        <w:rPr>
          <w:rFonts w:hint="eastAsia"/>
        </w:rPr>
      </w:pPr>
      <w:r>
        <w:rPr>
          <w:rFonts w:hint="eastAsia"/>
          <w:sz w:val="40"/>
          <w:szCs w:val="40"/>
        </w:rPr>
        <w:t>.产业瓶颈</w:t>
      </w:r>
    </w:p>
    <w:p>
      <w:pPr>
        <w:pStyle w:val="3"/>
        <w:rPr>
          <w:rFonts w:hint="eastAsia"/>
        </w:rPr>
      </w:pPr>
      <w:r>
        <w:rPr>
          <w:rFonts w:hint="eastAsia"/>
          <w:sz w:val="32"/>
          <w:szCs w:val="32"/>
        </w:rPr>
        <w:t>技术瓶颈</w:t>
      </w:r>
    </w:p>
    <w:p>
      <w:pPr>
        <w:pStyle w:val="a"/>
        <w:rPr>
          <w:rFonts w:hint="eastAsia"/>
        </w:rPr>
      </w:pPr>
      <w:r>
        <w:rPr>
          <w:rFonts w:hint="eastAsia"/>
          <w:sz w:val="22"/>
          <w:szCs w:val="22"/>
        </w:rPr>
        <w:t>当前，大模型的技术发展已从单纯的参数规模竞赛，转向对模型效能、可靠性及综合成本的深度攻坚，基础能力提升放缓与工程化难题并存。</w:t>
      </w:r>
    </w:p>
    <w:p>
      <w:pPr>
        <w:pStyle w:val="a"/>
        <w:rPr>
          <w:rFonts w:hint="eastAsia"/>
        </w:rPr>
      </w:pPr>
      <w:r>
        <w:rPr>
          <w:rFonts w:hint="eastAsia"/>
          <w:sz w:val="22"/>
          <w:szCs w:val="22"/>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pPr>
        <w:pStyle w:val="a"/>
        <w:rPr>
          <w:rFonts w:hint="eastAsia"/>
        </w:rPr>
      </w:pPr>
      <w:r>
        <w:rPr>
          <w:rFonts w:hint="eastAsia"/>
          <w:sz w:val="22"/>
          <w:szCs w:val="22"/>
        </w:rPr>
        <w:t>其次，模型固有的技术缺陷仍是规模化应用的拦路虎。“幻觉”（生成错误或虚构内容）、数据安全与隐私泄露、算法偏见等问题尚未得到根本性解决。在容错率极低的工业、医疗、金融等严肃场景中，模型的“黑箱”特性和低容错问题构成了应用信任壁垒。</w:t>
      </w:r>
    </w:p>
    <w:p>
      <w:pPr>
        <w:pStyle w:val="a"/>
        <w:rPr>
          <w:rFonts w:hint="eastAsia"/>
        </w:rPr>
      </w:pPr>
      <w:commentRangeStart w:id="3"/>
      <w:r>
        <w:rPr>
          <w:rFonts w:hint="eastAsia"/>
          <w:sz w:val="22"/>
          <w:szCs w:val="22"/>
        </w:rPr>
        <w:t>最后，算力与数据成本高企，构成难以逾越的经济门槛。训练千亿参数模型需要数千张高端GPU，成本达数亿元。</w:t>
      </w:r>
      <w:r w:rsidR="00303327">
        <w:rPr>
          <w:rStyle w:val="af7"/>
          <w:rFonts w:hint="eastAsia"/>
          <w:sz w:val="22"/>
          <w:szCs w:val="24"/>
        </w:rPr>
        <w:commentReference w:id="3"/>
      </w:r>
      <w:r>
        <w:rPr>
          <w:rFonts w:hint="eastAsia"/>
          <w:sz w:val="22"/>
          <w:szCs w:val="22"/>
        </w:rPr>
        <w:t>推理阶段的算力消耗同样巨大，有案例显示，明星产品的单月推理成本可高达数千万元。与此同时，“数据孤岛”问题导致高质量、专业化的领域数据稀缺，制约了模型在垂直场景中的表现优化。</w:t>
      </w:r>
      <w:commentRangeEnd w:id="3"/>
    </w:p>
    <w:p>
      <w:pPr>
        <w:pStyle w:val="3"/>
        <w:rPr>
          <w:rFonts w:hint="eastAsia"/>
        </w:rPr>
      </w:pPr>
      <w:r>
        <w:rPr>
          <w:rFonts w:hint="eastAsia"/>
          <w:sz w:val="32"/>
          <w:szCs w:val="32"/>
        </w:rPr>
        <w:t>资源瓶颈（算力）</w:t>
      </w:r>
    </w:p>
    <w:p>
      <w:pPr>
        <w:pStyle w:val="a"/>
        <w:rPr>
          <w:rFonts w:hint="eastAsia"/>
        </w:rPr>
      </w:pPr>
      <w:r>
        <w:rPr>
          <w:rFonts w:hint="eastAsia"/>
          <w:sz w:val="22"/>
          <w:szCs w:val="22"/>
        </w:rPr>
        <w:t>一、 算力需求井喷：从模型训练到智能体应用的结构性跃迁</w:t>
      </w:r>
    </w:p>
    <w:p>
      <w:pPr>
        <w:pStyle w:val="a"/>
        <w:rPr>
          <w:rFonts w:hint="eastAsia"/>
        </w:rPr>
      </w:pPr>
      <w:r>
        <w:rPr>
          <w:rFonts w:hint="eastAsia"/>
          <w:sz w:val="22"/>
          <w:szCs w:val="22"/>
        </w:rPr>
        <w:t>当前算力短缺的首要驱动力，源于AI应用范式的根本性转变。需求侧已从早期的大模型训练“军备竞赛”，演进至由智能体（Agent）和多模态应用规模化落地所引爆的推理需求“海啸”。这一转变使得算力消耗呈现指数级增长，彻底颠覆了原有的供需平衡。</w:t>
      </w:r>
    </w:p>
    <w:p>
      <w:pPr>
        <w:pStyle w:val="a"/>
        <w:rPr>
          <w:rFonts w:hint="eastAsia"/>
        </w:rPr>
      </w:pPr>
      <w:r>
        <w:rPr>
          <w:rFonts w:hint="eastAsia"/>
          <w:sz w:val="22"/>
          <w:szCs w:val="22"/>
        </w:rPr>
        <w:t>1. 智能体与多模态应用引爆推理算力需求</w:t>
      </w:r>
    </w:p>
    <w:p>
      <w:pPr>
        <w:pStyle w:val="a"/>
        <w:rPr>
          <w:rFonts w:hint="eastAsia"/>
        </w:rPr>
      </w:pPr>
      <w:r>
        <w:rPr>
          <w:rFonts w:hint="eastAsia"/>
          <w:sz w:val="22"/>
          <w:szCs w:val="22"/>
        </w:rPr>
        <w:t>2026年初以来，以智能体为代表的AI原生应用进入大规模部署阶段，其常态化、长时程运行特性对算力构成了持续且庞大的消耗。与此同时，文生图、文生视频等多模态应用迅速普及，进一步推高了算力需求。根据行业数据，2026年4月，全球最大的API聚合平台OpenRouter的周度累计Token消耗量较一年前激增约7-8倍，其中国产大模型是增长的主要驱动力1。这种需求并非来自资本炒作，而是真实应用价值的体现，标志着算力市场进入了由应用驱动的新周期。</w:t>
      </w:r>
    </w:p>
    <w:p>
      <w:pPr>
        <w:pStyle w:val="a"/>
        <w:rPr>
          <w:rFonts w:hint="eastAsia"/>
        </w:rPr>
      </w:pPr>
      <w:r>
        <w:rPr>
          <w:rFonts w:hint="eastAsia"/>
          <w:sz w:val="22"/>
          <w:szCs w:val="22"/>
        </w:rPr>
        <w:t>2. 商业化进程加速，云与模型厂商提价印证紧缺</w:t>
      </w:r>
    </w:p>
    <w:p>
      <w:pPr>
        <w:pStyle w:val="a"/>
        <w:rPr>
          <w:rFonts w:hint="eastAsia"/>
        </w:rPr>
      </w:pPr>
      <w:r>
        <w:rPr>
          <w:rFonts w:hint="eastAsia"/>
          <w:sz w:val="22"/>
          <w:szCs w:val="22"/>
        </w:rPr>
        <w:t>需求的强劲增长直接体现在市场价格与商业行为上。近期，国内外云服务商和模型提供商密集上调服务价格，这并非简单的策略调整，而是高性能算力资源稀缺性的直接反映。国内方面，腾讯云、百度智能云、阿里云等均在2026年3月至5月期间对AI算力及相关产品进行提价，幅度从5%到34%不等。模型侧，智谱、商汤等也同步上调了服务费用1。海外市场，Anthropic将其企业版服务从固定费用改为按实际算力消耗计费1。这一系列动作表明，行业正从“低价换市场”的扩张阶段，转向对稀缺算力资源和高质量模型能力的“价值重估”阶段2。</w:t>
      </w:r>
    </w:p>
    <w:p>
      <w:pPr>
        <w:pStyle w:val="a"/>
        <w:rPr>
          <w:rFonts w:hint="eastAsia"/>
        </w:rPr>
      </w:pPr>
      <w:r>
        <w:rPr>
          <w:rFonts w:hint="eastAsia"/>
          <w:sz w:val="22"/>
          <w:szCs w:val="22"/>
        </w:rPr>
        <w:t>3. 租赁市场价格反弹，周期指标指向持续紧张</w:t>
      </w:r>
    </w:p>
    <w:p>
      <w:pPr>
        <w:pStyle w:val="a"/>
        <w:rPr>
          <w:rFonts w:hint="eastAsia"/>
        </w:rPr>
      </w:pPr>
      <w:r>
        <w:rPr>
          <w:rFonts w:hint="eastAsia"/>
          <w:sz w:val="22"/>
          <w:szCs w:val="22"/>
        </w:rPr>
        <w:t>作为算力市场的“温度计”，高端GPU的租赁价格清晰反映了供需格局。英伟达H100的租赁价格在2025年因短期供需调整一度低于2美元/小时，但进入2026年，随着需求井喷，价格已强势回升至2.35美元/小时以上，国内月租价格高达5.5-6.0万元。新一代Blackwell GPU同样面临供应告急，交付周期已延长至2026年6-7月，其产能已被预订一空。价格曲线的“V型”反转，为本轮算力短缺的强度和持续性提供了最直观的注脚。</w:t>
      </w:r>
    </w:p>
    <w:p>
      <w:pPr>
        <w:pStyle w:val="a"/>
        <w:rPr>
          <w:rFonts w:hint="eastAsia"/>
        </w:rPr>
      </w:pPr>
      <w:r>
        <w:rPr>
          <w:rFonts w:hint="eastAsia"/>
          <w:sz w:val="22"/>
          <w:szCs w:val="22"/>
        </w:rPr>
        <w:t>二、 硬件产能瓶颈：供应链多重约束下的扩张天花板</w:t>
      </w:r>
    </w:p>
    <w:p>
      <w:pPr>
        <w:pStyle w:val="a"/>
        <w:rPr>
          <w:rFonts w:hint="eastAsia"/>
        </w:rPr>
      </w:pPr>
      <w:r>
        <w:rPr>
          <w:rFonts w:hint="eastAsia"/>
          <w:sz w:val="22"/>
          <w:szCs w:val="22"/>
        </w:rPr>
        <w:t>面对汹涌的需求，算力硬件的供给扩张却面临着一系列物理、技术和供应链上的刚性约束。瓶颈并非单一存在，而是在产业链不同环节间动态转移，最终从系统层面锁死了产能的扩张速度。</w:t>
      </w:r>
    </w:p>
    <w:p>
      <w:pPr>
        <w:pStyle w:val="a"/>
        <w:rPr>
          <w:rFonts w:hint="eastAsia"/>
        </w:rPr>
      </w:pPr>
      <w:r>
        <w:rPr>
          <w:rFonts w:hint="eastAsia"/>
          <w:sz w:val="22"/>
          <w:szCs w:val="22"/>
        </w:rPr>
        <w:t>1. 核心芯片制造：从先进制程到光刻机的终极约束</w:t>
      </w:r>
    </w:p>
    <w:p>
      <w:pPr>
        <w:pStyle w:val="a"/>
        <w:rPr>
          <w:rFonts w:hint="eastAsia"/>
        </w:rPr>
      </w:pPr>
      <w:r>
        <w:rPr>
          <w:rFonts w:hint="eastAsia"/>
          <w:sz w:val="22"/>
          <w:szCs w:val="22"/>
        </w:rPr>
        <w:t>AI芯片的制造依赖于全球最精密的半导体供应链，其中多个环节已成为瓶颈。</w:t>
      </w:r>
    </w:p>
    <w:p>
      <w:pPr>
        <w:pStyle w:val="a"/>
        <w:rPr>
          <w:rFonts w:hint="eastAsia"/>
        </w:rPr>
      </w:pPr>
      <w:r>
        <w:rPr>
          <w:rFonts w:hint="eastAsia"/>
          <w:sz w:val="22"/>
          <w:szCs w:val="22"/>
        </w:rPr>
        <w:t>先进制程产能集中且紧缺：台积电垄断了全球80%以上的先进制程产能。建设1GW（吉瓦）算力的数据中心，约需5.5万片3nm和6000片5nm晶圆，英伟达已提前锁定台积电大量3nm产能。国内CPU供给亦因台积电产能不足及英特尔自身制程良率问题而紧张。</w:t>
      </w:r>
    </w:p>
    <w:p>
      <w:pPr>
        <w:pStyle w:val="a"/>
        <w:rPr>
          <w:rFonts w:hint="eastAsia"/>
        </w:rPr>
      </w:pPr>
      <w:r>
        <w:rPr>
          <w:rFonts w:hint="eastAsia"/>
          <w:sz w:val="22"/>
          <w:szCs w:val="22"/>
        </w:rPr>
        <w:t>EUV光刻机成为物理天花板：产能扩张的终极瓶颈指向了半导体设备，尤其是极紫外（EUV）光刻机。目前全球EUV光刻机由ASML独家供应，年产量仅约70台，未来几年缓慢增长至80-100台5。据测算，支撑1GW AI芯片产能需要约3.5台EUV光刻机全年运转，而建设这1GW数据中心的总投资高达500亿美元。光刻机供应链（如蔡司的镜头、Cymer的光源）高度复杂且专业化，扩产周期极长，从物理上限定了全球每年可新增的先进算力总规模。</w:t>
      </w:r>
    </w:p>
    <w:p>
      <w:pPr>
        <w:pStyle w:val="a"/>
        <w:rPr>
          <w:rFonts w:hint="eastAsia"/>
        </w:rPr>
      </w:pPr>
      <w:r>
        <w:rPr>
          <w:rFonts w:hint="eastAsia"/>
          <w:sz w:val="22"/>
          <w:szCs w:val="22"/>
        </w:rPr>
        <w:t>2. 存储与封装：HBM短缺与先进封装产能制约</w:t>
      </w:r>
    </w:p>
    <w:p>
      <w:pPr>
        <w:pStyle w:val="a"/>
        <w:rPr>
          <w:rFonts w:hint="eastAsia"/>
        </w:rPr>
      </w:pPr>
      <w:r>
        <w:rPr>
          <w:rFonts w:hint="eastAsia"/>
          <w:sz w:val="22"/>
          <w:szCs w:val="22"/>
        </w:rPr>
        <w:t>HBM内存供需严重失衡：大语言模型的瓶颈往往是内存带宽而非算力。HBM作为高性能AI芯片的标配，其生产效率远低于普通DRAM，同样晶圆面积产出容量仅为后者的1/3到1/43。需求爆发导致HBM价格飙升，英伟达为确保供应，签订了价值约900亿美元的长期采购合同。DRAM产能整体紧张，2025年DDR4价格大幅上涨，其背后是供给年增约10%而需求增长超20%的尖锐矛盾。</w:t>
      </w:r>
    </w:p>
    <w:p>
      <w:pPr>
        <w:pStyle w:val="a"/>
        <w:rPr>
          <w:rFonts w:hint="eastAsia"/>
        </w:rPr>
      </w:pPr>
      <w:r>
        <w:rPr>
          <w:rFonts w:hint="eastAsia"/>
          <w:sz w:val="22"/>
          <w:szCs w:val="22"/>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断且扩产缓慢而受限。</w:t>
      </w:r>
    </w:p>
    <w:p>
      <w:pPr>
        <w:pStyle w:val="a"/>
        <w:rPr>
          <w:rFonts w:hint="eastAsia"/>
        </w:rPr>
      </w:pPr>
      <w:r>
        <w:rPr>
          <w:rFonts w:hint="eastAsia"/>
          <w:sz w:val="22"/>
          <w:szCs w:val="22"/>
        </w:rPr>
        <w:t>3. 光互连与系统配套：瓶颈向上游传导</w:t>
      </w:r>
    </w:p>
    <w:p>
      <w:pPr>
        <w:pStyle w:val="a"/>
        <w:rPr>
          <w:rFonts w:hint="eastAsia"/>
        </w:rPr>
      </w:pPr>
      <w:r>
        <w:rPr>
          <w:rFonts w:hint="eastAsia"/>
          <w:sz w:val="22"/>
          <w:szCs w:val="22"/>
        </w:rPr>
        <w:t>随着AI集群规模扩大，算力瓶颈从GPU芯片本身向确保集群高效互联的“系统配套”环节扩散。</w:t>
      </w:r>
    </w:p>
    <w:p>
      <w:pPr>
        <w:pStyle w:val="a"/>
        <w:rPr>
          <w:rFonts w:hint="eastAsia"/>
        </w:rPr>
      </w:pPr>
      <w:r>
        <w:rPr>
          <w:rFonts w:hint="eastAsia"/>
          <w:sz w:val="22"/>
          <w:szCs w:val="22"/>
        </w:rPr>
        <w:t>光器件与光模块成为新瓶颈：高速光互连是万卡乃至更大规模集群的“神经网络”。光通信龙头Lumentum表示，若需求趋势延续，其在未来两个季度内就可能将2028年底前的产能预订一空。这反映出网络侧扩容需求已远超当前产能规划。磷化铟等高端光器件制造工艺复杂、供应链迁移难度大，扩产非简单增加设备即可完成。</w:t>
      </w:r>
    </w:p>
    <w:p>
      <w:pPr>
        <w:pStyle w:val="a"/>
        <w:rPr>
          <w:rFonts w:hint="eastAsia"/>
        </w:rPr>
      </w:pPr>
      <w:r>
        <w:rPr>
          <w:rFonts w:hint="eastAsia"/>
          <w:sz w:val="22"/>
          <w:szCs w:val="22"/>
        </w:rPr>
        <w:t>电力与基础设施的长期挑战：虽然短期内芯片是更紧的瓶颈，但电力供应是潜在的长期约束。AI数据中心功耗惊人，Blackwell机柜功率超过120千瓦。重型燃气轮机等关键电力设备的交付周期长达3-4年，产能也已排满。尽管可通过“电表后”解决方案缓解，但成本将上升。</w:t>
      </w:r>
    </w:p>
    <w:p>
      <w:pPr>
        <w:pStyle w:val="3"/>
        <w:rPr>
          <w:rFonts w:hint="eastAsia"/>
        </w:rPr>
      </w:pPr>
      <w:r>
        <w:rPr>
          <w:rFonts w:hint="eastAsia"/>
          <w:sz w:val="32"/>
          <w:szCs w:val="32"/>
        </w:rPr>
        <w:t>商业瓶颈</w:t>
      </w:r>
    </w:p>
    <w:p>
      <w:pPr>
        <w:pStyle w:val="a"/>
        <w:rPr>
          <w:rFonts w:hint="eastAsia"/>
        </w:rPr>
      </w:pPr>
      <w:r>
        <w:rPr>
          <w:rFonts w:hint="eastAsia"/>
          <w:sz w:val="22"/>
          <w:szCs w:val="22"/>
        </w:rPr>
        <w:t>产业已从商业模式探索期进入初步规模化阶段，但“叫好不叫座”的困境普遍存在，盈利闭环难以形成。</w:t>
      </w:r>
    </w:p>
    <w:p>
      <w:pPr>
        <w:pStyle w:val="a"/>
        <w:rPr>
          <w:rFonts w:hint="eastAsia"/>
        </w:rPr>
      </w:pPr>
      <w:r>
        <w:rPr>
          <w:rFonts w:hint="eastAsia"/>
          <w:sz w:val="22"/>
          <w:szCs w:val="22"/>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成本端，从训练到推理的全流程都依赖高额算力投入，无论B端私有化部署的定制开发，还是C端规模扩张所需的算力扩容，成本均随业务推进持续攀升。盈利模式上，单纯的API调用模式因算力成本高企和头部企业的价格战，导致中小厂商陷入“用户越多亏损越大”的困境。尽管行业转向高附加值的解决方案与模型授权，但多数大模型应用仍处试验阶段，并未实现规模化盈利。</w:t>
      </w:r>
    </w:p>
    <w:p>
      <w:pPr>
        <w:pStyle w:val="3"/>
        <w:rPr>
          <w:rFonts w:hint="eastAsia"/>
        </w:rPr>
      </w:pPr>
      <w:r>
        <w:rPr>
          <w:rFonts w:hint="eastAsia"/>
          <w:sz w:val="32"/>
          <w:szCs w:val="32"/>
        </w:rPr>
        <w:t>生态瓶颈</w:t>
      </w:r>
    </w:p>
    <w:p>
      <w:pPr>
        <w:pStyle w:val="a"/>
        <w:rPr>
          <w:rFonts w:hint="eastAsia"/>
        </w:rPr>
      </w:pPr>
      <w:r>
        <w:rPr>
          <w:rFonts w:hint="eastAsia"/>
          <w:sz w:val="22"/>
          <w:szCs w:val="22"/>
        </w:rPr>
        <w:t>产业分化加剧，竞争格局快速固化，创业公司生存空间受到严重挤压，行业进入“大厂游戏”阶段。</w:t>
      </w:r>
    </w:p>
    <w:p>
      <w:pPr>
        <w:pStyle w:val="a"/>
        <w:rPr>
          <w:rFonts w:hint="eastAsia"/>
        </w:rPr>
      </w:pPr>
      <w:r>
        <w:rPr>
          <w:rFonts w:hint="eastAsia"/>
          <w:sz w:val="22"/>
          <w:szCs w:val="22"/>
        </w:rPr>
        <w:t>一方面，产业主导权向巨头集中，创业窗口期关闭。大模型竞赛已成为一场拼算力、数据、资本和生态的持久战。头部互联网公司（如阿里、腾讯、字节）和云厂商（如阿里云、百度智能云）依托庞大的现金流、全栈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以DeepSeek为代表的优秀开源模型大幅降低了技术使用门槛，使得模型能力本身的价值被稀释。企业更倾向于基于开源模型搭建自有应用，这对以提供通用模型API为主业的公司构成了直接冲击，迫使其要么陷入价格战，要么向更垂直、更重服务的模式转型。</w:t>
      </w:r>
    </w:p>
    <w:p>
      <w:pPr>
        <w:pStyle w:val="a"/>
        <w:rPr>
          <w:rFonts w:hint="eastAsia"/>
        </w:rPr>
      </w:pPr>
      <w:r>
        <w:rPr>
          <w:rFonts w:hint="eastAsia"/>
          <w:sz w:val="22"/>
          <w:szCs w:val="22"/>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pPr>
        <w:pStyle w:val="a"/>
        <w:rPr>
          <w:rFonts w:hint="eastAsia"/>
        </w:rPr>
      </w:pPr>
    </w:p>
    <w:p>
      <w:pPr>
        <w:pStyle w:val="1"/>
        <w:rPr>
          <w:rFonts w:hint="eastAsia"/>
        </w:rPr>
      </w:pPr>
      <w:r w:rsidR="00E0149C">
        <w:rPr>
          <w:rFonts w:hint="eastAsia"/>
          <w:sz w:val="48"/>
          <w:szCs w:val="48"/>
        </w:rPr>
        <w:t>三.竞争格局与企业竞争力分析</w:t>
      </w:r>
    </w:p>
    <w:p>
      <w:pPr>
        <w:pStyle w:val="2"/>
        <w:rPr>
          <w:rFonts w:hint="eastAsia"/>
        </w:rPr>
      </w:pPr>
      <w:r>
        <w:rPr>
          <w:rFonts w:hint="eastAsia"/>
          <w:sz w:val="40"/>
          <w:szCs w:val="40"/>
        </w:rPr>
        <w:t>市场集中度与竞争态势</w:t>
      </w:r>
    </w:p>
    <w:p>
      <w:pPr>
        <w:pStyle w:val="3"/>
        <w:rPr>
          <w:rFonts w:hint="eastAsia"/>
        </w:rPr>
      </w:pPr>
      <w:r>
        <w:rPr>
          <w:rFonts w:hint="eastAsia"/>
          <w:sz w:val="32"/>
          <w:szCs w:val="32"/>
        </w:rPr>
        <w:t>市场集中度上</w:t>
      </w:r>
    </w:p>
    <w:p>
      <w:pPr>
        <w:pStyle w:val="a"/>
        <w:rPr>
          <w:rFonts w:hint="eastAsia"/>
        </w:rPr>
      </w:pPr>
      <w:r w:rsidR="00A670C9" w:rsidRPr="00A670C9">
        <w:rPr>
          <w:rFonts w:hint="eastAsia"/>
          <w:sz w:val="22"/>
          <w:szCs w:val="22"/>
        </w:rPr>
        <w:t>全球大模型市场呈现出显著向头部厂商集中的趋势。随着LLM技术路径的收敛和Scaling Law的推进，行业已从早期的“百模大战”逐渐收敛至由少数具备算法、算力与数据积累优势的头部厂商主导的阶段。这一现象由多种原因造成。首先，资本与研发壁垒持续提高，持续的研发投入是维持技术领先的前提。行业普遍处于“高增长、高研发投入、高亏损”的早期阶段，头部企业在此过程中更具备相对优势。其次，Transformer架构及MoE（混合专家模型）等成为主流，技术突破的门槛提升，后发者难以通过简单模仿实现超越。第三，资本市场关注点已从技术叙事转向收入质量、毛利率改善等商业化本质指标。能否展示清晰的盈利拐点预期，成为支撑长期价值的关键，这进一步有利于已建立初步规模优势的头部公司</w:t>
      </w:r>
    </w:p>
    <w:p>
      <w:pPr>
        <w:pStyle w:val="3"/>
      </w:pPr>
      <w:r>
        <w:rPr>
          <w:lang w:val="en-US" w:eastAsia="zh-CN" w:bidi="ar-SA"/>
          <w:rFonts w:asciiTheme="majorHAnsi" w:eastAsiaTheme="majorEastAsia" w:hAnsiTheme="majorHAnsi" w:cstheme="majorBidi"/>
          <w:sz w:val="32"/>
          <w:szCs w:val="32"/>
        </w:rPr>
        <w:t>竞争态势</w:t>
      </w:r>
    </w:p>
    <w:p>
      <w:pPr>
        <w:pStyle w:val="4"/>
      </w:pPr>
      <w:r>
        <w:rPr>
          <w:rFonts w:hint="eastAsia"/>
          <w:lang w:val="en-US" w:eastAsia="zh-CN" w:bidi="ar-SA"/>
          <w:sz w:val="28"/>
          <w:szCs w:val="28"/>
        </w:rPr>
        <w:t>竞争主体：独立模型厂商和互联网大厂“分层竞合”</w:t>
      </w:r>
    </w:p>
    <w:p>
      <w:pPr>
        <w:pStyle w:val="a"/>
        <w:rPr>
          <w:rFonts w:hint="eastAsia"/>
        </w:rPr>
      </w:pPr>
      <w:r>
        <w:rPr>
          <w:rFonts w:hint="eastAsia"/>
          <w:sz w:val="22"/>
          <w:szCs w:val="22"/>
        </w:rPr>
        <w:t>全球的市场的竞争格局都呈现出互联网大厂与独立大模型厂商分层竞合、互补共生的特点</w:t>
      </w:r>
    </w:p>
    <w:p>
      <w:pPr>
        <w:pStyle w:val="a"/>
        <w:rPr>
          <w:rFonts w:hint="eastAsia"/>
        </w:rPr>
      </w:pPr>
      <w:r w:rsidR="00B81B1A">
        <w:rPr>
          <w:rFonts w:hint="eastAsia"/>
          <w:sz w:val="22"/>
          <w:szCs w:val="22"/>
        </w:rPr>
        <w:t>互联网大厂（如阿里-qwen、腾讯-混元、字节-火山系、小米-mimo）：大厂的优势在于雄厚的资金、庞大的用户基础及成熟的业务生态，可将大模型快速嵌入现有产品，形成流量闭环。在海外，谷歌依托自身完整生态和技术积累，在gemini上实现了厚积薄发，奠定了海外三大模型之一的地位，阿里推动千问App接入集团生态和旗下应用，被视为Agent广泛化使用的先驱。字节通过自身丰富的视频，文本语料，通过“内部赛马”孵化机制，快速推出豆包等系列AI应用。此类主体在面对AI发展的挑战在于大模型业务战略优先级可能受到集团多元业务牵制，决策灵活性相对较低。如今逐渐没落的meta就是例子之一，由于集团业务多元化导致的资源牵制和对方向把控的失误，曾经占据优势的meta系已经在全球大模型竞争中失去主导权。</w:t>
      </w:r>
    </w:p>
    <w:p>
      <w:pPr>
        <w:pStyle w:val="a"/>
        <w:rPr>
          <w:rFonts w:hint="eastAsia"/>
        </w:rPr>
      </w:pPr>
      <w:r w:rsidR="00EC4FE3">
        <w:rPr>
          <w:rFonts w:hint="eastAsia"/>
          <w:sz w:val="22"/>
          <w:szCs w:val="22"/>
        </w:rPr>
        <w:t>独立大模型厂商（如MiniMax、智谱-glm、月之暗面-kimi）：独立模型厂商的核心优势在于极致的专注力和灵活的决策机制，能够All in大模型核心技术迭代，并更灵活地选择开源或商业策略。它们并未在技术能力上被大厂拉开差距，甚至常常可以做到青出于蓝。在海外，独立大模型厂商的代表就是在行业中常年保持领先地位的OpenAI-GPT系列模型和Anthropic-Claude系列模型。在国内，则以智谱，minimax，阶跃星辰等独立模型厂商为代表。有时，独立模型厂商还会通过获得互联网大厂战略投资，和大厂形成了“竞合并存”的共生关系。如阿里对minimax的基石投资，间接持有了minimax 13.66%的股权，和谷歌在2026年四月对Anthropic的400亿美元投资，都反映了大厂和独立模型厂商之间的竞合关系。</w:t>
      </w:r>
    </w:p>
    <w:p>
      <w:pPr>
        <w:pStyle w:val="4"/>
        <w:rPr>
          <w:rFonts w:hint="eastAsia"/>
        </w:rPr>
      </w:pPr>
      <w:r w:rsidRPr="00502A8D">
        <w:rPr>
          <w:rFonts w:hint="eastAsia"/>
          <w:sz w:val="28"/>
          <w:szCs w:val="28"/>
        </w:rPr>
        <w:t>技术竞赛：全球范围内的轮番领跑</w:t>
      </w:r>
    </w:p>
    <w:p>
      <w:pPr>
        <w:pStyle w:val="a"/>
      </w:pPr>
      <w:r w:rsidRPr="00D4502A">
        <w:rPr>
          <w:sz w:val="22"/>
          <w:szCs w:val="22"/>
          <w:lang w:val="en-US" w:eastAsia="zh-CN" w:bidi="ar-SA"/>
        </w:rPr>
        <w:t>在全球范围内，头部厂商表现出“竞相迭代、轮番领跑”的态势。模型能力的提升呈间歇性跃升，任何一家厂商的重大突破都可能暂时领先。大模型的你追我赶一直是产业的重要常态，在拥有可比数量级的硬件算力和充分竞争的情况下，大模型的性能榜单从来没有稳坐第一的赢家，从2023年GPT3问世以来，最初是GPT和claude的竞争，后来发展到GPT，claude，gemini的激烈角逐。2025年deepseek问世后，经过近一年的沉淀，国产大模型也逐步发力，智谱的GLM系列模型，minimax和kimi的模型都曾经在主流人工智能成绩榜单上交出过亮眼的表现，同时，国产大模型也正逐渐凭借性能和价格的平衡得到市场的认可。截至2026年4月27日，kimi的最新模型kimi 2.6仍然在OpenRouter开源模型记录中保持第一的态势。这表明技术领先地位是动态且不稳固的，持续创新能力是保持竞争力的关键。</w:t>
      </w:r>
    </w:p>
    <w:p w14:paraId="57E0B5DD" w14:textId="056FAA8D" w:rsidR="008D5F95" w:rsidRDefault="008D5F95" w:rsidP="008D5F95">
      <w:pPr>
        <w:jc w:val="center"/>
        <w:rPr>
          <w:rFonts w:hint="eastAsia"/>
        </w:rPr>
      </w:pPr>
      <w:r>
        <w:rPr>
          <w:rFonts w:hint="eastAsia"/>
        </w:rPr>
        <w:t>图：2026.4.27 OpenRouter开源模型调用排名榜单</w:t>
      </w:r>
    </w:p>
    <w:p w14:paraId="6433B6B1" w14:textId="7AF79197" w:rsidR="008D5F95" w:rsidRDefault="008D5F95" w:rsidP="00502A8D">
      <w:pPr>
        <w:rPr>
          <w:rFonts w:hint="eastAsia"/>
        </w:rPr>
      </w:pPr>
      <w:r>
        <w:rPr>
          <w:noProof/>
        </w:rPr>
        <w:lastRenderedPageBreak/>
        <w:drawing>
          <wp:inline distT="0" distB="0" distL="0" distR="0" wp14:anchorId="069951A8" wp14:editId="3C4175E4">
            <wp:extent cx="5274310" cy="4338955"/>
            <wp:effectExtent l="0" t="0" r="2540" b="4445"/>
            <wp:docPr id="2010349834" name="图片 1"/>
            <wp:cNvGraphicFramePr>
              <a:graphicFrameLocks noChangeAspect="1"/>
            </wp:cNvGraphicFramePr>
            <a:graphic>
              <a:graphicData uri="http://schemas.openxmlformats.org/drawingml/2006/picture">
                <pic:pic>
                  <pic:nvPicPr>
                    <pic:cNvPr id="2010349834" name=""/>
                    <pic:cNvPicPr/>
                  </pic:nvPicPr>
                  <pic:blipFill>
                    <a:blip r:embed="rId21"/>
                    <a:stretch>
                      <a:fillRect/>
                    </a:stretch>
                  </pic:blipFill>
                  <pic:spPr>
                    <a:xfrm>
                      <a:off x="0" y="0"/>
                      <a:ext cx="5274310" cy="4338955"/>
                    </a:xfrm>
                    <a:prstGeom prst="rect">
                      <a:avLst/>
                    </a:prstGeom>
                  </pic:spPr>
                </pic:pic>
              </a:graphicData>
            </a:graphic>
          </wp:inline>
        </w:drawing>
      </w:r>
    </w:p>
    <w:p w14:paraId="710F0C53" w14:textId="77777777" w:rsidR="008D5F95" w:rsidRPr="00502A8D" w:rsidRDefault="008D5F95" w:rsidP="00502A8D">
      <w:pPr>
        <w:rPr>
          <w:rFonts w:hint="eastAsia"/>
        </w:rPr>
      </w:pPr>
    </w:p>
    <w:p w14:paraId="000F535C" w14:textId="66DAD3DD" w:rsidR="00EB5EA6" w:rsidRDefault="00EB5EA6" w:rsidP="00EB5EA6">
      <w:pPr>
        <w:pStyle w:val="2"/>
      </w:pPr>
      <w:r>
        <w:rPr>
          <w:rFonts w:hint="eastAsia"/>
        </w:rPr>
        <w:t>参与者类型（pureplay and non pureplay</w:t>
      </w:r>
      <w:r>
        <w:t>）</w:t>
      </w:r>
    </w:p>
    <w:p w14:paraId="16C13FE4" w14:textId="50B20009" w:rsidR="00152E11" w:rsidRDefault="00152E11" w:rsidP="00152E11">
      <w:pPr>
        <w:rPr>
          <w:rFonts w:hint="eastAsia"/>
        </w:rPr>
      </w:pPr>
      <w:r>
        <w:rPr>
          <w:rFonts w:hint="eastAsia"/>
        </w:rPr>
        <w:t>大模型产业已形成层次分明、角色多元的生态系统。参与者基于其技术基因、资源禀赋和商业模式，在产业链的不同环节占据生态位，共同推动技术落地与价值实现。本报告将产业参与者划分为四大核心层级：基础层、模型层、中间层与应用层，并深入剖析各层参与者的核心特征、竞争策略与相互间的协同博弈关系。</w:t>
      </w:r>
    </w:p>
    <w:p w14:paraId="0EBCDCE1" w14:textId="77777777" w:rsidR="00152E11" w:rsidRDefault="00152E11" w:rsidP="00152E11">
      <w:pPr>
        <w:rPr>
          <w:rFonts w:hint="eastAsia"/>
        </w:rPr>
      </w:pPr>
      <w:r>
        <w:rPr>
          <w:rFonts w:hint="eastAsia"/>
        </w:rPr>
        <w:t>一、 产业参与者全景图谱：基于技术架构的四层划分</w:t>
      </w:r>
    </w:p>
    <w:p w14:paraId="422CF90A" w14:textId="757CD2DB" w:rsidR="00152E11" w:rsidRDefault="00152E11" w:rsidP="00152E11">
      <w:pPr>
        <w:rPr>
          <w:rFonts w:hint="eastAsia"/>
        </w:rPr>
      </w:pPr>
      <w:r>
        <w:rPr>
          <w:rFonts w:hint="eastAsia"/>
        </w:rPr>
        <w:t>当前大模型产业的技术架构可清晰划分为基础层、模型层、中间层与应用层。不同背景的厂商依据自身优势，选择在不同层级深度布局或进行全栈式整合。</w:t>
      </w:r>
    </w:p>
    <w:p w14:paraId="53E6244E" w14:textId="77777777" w:rsidR="00152E11" w:rsidRDefault="00152E11" w:rsidP="00152E11">
      <w:r>
        <w:rPr>
          <w:rFonts w:hint="eastAsia"/>
        </w:rPr>
        <w:t>基础层是产业运行的物理与虚拟资源底座，核心是提供算力、存储、网络及数据基础设施。该层参与者主要包括大型云服务商（如阿里云、腾讯云、AWS）以及专注于数据基础设施的“AI+Data技术提供商”。后者提供分析型数据库、数据集成、向量数据库等能力，构建数据、分析和AI应用的可复用底座，通常保持“模型中立”，强调处理海量数据的工程能力与可靠性，代表厂商如星环科技、拓尔思等。</w:t>
      </w:r>
    </w:p>
    <w:p w14:paraId="23010085" w14:textId="77777777" w:rsidR="00152E11" w:rsidRDefault="00152E11" w:rsidP="00152E11">
      <w:r>
        <w:rPr>
          <w:rFonts w:hint="eastAsia"/>
        </w:rPr>
        <w:t>模型层是产业的价值中枢与“智能大脑”，聚焦于基础大模型及微调优化后的各类模型。参与者可分为两类：一是研发通用基础模型的“Pureplay”厂商（如OpenAI、MiniMax、</w:t>
      </w:r>
      <w:r>
        <w:rPr>
          <w:rFonts w:hint="eastAsia"/>
        </w:rPr>
        <w:lastRenderedPageBreak/>
        <w:t>智谱AI），其核心资源与商业模式高度聚焦于模型本身；二是“Non-pureplay”厂商，通常是大型互联网平台（如谷歌、阿里、百度、字节跳动），在原有业务上切入大模型，具备强大的资本、算力与场景整合能力。</w:t>
      </w:r>
    </w:p>
    <w:p w14:paraId="4E114DDD" w14:textId="77777777" w:rsidR="00152E11" w:rsidRDefault="00152E11" w:rsidP="00152E11">
      <w:r>
        <w:rPr>
          <w:rFonts w:hint="eastAsia"/>
        </w:rPr>
        <w:t>中间层（工具/平台层）是连接模型能力与具体应用的“桥梁”，其价值在于将复杂的模型能力模块化、工具化，降低应用开发门槛。该层包括大模型应用开发管理工具、LLMOps平台、Agent开发平台等。参与者既有独立工具开发商，也有模型层厂商向下延伸提供的平台服务。</w:t>
      </w:r>
    </w:p>
    <w:p w14:paraId="69E8BF0F" w14:textId="0A0A7403" w:rsidR="00152E11" w:rsidRDefault="00152E11" w:rsidP="00152E11">
      <w:pPr>
        <w:rPr>
          <w:rFonts w:hint="eastAsia"/>
        </w:rPr>
      </w:pPr>
      <w:r>
        <w:rPr>
          <w:rFonts w:hint="eastAsia"/>
        </w:rPr>
        <w:t>应用层是技术价值的最终出口，指将大模型能力嵌入具体业务场景的解决方案和终端产品，如智能客服、知识库问答、AI原生应用（如ChatGPT、海螺AI）。参与者最为广泛，包括所有将大模型作为核心能力组件的软件公司、行业解决方案商及创业公司。</w:t>
      </w:r>
    </w:p>
    <w:p w14:paraId="20F696BD" w14:textId="77777777" w:rsidR="00152E11" w:rsidRDefault="00152E11" w:rsidP="00152E11">
      <w:pPr>
        <w:rPr>
          <w:rFonts w:hint="eastAsia"/>
        </w:rPr>
      </w:pPr>
      <w:r>
        <w:rPr>
          <w:rFonts w:hint="eastAsia"/>
        </w:rPr>
        <w:t>二、 核心参与者类型深度剖析</w:t>
      </w:r>
    </w:p>
    <w:p w14:paraId="6D6CC861" w14:textId="39949E69" w:rsidR="00152E11" w:rsidRDefault="00152E11" w:rsidP="00152E11">
      <w:pPr>
        <w:rPr>
          <w:rFonts w:hint="eastAsia"/>
        </w:rPr>
      </w:pPr>
      <w:r>
        <w:rPr>
          <w:rFonts w:hint="eastAsia"/>
        </w:rPr>
        <w:t>基于上述四层架构，</w:t>
      </w:r>
      <w:r>
        <w:rPr>
          <w:rFonts w:hint="eastAsia"/>
        </w:rPr>
        <w:t>大模型</w:t>
      </w:r>
      <w:r>
        <w:rPr>
          <w:rFonts w:hint="eastAsia"/>
        </w:rPr>
        <w:t>市场上的参与者可进一步归纳为以下几种核心类型，其战略定位与竞争逻辑各有不同。</w:t>
      </w:r>
    </w:p>
    <w:p w14:paraId="015010A0" w14:textId="77777777" w:rsidR="00152E11" w:rsidRDefault="00152E11" w:rsidP="00152E11">
      <w:pPr>
        <w:rPr>
          <w:rFonts w:hint="eastAsia"/>
        </w:rPr>
      </w:pPr>
      <w:r>
        <w:rPr>
          <w:rFonts w:hint="eastAsia"/>
        </w:rPr>
        <w:t>1. 互联网科技巨头：全栈生态与平台化主导者</w:t>
      </w:r>
    </w:p>
    <w:p w14:paraId="7E247F5B" w14:textId="66F71495" w:rsidR="00152E11" w:rsidRDefault="00152E11" w:rsidP="00152E11">
      <w:pPr>
        <w:rPr>
          <w:rFonts w:hint="eastAsia"/>
        </w:rPr>
      </w:pPr>
      <w:r>
        <w:rPr>
          <w:rFonts w:hint="eastAsia"/>
        </w:rPr>
        <w:t>此类参与者（如阿里、百度、腾讯、字节跳动）通常打造“芯片/框架-模型-应用-场景”的全栈式生态。其核心优势在于：第一，拥有海量自有场景与用户流量，为模型训练提供高质量数据飞轮，并为应用落地提供天然试验田。第二，掌控算力入口与云基础设施，在训练成本控制和推理服务稳定性上具备工程化优势。第三，采取“平台+应用”模式，既提供基础的MaaS（模型即服务）吸引开发者和企业客户，又推出标杆性C端应用（如豆包、文心一言）定义用户体验，旨在构建以自身为核心的产业生态。他们的竞争焦点在于通过生态协同效应最大化用户停留时间与数据价值，将大模型能力渗透至所有业务线。</w:t>
      </w:r>
    </w:p>
    <w:p w14:paraId="5936B76D" w14:textId="77777777" w:rsidR="00152E11" w:rsidRDefault="00152E11" w:rsidP="00152E11">
      <w:pPr>
        <w:rPr>
          <w:rFonts w:hint="eastAsia"/>
        </w:rPr>
      </w:pPr>
      <w:r>
        <w:rPr>
          <w:rFonts w:hint="eastAsia"/>
        </w:rPr>
        <w:t>2. 专注模型研发的Pureplay厂商：技术驱动与敏捷创新者</w:t>
      </w:r>
    </w:p>
    <w:p w14:paraId="1496DD8B" w14:textId="71B5CFF0" w:rsidR="00152E11" w:rsidRDefault="00152E11" w:rsidP="00152E11">
      <w:pPr>
        <w:rPr>
          <w:rFonts w:hint="eastAsia"/>
        </w:rPr>
      </w:pPr>
      <w:r>
        <w:rPr>
          <w:rFonts w:hint="eastAsia"/>
        </w:rPr>
        <w:t>这类公司（以MiniMax、智谱AI、月之暗面等为代表）自成立起便高度聚焦于大模型技术的研发与迭代。根据灼识咨询数据，按2024年全球基于模型的收入计，MiniMax在Pureplay玩家中排名第四。其特点是：第一，组织架构扁平，研发高度集中。例如MiniMax研发人员占比超70%，决策链条短，利于技术快速迭代。第二，追求模型性能的极致突破，尤其在多模态、长上下文、推理能力等前沿方向投入坚决，试图通过技术代差建立壁垒。第三，商业化路径清晰，通过“模型驱动产品”的逻辑，同步发展C端AI原生产品（如Talkie、海螺AI）与B端开放平台API服务，形成双向验证与收入来源。他们的核心挑战在于持续的高强度研发投入与商业化规模扩张之间的平衡。</w:t>
      </w:r>
    </w:p>
    <w:p w14:paraId="7ABDCCEC" w14:textId="77777777" w:rsidR="00152E11" w:rsidRDefault="00152E11" w:rsidP="00152E11">
      <w:pPr>
        <w:rPr>
          <w:rFonts w:hint="eastAsia"/>
        </w:rPr>
      </w:pPr>
      <w:r>
        <w:rPr>
          <w:rFonts w:hint="eastAsia"/>
        </w:rPr>
        <w:t>3. AI+Data技术提供商与软件技术转型者：行业Know-how与存量客户的价值重构者</w:t>
      </w:r>
    </w:p>
    <w:p w14:paraId="5C121F48" w14:textId="61392A93" w:rsidR="00152E11" w:rsidRDefault="00152E11" w:rsidP="00152E11">
      <w:pPr>
        <w:rPr>
          <w:rFonts w:hint="eastAsia"/>
        </w:rPr>
      </w:pPr>
      <w:r>
        <w:rPr>
          <w:rFonts w:hint="eastAsia"/>
        </w:rPr>
        <w:t>此类参与者又可细分为两类：一是专注于数据基础设施的“AI+Data技术提供商”，二是从传统企业软件或决策式AI转型而来的“技术转型者”。前者（如星环科技、Zilliz）的</w:t>
      </w:r>
      <w:r>
        <w:rPr>
          <w:rFonts w:hint="eastAsia"/>
        </w:rPr>
        <w:lastRenderedPageBreak/>
        <w:t>核心价值在于为企业构建高效、安全的数据治理与处理底座，是模型层运行的“燃料”供应商。后者（如用友、金蝶、科大讯飞、第四范式）则拥有深厚的行业知识、成熟的客户基础与强大的销售渠道。他们的战略并非颠覆客户现有业务流程，而是将大模型能力快速融入其已有的软件产品矩阵（如ERP、MES、CRM）中，实现产品功能的智能化升级。这类参与者的优势在于对垂直行业痛点的深刻理解以及较低的客户迁移成本，是大模型在B端规模化落地的关键推动力量。</w:t>
      </w:r>
    </w:p>
    <w:p w14:paraId="3E46ED84" w14:textId="77777777" w:rsidR="00152E11" w:rsidRDefault="00152E11" w:rsidP="00152E11">
      <w:pPr>
        <w:rPr>
          <w:rFonts w:hint="eastAsia"/>
        </w:rPr>
      </w:pPr>
      <w:r>
        <w:rPr>
          <w:rFonts w:hint="eastAsia"/>
        </w:rPr>
        <w:t>4. 开源社区与开源模型贡献者：生态基石与成本颠覆者</w:t>
      </w:r>
    </w:p>
    <w:p w14:paraId="7ED97A40" w14:textId="4212AB0F" w:rsidR="00152E11" w:rsidRPr="00152E11" w:rsidRDefault="00152E11" w:rsidP="00152E11">
      <w:pPr>
        <w:rPr>
          <w:rFonts w:hint="eastAsia"/>
        </w:rPr>
      </w:pPr>
      <w:r>
        <w:rPr>
          <w:rFonts w:hint="eastAsia"/>
        </w:rPr>
        <w:t>以Meta（Llama系列）、DeepSeek、通义千问等为代表的开源模型势力，正深刻改变产业格局。根据沙利文调研，2025年上半年中国企业采用开源模型的占比已达44.4%。开源模型的崛起得益于：第一，显著降低技术使用门槛与成本，使中小企业能够基于开源底座定制专属模型。第二，透明性与可定制性，满足了企业对技术自主可控和安全审查的需求。第三，活跃的社区驱动快速迭代。开源模型通过“发布-社区反馈-迭代”的循环，不断缩小与顶尖闭源模型的性能差距，甚至在某些细分领域实现反超。开源生态的繁荣促进了技术的民主化，也迫使闭源厂商不断提升效率与性价比以维持优势。</w:t>
      </w:r>
    </w:p>
    <w:p w14:paraId="0D44BC9B" w14:textId="1AE2777F" w:rsidR="00EB5EA6" w:rsidRDefault="00EB5EA6" w:rsidP="00EB5EA6">
      <w:pPr>
        <w:pStyle w:val="2"/>
      </w:pPr>
      <w:r>
        <w:rPr>
          <w:rFonts w:hint="eastAsia"/>
        </w:rPr>
        <w:t>企业核心竞争力评价维度</w:t>
      </w:r>
    </w:p>
    <w:p w14:paraId="50120EBB" w14:textId="77777777" w:rsidR="007C2934" w:rsidRDefault="007C2934" w:rsidP="007C2934">
      <w:pPr>
        <w:rPr>
          <w:rFonts w:hint="eastAsia"/>
        </w:rPr>
      </w:pPr>
      <w:r>
        <w:rPr>
          <w:rFonts w:hint="eastAsia"/>
        </w:rPr>
        <w:t>一、 生态构建能力：从规模积累到体系化自演进</w:t>
      </w:r>
    </w:p>
    <w:p w14:paraId="2D616CF5" w14:textId="65EB8C11" w:rsidR="007C2934" w:rsidRDefault="007C2934" w:rsidP="007C2934">
      <w:pPr>
        <w:rPr>
          <w:rFonts w:hint="eastAsia"/>
        </w:rPr>
      </w:pPr>
      <w:r>
        <w:rPr>
          <w:rFonts w:hint="eastAsia"/>
        </w:rPr>
        <w:t>生态构建能力是衡量大模型企业能否从产品技术成功迈向商业生态化的关键。当前，行业竞争已超越简单的开发者数量积累，进入到构建高活性、高粘性、具备自演进能力的生态体系阶段。</w:t>
      </w:r>
    </w:p>
    <w:p w14:paraId="7946F1F5" w14:textId="3F6E8461" w:rsidR="007C2934" w:rsidRDefault="007C2934" w:rsidP="007C2934">
      <w:pPr>
        <w:rPr>
          <w:rFonts w:hint="eastAsia"/>
        </w:rPr>
      </w:pPr>
      <w:r>
        <w:rPr>
          <w:rFonts w:hint="eastAsia"/>
        </w:rPr>
        <w:t>在开发者生态方面，领先企业正通过提供精细化工具链、优化计费策略与强化调试支持，系统提升开发效率与应用创新活力。与此相对应，除了注册开发者规模，API月度调用总量与高质量原生应用产出率成为能够真实反映生态活跃度与价值转化能力的关键指标。例如，科大讯飞依托开放平台的全栈能力，已汇聚超过150万大模型开发者，在行业内保持市占率领先，形成了明显的生态规模与协同优势。生态的广度与深度共同构成了企业的护城河，一个能够持续吸引开发者并高效转化价值的生态，是企业实现网络效应、降低获客成本、加速技术迭代的基石。</w:t>
      </w:r>
    </w:p>
    <w:p w14:paraId="31BD3D64" w14:textId="77777777" w:rsidR="007C2934" w:rsidRDefault="007C2934" w:rsidP="007C2934">
      <w:pPr>
        <w:rPr>
          <w:rFonts w:hint="eastAsia"/>
        </w:rPr>
      </w:pPr>
      <w:r>
        <w:rPr>
          <w:rFonts w:hint="eastAsia"/>
        </w:rPr>
        <w:t>二、 技术研发能力：持续迭代与战略路线的双重壁垒</w:t>
      </w:r>
    </w:p>
    <w:p w14:paraId="584D9770" w14:textId="4078A8BC" w:rsidR="007C2934" w:rsidRDefault="007C2934" w:rsidP="007C2934">
      <w:pPr>
        <w:rPr>
          <w:rFonts w:hint="eastAsia"/>
        </w:rPr>
      </w:pPr>
      <w:r>
        <w:rPr>
          <w:rFonts w:hint="eastAsia"/>
        </w:rPr>
        <w:t>技术研发能力是企业维持长期竞争力的根本，其评价需关注投入强度、迭代效率与战略路径选择。</w:t>
      </w:r>
    </w:p>
    <w:p w14:paraId="33B7762F" w14:textId="30A96395" w:rsidR="007C2934" w:rsidRDefault="007C2934" w:rsidP="007C2934">
      <w:pPr>
        <w:rPr>
          <w:rFonts w:hint="eastAsia"/>
        </w:rPr>
      </w:pPr>
      <w:r>
        <w:rPr>
          <w:rFonts w:hint="eastAsia"/>
        </w:rPr>
        <w:t>研发投入与迭代速度：高比例的研发投入与稳定的大版本更新频率是维持技术领先的关键保障。例如，字节跳动2024年在AI领域的资本开支达800亿元，2025年更计划提升至1,600亿元，其中900亿元专项用于AI算力采购。科大讯飞2024年研发费用占营收比重达19.62%，其中16.2%专项用于大模型研发，支撑其模型实现季度级功能迭</w:t>
      </w:r>
      <w:r>
        <w:rPr>
          <w:rFonts w:hint="eastAsia"/>
        </w:rPr>
        <w:lastRenderedPageBreak/>
        <w:t>代。</w:t>
      </w:r>
      <w:commentRangeStart w:id="4"/>
      <w:commentRangeStart w:id="5"/>
      <w:r>
        <w:rPr>
          <w:rFonts w:hint="eastAsia"/>
        </w:rPr>
        <w:t>（有点老）</w:t>
      </w:r>
      <w:commentRangeEnd w:id="4"/>
      <w:r>
        <w:rPr>
          <w:rStyle w:val="af7"/>
          <w:rFonts w:hint="eastAsia"/>
          <w:sz w:val="22"/>
          <w:szCs w:val="24"/>
        </w:rPr>
        <w:commentReference w:id="4"/>
      </w:r>
      <w:commentRangeEnd w:id="5"/>
      <w:r>
        <w:rPr>
          <w:rStyle w:val="af7"/>
          <w:rFonts w:hint="eastAsia"/>
          <w:sz w:val="22"/>
          <w:szCs w:val="24"/>
        </w:rPr>
        <w:commentReference w:id="5"/>
      </w:r>
    </w:p>
    <w:p w14:paraId="7C573D95" w14:textId="77777777" w:rsidR="007C2934" w:rsidRDefault="007C2934" w:rsidP="007C2934">
      <w:pPr>
        <w:rPr>
          <w:rFonts w:hint="eastAsia"/>
        </w:rPr>
      </w:pPr>
      <w:r>
        <w:rPr>
          <w:rFonts w:hint="eastAsia"/>
        </w:rPr>
        <w:t>核心能力指标：技术能力的先进性具体体现在上下文长度、多模态任务支持数、可调用工具数及任务执行可靠性等方面，这些直接决定了模型处理复杂场景的上限。</w:t>
      </w:r>
    </w:p>
    <w:p w14:paraId="39E2735E" w14:textId="77777777" w:rsidR="007C2934" w:rsidRDefault="007C2934" w:rsidP="007C2934">
      <w:pPr>
        <w:rPr>
          <w:rFonts w:hint="eastAsia"/>
        </w:rPr>
      </w:pPr>
      <w:r>
        <w:rPr>
          <w:rFonts w:hint="eastAsia"/>
        </w:rPr>
        <w:t>三、 行业赋能能力：从技术工具到业务流程的重构</w:t>
      </w:r>
    </w:p>
    <w:p w14:paraId="600C71E5" w14:textId="2E9C389C" w:rsidR="007C2934" w:rsidRDefault="007C2934" w:rsidP="007C2934">
      <w:pPr>
        <w:rPr>
          <w:rFonts w:hint="eastAsia"/>
        </w:rPr>
      </w:pPr>
      <w:r>
        <w:rPr>
          <w:rFonts w:hint="eastAsia"/>
        </w:rPr>
        <w:t>行业赋能能力直接衡量大模型技术从实验室走向产业实践的深度与实效，是检验其商业价值的核心维度。这一过程正经历从技术工具的单点应用向与行业知识、业务流程深度重构的根本性转变。</w:t>
      </w:r>
    </w:p>
    <w:p w14:paraId="64D2906B" w14:textId="19A33ECA" w:rsidR="007C2934" w:rsidRDefault="007C2934" w:rsidP="007C2934">
      <w:pPr>
        <w:rPr>
          <w:rFonts w:hint="eastAsia"/>
        </w:rPr>
      </w:pPr>
      <w:r>
        <w:rPr>
          <w:rFonts w:hint="eastAsia"/>
        </w:rPr>
        <w:t>竞争力的核心首先体现在解决方案的深度与广度上。企业已发布的行业解决方案总数反映其技术应用的覆盖范围，而解决方案是否深度集成行业知识库、工作流和业务逻辑，则决定了其解决实际问题的精准度与有效性。其次，应用效果的量化验证成为最具说服力的竞争要素，典型客户案例中通过效率提升百分比、成本降低率等具体数据，直观展现技术带来的实际价值。最后，持续的用户满意度是解决方案成熟度与客户忠诚度的体现。在金融、政务、工业等垂直领域，能够提供深度融合的端到端解决方案并展现出显著降本增效成果的企业，正在构筑起差异化竞争力。</w:t>
      </w:r>
    </w:p>
    <w:p w14:paraId="7CFB54E0" w14:textId="77777777" w:rsidR="007C2934" w:rsidRDefault="007C2934" w:rsidP="007C2934">
      <w:pPr>
        <w:rPr>
          <w:rFonts w:hint="eastAsia"/>
        </w:rPr>
      </w:pPr>
      <w:r>
        <w:rPr>
          <w:rFonts w:hint="eastAsia"/>
        </w:rPr>
        <w:t>四、 商业变现能力：从探索期到规模化变现的跨越</w:t>
      </w:r>
    </w:p>
    <w:p w14:paraId="3CB65A11" w14:textId="3EAE55D3" w:rsidR="007C2934" w:rsidRDefault="007C2934" w:rsidP="007C2934">
      <w:pPr>
        <w:rPr>
          <w:rFonts w:hint="eastAsia"/>
        </w:rPr>
      </w:pPr>
      <w:r>
        <w:rPr>
          <w:rFonts w:hint="eastAsia"/>
        </w:rPr>
        <w:t>商业变现能力是将技术投资转化为可持续增长的动力源泉。2024-2025年，中国大模型行业整体从商业模式探索期迈入初步的规模化变现阶段。</w:t>
      </w:r>
    </w:p>
    <w:p w14:paraId="3AAA055C" w14:textId="77777777" w:rsidR="007C2934" w:rsidRDefault="007C2934" w:rsidP="007C2934">
      <w:pPr>
        <w:rPr>
          <w:rFonts w:hint="eastAsia"/>
        </w:rPr>
      </w:pPr>
      <w:r>
        <w:rPr>
          <w:rFonts w:hint="eastAsia"/>
        </w:rPr>
        <w:t>市场占有率与模式升级：市场占有率通过API调用付费金额这一硬指标得以体现。然而，单纯的API调用模式面临算力成本高和价格战压缩利润的挑战。因此，商业模式转向高附加值的解决方案与模型授权成为趋势，这直接体现在年度经常性收入（ARR） 和企业级客户平均合同金额（ACV） 的提升上。</w:t>
      </w:r>
    </w:p>
    <w:p w14:paraId="279C6354" w14:textId="6A5E3C71" w:rsidR="007C2934" w:rsidRDefault="007C2934" w:rsidP="007C2934">
      <w:pPr>
        <w:rPr>
          <w:rFonts w:hint="eastAsia"/>
        </w:rPr>
      </w:pPr>
      <w:r>
        <w:rPr>
          <w:rFonts w:hint="eastAsia"/>
        </w:rPr>
        <w:t>政企市场的主导地位：政企市场已成为变现主阵地。2024年全年，可统计的有931家央国企开展大模型招标，数量占比为61.25%，其中551个披露金额的项目总额约32.2亿元，占整体市场的49.8%。这类项目金额大、周期长，对企业的品牌公信力、服务能力和安全合规要求极高。因此，在政企市场斩获重大订单的能力，是衡量企业商业化落地实力的关键标尺。</w:t>
      </w:r>
    </w:p>
    <w:p w14:paraId="359B5D3E" w14:textId="77777777" w:rsidR="007C2934" w:rsidRDefault="007C2934" w:rsidP="007C2934">
      <w:pPr>
        <w:rPr>
          <w:rFonts w:hint="eastAsia"/>
        </w:rPr>
      </w:pPr>
      <w:r>
        <w:rPr>
          <w:rFonts w:hint="eastAsia"/>
        </w:rPr>
        <w:t>五、 创新拓展能力：抢占未来生态制高点的前瞻布局</w:t>
      </w:r>
    </w:p>
    <w:p w14:paraId="64EA0B15" w14:textId="6342A889" w:rsidR="007C2934" w:rsidRDefault="007C2934" w:rsidP="007C2934">
      <w:pPr>
        <w:rPr>
          <w:rFonts w:hint="eastAsia"/>
        </w:rPr>
      </w:pPr>
      <w:r>
        <w:rPr>
          <w:rFonts w:hint="eastAsia"/>
        </w:rPr>
        <w:t>创新拓展能力直接关乎企业在下一代产业变革中的生态位争夺，体现了其面向未来的战略布局与前瞻视野。</w:t>
      </w:r>
    </w:p>
    <w:p w14:paraId="01B80D02" w14:textId="77777777" w:rsidR="007C2934" w:rsidRDefault="007C2934" w:rsidP="007C2934">
      <w:pPr>
        <w:rPr>
          <w:rFonts w:hint="eastAsia"/>
        </w:rPr>
      </w:pPr>
      <w:r>
        <w:rPr>
          <w:rFonts w:hint="eastAsia"/>
        </w:rPr>
        <w:t>软硬一体整合：大模型正加速与各类终端设备深度融合，其开放平台累计覆盖的终端设备数量成为衡量生态延展广度与未来影响力的关键先行指标。</w:t>
      </w:r>
    </w:p>
    <w:p w14:paraId="025F2BDA" w14:textId="4B0E2FE2" w:rsidR="00152E11" w:rsidRPr="00152E11" w:rsidRDefault="007C2934" w:rsidP="007C2934">
      <w:pPr>
        <w:rPr>
          <w:rFonts w:hint="eastAsia"/>
        </w:rPr>
      </w:pPr>
      <w:r>
        <w:rPr>
          <w:rFonts w:hint="eastAsia"/>
        </w:rPr>
        <w:t>前沿领域探索：具身智能作为公认的万亿级蓝海市场，吸引了战略性投入。其中，机器人/具身大模型作为实现智能体自主决策的“中枢大脑”已成为竞争焦点。这一探索的</w:t>
      </w:r>
      <w:r>
        <w:rPr>
          <w:rFonts w:hint="eastAsia"/>
        </w:rPr>
        <w:lastRenderedPageBreak/>
        <w:t>强度，通过企业的年度研发投入总额以及在相关领域的专利积累和行业标准制定参与度得以体现。例如，科大讯飞已赋能超过500家机器人企业，在机器人语音交互市占率领先，并作为起草单位参与制定《人形机器人语音交互技术规范》，展现了前瞻布局与产业影响力。</w:t>
      </w:r>
    </w:p>
    <w:p w14:paraId="587865CD" w14:textId="27A46B38" w:rsidR="0056725F" w:rsidRDefault="00D4502A" w:rsidP="0056725F">
      <w:pPr>
        <w:pStyle w:val="1"/>
        <w:rPr>
          <w:rFonts w:hint="eastAsia"/>
        </w:rPr>
      </w:pPr>
      <w:r>
        <w:rPr>
          <w:rFonts w:hint="eastAsia"/>
        </w:rPr>
        <w:t>四</w:t>
      </w:r>
      <w:r w:rsidR="00B23F1D">
        <w:rPr>
          <w:rFonts w:hint="eastAsia"/>
        </w:rPr>
        <w:t>.</w:t>
      </w:r>
      <w:r w:rsidR="0056725F">
        <w:rPr>
          <w:rFonts w:hint="eastAsia"/>
        </w:rPr>
        <w:t>未来趋势与展望</w:t>
      </w:r>
    </w:p>
    <w:p w14:paraId="6224EA46" w14:textId="6C725E69" w:rsidR="0056725F" w:rsidRDefault="0056725F" w:rsidP="00B358D3">
      <w:pPr>
        <w:pStyle w:val="2"/>
        <w:rPr>
          <w:rFonts w:hint="eastAsia"/>
        </w:rPr>
      </w:pPr>
      <w:r>
        <w:rPr>
          <w:rFonts w:hint="eastAsia"/>
        </w:rPr>
        <w:t>技术趋势</w:t>
      </w:r>
    </w:p>
    <w:p w14:paraId="3B9EBE5A" w14:textId="26F645C3" w:rsidR="00621C0E" w:rsidRDefault="007C2934" w:rsidP="00270210">
      <w:pPr>
        <w:pStyle w:val="3"/>
        <w:numPr>
          <w:ilvl w:val="0"/>
          <w:numId w:val="7"/>
        </w:numPr>
        <w:rPr>
          <w:rFonts w:hint="eastAsia"/>
        </w:rPr>
      </w:pPr>
      <w:r>
        <w:rPr>
          <w:rFonts w:hint="eastAsia"/>
        </w:rPr>
        <w:t>应用模式</w:t>
      </w:r>
      <w:r w:rsidR="00621C0E">
        <w:rPr>
          <w:rFonts w:hint="eastAsia"/>
        </w:rPr>
        <w:t>：Agent崛起拉动</w:t>
      </w:r>
      <w:r w:rsidR="004E59A8">
        <w:rPr>
          <w:rFonts w:hint="eastAsia"/>
        </w:rPr>
        <w:t>需求增长</w:t>
      </w:r>
      <w:r w:rsidR="0098006A">
        <w:rPr>
          <w:rFonts w:hint="eastAsia"/>
        </w:rPr>
        <w:t xml:space="preserve"> √</w:t>
      </w:r>
    </w:p>
    <w:p w14:paraId="2C07B242" w14:textId="4DD9E7CF" w:rsidR="00621C0E" w:rsidRDefault="00621C0E" w:rsidP="00621C0E">
      <w:pPr>
        <w:rPr>
          <w:rFonts w:hint="eastAsia"/>
        </w:rPr>
      </w:pPr>
      <w:r w:rsidRPr="00F72912">
        <w:t>Agent的爆发，正是将宏大叙事转化为即时</w:t>
      </w:r>
      <w:r>
        <w:rPr>
          <w:rFonts w:hint="eastAsia"/>
        </w:rPr>
        <w:t>可被观察的商业现象</w:t>
      </w:r>
      <w:r w:rsidRPr="00F72912">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Pr>
          <w:rFonts w:hint="eastAsia"/>
        </w:rPr>
        <w:t>Agent从沙盒环境向物理网关的入驻意义重大，本质上是人工智能朝着AGI前进的一个重要进步，某种程度上标志着AI 2.0时代的开启。</w:t>
      </w:r>
    </w:p>
    <w:p w14:paraId="3E4E4799" w14:textId="77777777" w:rsidR="00621C0E" w:rsidRDefault="00621C0E" w:rsidP="00621C0E">
      <w:pPr>
        <w:rPr>
          <w:rFonts w:hint="eastAsia"/>
        </w:rPr>
      </w:pPr>
      <w:r w:rsidRPr="00352BE2">
        <w:t>单轮人机对话的平均Token消耗在数百至千级，且用户发起频率受限于人类注意力。但Agent的工作流是自主连续运转的：一个中等复杂度的企业任务（如"生成季度财报分析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基模厂面对的推理需求，已从"流量型"转向"产能型"——是可被年化预测、可被合同锁定的算力订单，而非不可预估的突发查询。</w:t>
      </w:r>
    </w:p>
    <w:p w14:paraId="5C1D8635" w14:textId="77777777" w:rsidR="00621C0E" w:rsidRDefault="00621C0E" w:rsidP="00621C0E">
      <w:pPr>
        <w:jc w:val="center"/>
        <w:rPr>
          <w:rFonts w:hint="eastAsia"/>
        </w:rPr>
      </w:pPr>
      <w:r>
        <w:rPr>
          <w:rFonts w:hint="eastAsia"/>
        </w:rPr>
        <w:t>图：Agent App一览</w:t>
      </w:r>
    </w:p>
    <w:p w14:paraId="73B27FFC" w14:textId="77777777" w:rsidR="00621C0E" w:rsidRDefault="00621C0E" w:rsidP="00621C0E">
      <w:pPr>
        <w:rPr>
          <w:rFonts w:hint="eastAsia"/>
        </w:rPr>
      </w:pPr>
      <w:r>
        <w:rPr>
          <w:noProof/>
        </w:rPr>
        <w:lastRenderedPageBreak/>
        <w:drawing>
          <wp:inline distT="0" distB="0" distL="0" distR="0" wp14:anchorId="111C0D06" wp14:editId="7C2C5C05">
            <wp:extent cx="5274310" cy="2520315"/>
            <wp:effectExtent l="0" t="0" r="2540" b="0"/>
            <wp:docPr id="228159750" name="图片 1"/>
            <wp:cNvGraphicFramePr>
              <a:graphicFrameLocks noChangeAspect="1"/>
            </wp:cNvGraphicFramePr>
            <a:graphic>
              <a:graphicData uri="http://schemas.openxmlformats.org/drawingml/2006/picture">
                <pic:pic>
                  <pic:nvPicPr>
                    <pic:cNvPr id="228159750" name=""/>
                    <pic:cNvPicPr/>
                  </pic:nvPicPr>
                  <pic:blipFill>
                    <a:blip r:embed="rId22"/>
                    <a:stretch>
                      <a:fillRect/>
                    </a:stretch>
                  </pic:blipFill>
                  <pic:spPr>
                    <a:xfrm>
                      <a:off x="0" y="0"/>
                      <a:ext cx="5274310" cy="2520315"/>
                    </a:xfrm>
                    <a:prstGeom prst="rect">
                      <a:avLst/>
                    </a:prstGeom>
                  </pic:spPr>
                </pic:pic>
              </a:graphicData>
            </a:graphic>
          </wp:inline>
        </w:drawing>
      </w:r>
    </w:p>
    <w:p w14:paraId="21E4D37F" w14:textId="77777777" w:rsidR="00621C0E" w:rsidRDefault="00621C0E" w:rsidP="00621C0E">
      <w:pPr>
        <w:rPr>
          <w:rFonts w:hint="eastAsia"/>
        </w:rPr>
      </w:pPr>
      <w:r>
        <w:rPr>
          <w:rFonts w:hint="eastAsia"/>
        </w:rPr>
        <w:t>数据来源：OpenRounter</w:t>
      </w:r>
    </w:p>
    <w:p w14:paraId="083C388F" w14:textId="77777777" w:rsidR="004E59A8" w:rsidRDefault="004E59A8" w:rsidP="00270210">
      <w:pPr>
        <w:pStyle w:val="3"/>
        <w:rPr>
          <w:rFonts w:hint="eastAsia"/>
        </w:rPr>
      </w:pPr>
      <w:r>
        <w:rPr>
          <w:rFonts w:hint="eastAsia"/>
        </w:rPr>
        <w:t xml:space="preserve">2. </w:t>
      </w:r>
      <w:r>
        <w:rPr>
          <w:rFonts w:hint="eastAsia"/>
        </w:rPr>
        <w:t>模型架构与训练范式演进：Scaling Law重现与效率优化</w:t>
      </w:r>
    </w:p>
    <w:p w14:paraId="2BA60D4F" w14:textId="6C97A7F1" w:rsidR="00621C0E" w:rsidRDefault="004E59A8" w:rsidP="004E59A8">
      <w:r>
        <w:rPr>
          <w:rFonts w:hint="eastAsia"/>
        </w:rPr>
        <w:t>混合专家模型（MoE）架构因其能在保持性能的同时显著降低推理成本，已成为行业主流架构选择。展望2026年，随着英伟达GB系列等更高性能芯片的成熟与普及，预训练阶段的Scaling Law预计将重现，模型参数量和智能上限将再上一个台阶。与此同时，强化学习的重要性日益凸显，它通过“自我生成数据+多轮迭代”的方式，成为解锁模型高级逻辑与推理能力的关键，预计2026年海内外模型厂商对强化学习的投入占比将进一步提升。为应对大模型固有的“灾难性遗忘”问题，持续学习与模型记忆技术正成为研发重点，旨在让模型具备选择性记忆机制，实现更接近人类的学习方式。</w:t>
      </w:r>
    </w:p>
    <w:p w14:paraId="6103915E" w14:textId="72E489D6" w:rsidR="004E59A8" w:rsidRDefault="004E59A8" w:rsidP="00270210">
      <w:pPr>
        <w:pStyle w:val="3"/>
        <w:rPr>
          <w:rFonts w:hint="eastAsia"/>
        </w:rPr>
      </w:pPr>
      <w:r>
        <w:rPr>
          <w:rFonts w:hint="eastAsia"/>
        </w:rPr>
        <w:t>3.</w:t>
      </w:r>
      <w:r w:rsidRPr="004E59A8">
        <w:rPr>
          <w:rFonts w:hint="eastAsia"/>
        </w:rPr>
        <w:t xml:space="preserve"> </w:t>
      </w:r>
      <w:r>
        <w:rPr>
          <w:rFonts w:hint="eastAsia"/>
        </w:rPr>
        <w:t>多模态融合与物理世界理解：从感知到生成一体化</w:t>
      </w:r>
    </w:p>
    <w:p w14:paraId="18AF45A9" w14:textId="0AA5BAD4" w:rsidR="004E59A8" w:rsidRPr="004E59A8" w:rsidRDefault="004E59A8" w:rsidP="004E59A8">
      <w:pPr>
        <w:rPr>
          <w:rFonts w:hint="eastAsia"/>
        </w:rPr>
      </w:pPr>
      <w:r>
        <w:rPr>
          <w:rFonts w:hint="eastAsia"/>
        </w:rPr>
        <w:t>原生多模态理解与生成能力持续深化，已成为大模型的关键基础设施与交互界面2。技术前沿正从早期的模态对齐向“理解-生成一体化”演进，例如通过特定架构将视觉理解与生成结合，大幅提高模型的一致性与可编辑性，推动多模态应用从随机“抽卡”进入确定性创作阶段。另一方面，“世界模型”正从学界走向产业落地，旨在让AI理解物理世界的因果规律。例如，通过生成可交互的、符合物理法则的视频环境或直接创建可编辑的3D场景，为机器人训练、复杂模拟等应用奠定</w:t>
      </w:r>
      <w:r>
        <w:rPr>
          <w:rFonts w:hint="eastAsia"/>
        </w:rPr>
        <w:t>基础</w:t>
      </w:r>
    </w:p>
    <w:p w14:paraId="6DE6B60C" w14:textId="5521BEE8" w:rsidR="0056725F" w:rsidRDefault="0056725F" w:rsidP="00B358D3">
      <w:pPr>
        <w:pStyle w:val="2"/>
        <w:rPr>
          <w:rFonts w:hint="eastAsia"/>
        </w:rPr>
      </w:pPr>
      <w:r>
        <w:rPr>
          <w:rFonts w:hint="eastAsia"/>
        </w:rPr>
        <w:t>商业趋势</w:t>
      </w:r>
    </w:p>
    <w:p w14:paraId="6069BB8D" w14:textId="15DC21C9" w:rsidR="004E59A8" w:rsidRDefault="004E59A8" w:rsidP="00270210">
      <w:pPr>
        <w:pStyle w:val="3"/>
        <w:rPr>
          <w:rFonts w:hint="eastAsia"/>
        </w:rPr>
      </w:pPr>
      <w:r>
        <w:rPr>
          <w:rFonts w:hint="eastAsia"/>
        </w:rPr>
        <w:t>1. 商业化落地：从试点到规模化</w:t>
      </w:r>
      <w:r w:rsidR="00270210">
        <w:rPr>
          <w:rFonts w:hint="eastAsia"/>
        </w:rPr>
        <w:t>展开至具体细分行业</w:t>
      </w:r>
    </w:p>
    <w:p w14:paraId="1A60CE5A" w14:textId="77777777" w:rsidR="00270210" w:rsidRDefault="004E59A8" w:rsidP="004E59A8">
      <w:r>
        <w:rPr>
          <w:rFonts w:hint="eastAsia"/>
        </w:rPr>
        <w:t>2025年以来，全球大模型Token调用量呈现指数级增长，例如2025年第四季度单周峰值已突破7万亿，较前一季度峰值接近翻倍，标志着AI产业正加速从技术验证走向规模化应用。商业化落地已进入规模化复制阶段，尤其在金融、公共服务、能源等行</w:t>
      </w:r>
      <w:r>
        <w:rPr>
          <w:rFonts w:hint="eastAsia"/>
        </w:rPr>
        <w:lastRenderedPageBreak/>
        <w:t>业，大模型解决方案开始批量落地，成为行业收入增长的核心驱动力。</w:t>
      </w:r>
    </w:p>
    <w:p w14:paraId="4BAA77BB" w14:textId="0ED90BDE" w:rsidR="004E59A8" w:rsidRDefault="00270210" w:rsidP="004E59A8">
      <w:pPr>
        <w:rPr>
          <w:rFonts w:hint="eastAsia"/>
        </w:rPr>
      </w:pPr>
      <w:r>
        <w:rPr>
          <w:rFonts w:hint="eastAsia"/>
          <w:noProof/>
        </w:rPr>
        <w:drawing>
          <wp:inline distT="0" distB="0" distL="0" distR="0" wp14:anchorId="37A90DD4" wp14:editId="435D4151">
            <wp:extent cx="5274310" cy="3055620"/>
            <wp:effectExtent l="0" t="0" r="2540" b="0"/>
            <wp:docPr id="410389910" name="图片 1" descr="各行业AI导入率"/>
            <wp:cNvGraphicFramePr>
              <a:graphicFrameLocks noChangeAspect="1"/>
            </wp:cNvGraphicFramePr>
            <a:graphic>
              <a:graphicData uri="http://schemas.openxmlformats.org/drawingml/2006/picture">
                <pic:pic>
                  <pic:nvPicPr>
                    <pic:cNvPr id="0" name="Picture 1" descr="各行业AI导入率"/>
                    <pic:cNvPicPr>
                      <a:picLocks noChangeAspect="1" noChangeArrowheads="1"/>
                    </pic:cNvPicPr>
                  </pic:nvPicPr>
                  <pic:blipFill>
                    <a:blip r:embed="rId23" cstate="print">
                      <a:extLst>
                        <a:ext uri="{28A0092B-C50C-407E-A947-70E740481C1C}">
                          <ns8:useLocalDpi val="0"/>
                        </a:ext>
                      </a:extLst>
                    </a:blip>
                    <a:srcRect/>
                    <a:stretch>
                      <a:fillRect/>
                    </a:stretch>
                  </pic:blipFill>
                  <pic:spPr bwMode="auto">
                    <a:xfrm>
                      <a:off x="0" y="0"/>
                      <a:ext cx="5274310" cy="3055620"/>
                    </a:xfrm>
                    <a:prstGeom prst="rect">
                      <a:avLst/>
                    </a:prstGeom>
                    <a:noFill/>
                    <a:ln>
                      <a:noFill/>
                    </a:ln>
                  </pic:spPr>
                </pic:pic>
              </a:graphicData>
            </a:graphic>
          </wp:inline>
        </w:drawing>
      </w:r>
      <w:r w:rsidR="004E59A8">
        <w:rPr>
          <w:rFonts w:hint="eastAsia"/>
        </w:rPr>
        <w:t>市场增长动力清晰，据预测，全球生成式AI收入总市场规模将从2023年的929亿美元增长至2032年的1.62万亿美元，年复合增长率约37%。</w:t>
      </w:r>
    </w:p>
    <w:p w14:paraId="65C018E6" w14:textId="77777777" w:rsidR="004E59A8" w:rsidRDefault="004E59A8" w:rsidP="00270210">
      <w:pPr>
        <w:pStyle w:val="3"/>
        <w:rPr>
          <w:rFonts w:hint="eastAsia"/>
        </w:rPr>
      </w:pPr>
      <w:r>
        <w:rPr>
          <w:rFonts w:hint="eastAsia"/>
        </w:rPr>
        <w:t>2. 竞争与效率：格局收敛与盈利拐点</w:t>
      </w:r>
    </w:p>
    <w:p w14:paraId="62873704" w14:textId="1E310CC9" w:rsidR="00621C0E" w:rsidRPr="00621C0E" w:rsidRDefault="004E59A8" w:rsidP="004E59A8">
      <w:pPr>
        <w:rPr>
          <w:rFonts w:hint="eastAsia"/>
        </w:rPr>
      </w:pPr>
      <w:r>
        <w:rPr>
          <w:rFonts w:hint="eastAsia"/>
        </w:rPr>
        <w:t>市场竞争正快速收敛至头部厂商，领先厂商如OpenAI、Anthropic已展现出强劲的商业化爆发力，营收规模实现数量级跨越。在此背景下，商业化效率已成为核心估值锚。资本市场的关注点已从最初的技术叙事，转向收入质量、毛利率改善、现金流管理等本质指标。能否展示出清晰的盈利拐点预期，是支撑长期市值的关键。与此同时，模型调用成本随着时间推移持续下降，相同智能水平下的使用门槛不断降低，进一步推动了应用生态的繁荣。</w:t>
      </w:r>
    </w:p>
    <w:p w14:paraId="4320D140" w14:textId="61896125" w:rsidR="0056725F" w:rsidRDefault="00B358D3" w:rsidP="00B358D3">
      <w:pPr>
        <w:pStyle w:val="2"/>
      </w:pPr>
      <w:r>
        <w:rPr>
          <w:rFonts w:hint="eastAsia"/>
        </w:rPr>
        <w:t>战略选项和行动建议</w:t>
      </w:r>
    </w:p>
    <w:p w14:paraId="63AB9431" w14:textId="77777777" w:rsidR="00F06836" w:rsidRDefault="00F06836" w:rsidP="00522A5F">
      <w:pPr>
        <w:pStyle w:val="3"/>
        <w:rPr>
          <w:rFonts w:hint="eastAsia"/>
        </w:rPr>
      </w:pPr>
      <w:r>
        <w:rPr>
          <w:rFonts w:hint="eastAsia"/>
        </w:rPr>
        <w:t>一、 政策参与者：构建生态与引导规范</w:t>
      </w:r>
    </w:p>
    <w:p w14:paraId="4DC76334" w14:textId="5726C08C" w:rsidR="00F06836" w:rsidRDefault="00F06836" w:rsidP="00F06836">
      <w:pPr>
        <w:rPr>
          <w:rFonts w:hint="eastAsia"/>
        </w:rPr>
      </w:pPr>
      <w:r>
        <w:rPr>
          <w:rFonts w:hint="eastAsia"/>
        </w:rPr>
        <w:t>战略定位：作为产业顶层设计者与规则制定者，政策参与者的核心目标是构建健康、自主、可持续的产业生态，确保技术发展服务于国家战略与公共利益。</w:t>
      </w:r>
    </w:p>
    <w:p w14:paraId="23EF0EC1" w14:textId="7AA2EB38" w:rsidR="00F06836" w:rsidRDefault="00F06836" w:rsidP="00F06836">
      <w:pPr>
        <w:rPr>
          <w:rFonts w:hint="eastAsia"/>
        </w:rPr>
      </w:pPr>
      <w:r>
        <w:rPr>
          <w:rFonts w:hint="eastAsia"/>
        </w:rPr>
        <w:t>战略选项与行动建议：</w:t>
      </w:r>
    </w:p>
    <w:p w14:paraId="2515D2AA" w14:textId="6BE63C44" w:rsidR="00F06836" w:rsidRDefault="00F06836" w:rsidP="00F06836">
      <w:pPr>
        <w:pStyle w:val="a9"/>
        <w:numPr>
          <w:ilvl w:val="0"/>
          <w:numId w:val="8"/>
        </w:numPr>
        <w:rPr>
          <w:rFonts w:hint="eastAsia"/>
        </w:rPr>
      </w:pPr>
      <w:r>
        <w:rPr>
          <w:rFonts w:hint="eastAsia"/>
        </w:rPr>
        <w:t>定</w:t>
      </w:r>
      <w:r>
        <w:rPr>
          <w:rFonts w:hint="eastAsia"/>
        </w:rPr>
        <w:t>立</w:t>
      </w:r>
      <w:r>
        <w:rPr>
          <w:rFonts w:hint="eastAsia"/>
        </w:rPr>
        <w:t>标准</w:t>
      </w:r>
      <w:r>
        <w:rPr>
          <w:rFonts w:hint="eastAsia"/>
        </w:rPr>
        <w:t>、构筑</w:t>
      </w:r>
      <w:r>
        <w:rPr>
          <w:rFonts w:hint="eastAsia"/>
        </w:rPr>
        <w:t>底座：加快推动大模型标准体系建设，为技术研发与产品互联互通提供依据。同时，将“算力网”与“新型电网”的联动建设提升至基础设施高度，为核心生产要素的成本边际下降奠定基础。行动上，应优先推动条件成熟的“六张网”重大工程项目开工，形成有效投资拉动。</w:t>
      </w:r>
    </w:p>
    <w:p w14:paraId="513F8159" w14:textId="018D7386" w:rsidR="00F06836" w:rsidRDefault="00F06836" w:rsidP="00F06836">
      <w:pPr>
        <w:pStyle w:val="a9"/>
        <w:numPr>
          <w:ilvl w:val="0"/>
          <w:numId w:val="8"/>
        </w:numPr>
        <w:rPr>
          <w:rFonts w:hint="eastAsia"/>
        </w:rPr>
      </w:pPr>
      <w:r>
        <w:rPr>
          <w:rFonts w:hint="eastAsia"/>
        </w:rPr>
        <w:lastRenderedPageBreak/>
        <w:t>促</w:t>
      </w:r>
      <w:r>
        <w:rPr>
          <w:rFonts w:hint="eastAsia"/>
        </w:rPr>
        <w:t>进模型</w:t>
      </w:r>
      <w:r>
        <w:rPr>
          <w:rFonts w:hint="eastAsia"/>
        </w:rPr>
        <w:t>自主、</w:t>
      </w:r>
      <w:r>
        <w:rPr>
          <w:rFonts w:hint="eastAsia"/>
        </w:rPr>
        <w:t>确保科技安全</w:t>
      </w:r>
      <w:r>
        <w:rPr>
          <w:rFonts w:hint="eastAsia"/>
        </w:rPr>
        <w:t>：大力支持基于全国产算力训练的大模型研发与应用，保障AI核心技术底座自主可控。对承担重大项目的企业给予研发补助与税收支持，巩固“人工智能国家队”的产业地位。</w:t>
      </w:r>
    </w:p>
    <w:p w14:paraId="0FCB8820" w14:textId="463A47DC" w:rsidR="00F06836" w:rsidRDefault="00F06836" w:rsidP="00F06836">
      <w:pPr>
        <w:pStyle w:val="a9"/>
        <w:numPr>
          <w:ilvl w:val="0"/>
          <w:numId w:val="8"/>
        </w:numPr>
      </w:pPr>
      <w:r>
        <w:rPr>
          <w:rFonts w:hint="eastAsia"/>
        </w:rPr>
        <w:t>拓</w:t>
      </w:r>
      <w:r>
        <w:rPr>
          <w:rFonts w:hint="eastAsia"/>
        </w:rPr>
        <w:t>宽应用</w:t>
      </w:r>
      <w:r>
        <w:rPr>
          <w:rFonts w:hint="eastAsia"/>
        </w:rPr>
        <w:t>场景、</w:t>
      </w:r>
      <w:r>
        <w:rPr>
          <w:rFonts w:hint="eastAsia"/>
        </w:rPr>
        <w:t>重视相关</w:t>
      </w:r>
      <w:r>
        <w:rPr>
          <w:rFonts w:hint="eastAsia"/>
        </w:rPr>
        <w:t>治理：全面实施“人工智能+”行动，引导大模型在工业、教育、医疗、政务等关键领域深度融合。同步完善人工智能治理框架，在数据使用、算法公平与伦理规范方面前瞻立法，实现发展与安全的平衡。</w:t>
      </w:r>
    </w:p>
    <w:p w14:paraId="2CDA25A4" w14:textId="77777777" w:rsidR="00522A5F" w:rsidRDefault="00522A5F" w:rsidP="00522A5F">
      <w:pPr>
        <w:pStyle w:val="3"/>
        <w:rPr>
          <w:rFonts w:hint="eastAsia"/>
        </w:rPr>
      </w:pPr>
      <w:r>
        <w:rPr>
          <w:rFonts w:hint="eastAsia"/>
        </w:rPr>
        <w:t>二、 行业龙头：巩固壁垒与定义赛道</w:t>
      </w:r>
    </w:p>
    <w:p w14:paraId="658F9FA3" w14:textId="1AD6180F" w:rsidR="00522A5F" w:rsidRDefault="00522A5F" w:rsidP="00522A5F">
      <w:pPr>
        <w:rPr>
          <w:rFonts w:hint="eastAsia"/>
        </w:rPr>
      </w:pPr>
      <w:r>
        <w:rPr>
          <w:rFonts w:hint="eastAsia"/>
        </w:rPr>
        <w:t>战略定位：作为技术引领与市场定义者，行业龙头的目标是建立并扩大全栈技术优势，主导平台生态，同时将技术优势高效转化为商业回报。</w:t>
      </w:r>
    </w:p>
    <w:p w14:paraId="68A65D1B" w14:textId="2265ACF3" w:rsidR="00522A5F" w:rsidRDefault="00522A5F" w:rsidP="00522A5F">
      <w:pPr>
        <w:rPr>
          <w:rFonts w:hint="eastAsia"/>
        </w:rPr>
      </w:pPr>
      <w:r>
        <w:rPr>
          <w:rFonts w:hint="eastAsia"/>
        </w:rPr>
        <w:t>战略选项与行动建议：</w:t>
      </w:r>
    </w:p>
    <w:p w14:paraId="514ED4A3" w14:textId="7991D32C" w:rsidR="00522A5F" w:rsidRDefault="00522A5F" w:rsidP="00522A5F">
      <w:pPr>
        <w:pStyle w:val="a9"/>
        <w:numPr>
          <w:ilvl w:val="0"/>
          <w:numId w:val="9"/>
        </w:numPr>
        <w:rPr>
          <w:rFonts w:hint="eastAsia"/>
        </w:rPr>
      </w:pPr>
      <w:r>
        <w:rPr>
          <w:rFonts w:hint="eastAsia"/>
        </w:rPr>
        <w:t>技术纵深战略：持续加大研发投入，保持在算法、算力、数据等核心要素上的领先性。行业龙头202</w:t>
      </w:r>
      <w:r>
        <w:rPr>
          <w:rFonts w:hint="eastAsia"/>
        </w:rPr>
        <w:t>6</w:t>
      </w:r>
      <w:r>
        <w:rPr>
          <w:rFonts w:hint="eastAsia"/>
        </w:rPr>
        <w:t>年研发投入占营收比重可接近20%，致力于实现整体技术指标对标全球第一梯队。行动上，应聚焦于提升大模型的通用能力与多模态能力，并大力投入智能体（Agent）开发平台，构建开发者生态。</w:t>
      </w:r>
    </w:p>
    <w:p w14:paraId="58404668" w14:textId="3A8FCB0F" w:rsidR="00522A5F" w:rsidRDefault="00522A5F" w:rsidP="00522A5F">
      <w:pPr>
        <w:pStyle w:val="a9"/>
        <w:numPr>
          <w:ilvl w:val="0"/>
          <w:numId w:val="9"/>
        </w:numPr>
        <w:rPr>
          <w:rFonts w:hint="eastAsia"/>
        </w:rPr>
      </w:pPr>
      <w:r>
        <w:rPr>
          <w:rFonts w:hint="eastAsia"/>
        </w:rPr>
        <w:t>垂直深耕战略：利用</w:t>
      </w:r>
      <w:r>
        <w:rPr>
          <w:rFonts w:hint="eastAsia"/>
        </w:rPr>
        <w:t>自身行业优势地位</w:t>
      </w:r>
      <w:r>
        <w:rPr>
          <w:rFonts w:hint="eastAsia"/>
        </w:rPr>
        <w:t>形成的标杆效应，将经过验证的模型能力快速向B端和C端复制。例如，将教育、医疗</w:t>
      </w:r>
      <w:r>
        <w:rPr>
          <w:rFonts w:hint="eastAsia"/>
        </w:rPr>
        <w:t>、金融、学术</w:t>
      </w:r>
      <w:r>
        <w:rPr>
          <w:rFonts w:hint="eastAsia"/>
        </w:rPr>
        <w:t>等领域已验证的解决方案，通过开放平台或行业模型授权方式，实现规模化收入。</w:t>
      </w:r>
    </w:p>
    <w:p w14:paraId="2C059BE9" w14:textId="34D9F1C7" w:rsidR="00F06836" w:rsidRDefault="00522A5F" w:rsidP="00522A5F">
      <w:pPr>
        <w:pStyle w:val="a9"/>
        <w:numPr>
          <w:ilvl w:val="0"/>
          <w:numId w:val="9"/>
        </w:numPr>
      </w:pPr>
      <w:r>
        <w:rPr>
          <w:rFonts w:hint="eastAsia"/>
        </w:rPr>
        <w:t>业务优化与出海战略：主动优化业务结构，对定制化程度高、回款慢的项目采取审慎策略，聚焦于高毛利、强现金流的C端硬件与B端解决方案。同时，将出海作为第二增长曲线，聚焦东南亚、中东等关键市场，实现营收的规模化增长。</w:t>
      </w:r>
    </w:p>
    <w:p w14:paraId="7BB7F686" w14:textId="77777777" w:rsidR="000B5933" w:rsidRDefault="000B5933" w:rsidP="000B5933">
      <w:pPr>
        <w:pStyle w:val="3"/>
        <w:rPr>
          <w:rFonts w:hint="eastAsia"/>
        </w:rPr>
      </w:pPr>
      <w:r>
        <w:rPr>
          <w:rFonts w:hint="eastAsia"/>
        </w:rPr>
        <w:t>三、 新进企业：聚焦场景与差异化竞争</w:t>
      </w:r>
    </w:p>
    <w:p w14:paraId="5B89ED3F" w14:textId="3E94BF97" w:rsidR="000B5933" w:rsidRPr="000B5933" w:rsidRDefault="000B5933" w:rsidP="000B5933">
      <w:pPr>
        <w:rPr>
          <w:rFonts w:hint="eastAsia"/>
        </w:rPr>
      </w:pPr>
      <w:r>
        <w:rPr>
          <w:rFonts w:hint="eastAsia"/>
        </w:rPr>
        <w:t>战略定位：作为市场的挑战者与创新者，新进企业需避免与龙头在通用大模型上正面竞争，而应凭借灵活性与专注度，在细分领域建立绝对优势。</w:t>
      </w:r>
    </w:p>
    <w:p w14:paraId="4922757D" w14:textId="783FC5A1" w:rsidR="000B5933" w:rsidRDefault="000B5933" w:rsidP="000B5933">
      <w:pPr>
        <w:rPr>
          <w:rFonts w:hint="eastAsia"/>
        </w:rPr>
      </w:pPr>
      <w:r>
        <w:rPr>
          <w:rFonts w:hint="eastAsia"/>
        </w:rPr>
        <w:t>战略选项与行动建议：</w:t>
      </w:r>
    </w:p>
    <w:p w14:paraId="4A02260F" w14:textId="6B86EB1B" w:rsidR="000B5933" w:rsidRDefault="000B5933" w:rsidP="000B5933">
      <w:pPr>
        <w:pStyle w:val="a9"/>
        <w:numPr>
          <w:ilvl w:val="0"/>
          <w:numId w:val="10"/>
        </w:numPr>
        <w:rPr>
          <w:rFonts w:hint="eastAsia"/>
        </w:rPr>
      </w:pPr>
      <w:r>
        <w:rPr>
          <w:rFonts w:hint="eastAsia"/>
        </w:rPr>
        <w:t>场景专精战略：选择一个需求明确、行业Know-how深的垂直赛道（如医疗康养、工业质检、金融风控）进行饱和攻击。战略核心是成为该领域“最懂业务”的AI公司，而非拥有最大参数模型的公司。可参考人形机器人领域中，专注于医疗康养或工业重载的专精特新企业成长路径。</w:t>
      </w:r>
    </w:p>
    <w:p w14:paraId="4F7AEBA2" w14:textId="77777777" w:rsidR="000B5933" w:rsidRDefault="000B5933" w:rsidP="000B5933">
      <w:pPr>
        <w:pStyle w:val="a9"/>
        <w:numPr>
          <w:ilvl w:val="0"/>
          <w:numId w:val="10"/>
        </w:numPr>
        <w:rPr>
          <w:rFonts w:hint="eastAsia"/>
        </w:rPr>
      </w:pPr>
      <w:r>
        <w:rPr>
          <w:rFonts w:hint="eastAsia"/>
        </w:rPr>
        <w:t>生态依附战略：积极融入头部企业构建的开放平台生态。利用龙头提供的MaaS（模型即服务）底座和开发工具，快速构建面向特定场景的智能体应用，降低底层研发成本，共享生态流量。</w:t>
      </w:r>
    </w:p>
    <w:p w14:paraId="68EBC54C" w14:textId="22428411" w:rsidR="000B5933" w:rsidRDefault="000B5933" w:rsidP="000B5933">
      <w:pPr>
        <w:pStyle w:val="a9"/>
        <w:numPr>
          <w:ilvl w:val="0"/>
          <w:numId w:val="10"/>
        </w:numPr>
      </w:pPr>
      <w:r>
        <w:rPr>
          <w:rFonts w:hint="eastAsia"/>
        </w:rPr>
        <w:t>轻资产敏捷战略：在商业模式上，优先采用SaaS订阅、API调用量计费等轻资产、高粘性的模式。在研发上，注重工程化落地能力与客户需求反馈的快速迭代，以</w:t>
      </w:r>
      <w:r>
        <w:rPr>
          <w:rFonts w:hint="eastAsia"/>
        </w:rPr>
        <w:t>敏捷开发，快速反馈</w:t>
      </w:r>
      <w:r>
        <w:rPr>
          <w:rFonts w:hint="eastAsia"/>
        </w:rPr>
        <w:t>的方式验证产品市场匹配度。</w:t>
      </w:r>
    </w:p>
    <w:p w14:paraId="7F14E471" w14:textId="77777777" w:rsidR="000B5933" w:rsidRDefault="000B5933" w:rsidP="000B5933">
      <w:pPr>
        <w:pStyle w:val="3"/>
        <w:rPr>
          <w:rFonts w:hint="eastAsia"/>
        </w:rPr>
      </w:pPr>
      <w:r>
        <w:rPr>
          <w:rFonts w:hint="eastAsia"/>
        </w:rPr>
        <w:lastRenderedPageBreak/>
        <w:t>四、 下游用户：积极融合与价值重构</w:t>
      </w:r>
    </w:p>
    <w:p w14:paraId="34D555AD" w14:textId="5D52C0E7" w:rsidR="000B5933" w:rsidRDefault="000B5933" w:rsidP="000B5933">
      <w:pPr>
        <w:rPr>
          <w:rFonts w:hint="eastAsia"/>
        </w:rPr>
      </w:pPr>
      <w:r>
        <w:rPr>
          <w:rFonts w:hint="eastAsia"/>
        </w:rPr>
        <w:t>战略定位：作为技术应用方与价值实现者，下游用户（企业/政府）的目标是利用大模型降本增效、创新商业模式或提升公共服务能力。</w:t>
      </w:r>
    </w:p>
    <w:p w14:paraId="1E918BBE" w14:textId="4ABF55A7" w:rsidR="000B5933" w:rsidRDefault="000B5933" w:rsidP="000B5933">
      <w:pPr>
        <w:rPr>
          <w:rFonts w:hint="eastAsia"/>
        </w:rPr>
      </w:pPr>
      <w:r>
        <w:rPr>
          <w:rFonts w:hint="eastAsia"/>
        </w:rPr>
        <w:t>战略选项与行动建议：</w:t>
      </w:r>
    </w:p>
    <w:p w14:paraId="50AAC0EE" w14:textId="77777777" w:rsidR="000B5933" w:rsidRDefault="000B5933" w:rsidP="000B5933">
      <w:pPr>
        <w:pStyle w:val="a9"/>
        <w:numPr>
          <w:ilvl w:val="0"/>
          <w:numId w:val="11"/>
        </w:numPr>
        <w:rPr>
          <w:rFonts w:hint="eastAsia"/>
        </w:rPr>
      </w:pPr>
      <w:r>
        <w:rPr>
          <w:rFonts w:hint="eastAsia"/>
        </w:rPr>
        <w:t>需求评估与路径选择：首先内部评估数据基础、业务痛点和投入预算。对于IT能力强的头部企业，可考虑采购通用大模型进行私有化部署与精调；对于大多数企业，优先选择行业龙头或垂直厂商提供的标准化解决方案或API服务。</w:t>
      </w:r>
    </w:p>
    <w:p w14:paraId="41B83A2F" w14:textId="3B0199FD" w:rsidR="000B5933" w:rsidRDefault="000B5933" w:rsidP="000B5933">
      <w:pPr>
        <w:pStyle w:val="a9"/>
        <w:numPr>
          <w:ilvl w:val="0"/>
          <w:numId w:val="11"/>
        </w:numPr>
        <w:rPr>
          <w:rFonts w:hint="eastAsia"/>
        </w:rPr>
      </w:pPr>
      <w:r>
        <w:rPr>
          <w:rFonts w:hint="eastAsia"/>
        </w:rPr>
        <w:t>聚焦“Token经营”转型：对于拥有</w:t>
      </w:r>
      <w:r>
        <w:rPr>
          <w:rFonts w:hint="eastAsia"/>
        </w:rPr>
        <w:t>规模</w:t>
      </w:r>
      <w:r>
        <w:rPr>
          <w:rFonts w:hint="eastAsia"/>
        </w:rPr>
        <w:t>用户</w:t>
      </w:r>
      <w:r>
        <w:rPr>
          <w:rFonts w:hint="eastAsia"/>
        </w:rPr>
        <w:t>客群</w:t>
      </w:r>
      <w:r>
        <w:rPr>
          <w:rFonts w:hint="eastAsia"/>
        </w:rPr>
        <w:t>和</w:t>
      </w:r>
      <w:r>
        <w:rPr>
          <w:rFonts w:hint="eastAsia"/>
        </w:rPr>
        <w:t>互联网</w:t>
      </w:r>
      <w:r>
        <w:rPr>
          <w:rFonts w:hint="eastAsia"/>
        </w:rPr>
        <w:t>资源的企业，战略重点应是从传统的流量经营向“Token经营”转型，即基于大模型能力提供智能服务</w:t>
      </w:r>
      <w:r>
        <w:rPr>
          <w:rFonts w:hint="eastAsia"/>
        </w:rPr>
        <w:t>和业务改造</w:t>
      </w:r>
      <w:r>
        <w:rPr>
          <w:rFonts w:hint="eastAsia"/>
        </w:rPr>
        <w:t>，目标实现算力与智能服务收入的</w:t>
      </w:r>
      <w:r>
        <w:rPr>
          <w:rFonts w:hint="eastAsia"/>
        </w:rPr>
        <w:t>第二曲线上扬，完成AI时代产业赋能</w:t>
      </w:r>
      <w:r>
        <w:rPr>
          <w:rFonts w:hint="eastAsia"/>
        </w:rPr>
        <w:t>。</w:t>
      </w:r>
    </w:p>
    <w:p w14:paraId="0AA912BF" w14:textId="539D011A" w:rsidR="000B5933" w:rsidRDefault="000B5933" w:rsidP="000B5933">
      <w:pPr>
        <w:pStyle w:val="a9"/>
        <w:numPr>
          <w:ilvl w:val="0"/>
          <w:numId w:val="11"/>
        </w:numPr>
      </w:pPr>
      <w:r>
        <w:rPr>
          <w:rFonts w:hint="eastAsia"/>
        </w:rPr>
        <w:t>成本管控与人才储备：密切关注算力成本上升趋势，在采购云服务或算力时考虑多元化供应商以平衡成本与安全。同时，启动内部员工的AI技能培训计划，培养一批既懂业务又懂AI的复合型人才，确保技术能用、好用。</w:t>
      </w:r>
    </w:p>
    <w:p w14:paraId="30C58128" w14:textId="77777777" w:rsidR="000B5933" w:rsidRDefault="000B5933" w:rsidP="000B5933">
      <w:pPr>
        <w:pStyle w:val="3"/>
        <w:rPr>
          <w:rFonts w:hint="eastAsia"/>
        </w:rPr>
      </w:pPr>
      <w:r>
        <w:rPr>
          <w:rFonts w:hint="eastAsia"/>
        </w:rPr>
        <w:t>五、 投资方：前瞻布局与阶段匹配</w:t>
      </w:r>
    </w:p>
    <w:p w14:paraId="154D6677" w14:textId="77B9D907" w:rsidR="000B5933" w:rsidRDefault="000B5933" w:rsidP="000B5933">
      <w:pPr>
        <w:rPr>
          <w:rFonts w:hint="eastAsia"/>
        </w:rPr>
      </w:pPr>
      <w:r>
        <w:rPr>
          <w:rFonts w:hint="eastAsia"/>
        </w:rPr>
        <w:t>战略定位：作为产业发展的资本助推器与价值发现者，投资方需基于产业不同发展阶段的风险收益特征，进行系统性布局。</w:t>
      </w:r>
    </w:p>
    <w:p w14:paraId="775F99F4" w14:textId="2FC7EA23" w:rsidR="000B5933" w:rsidRDefault="000B5933" w:rsidP="000B5933">
      <w:pPr>
        <w:rPr>
          <w:rFonts w:hint="eastAsia"/>
        </w:rPr>
      </w:pPr>
      <w:r>
        <w:rPr>
          <w:rFonts w:hint="eastAsia"/>
        </w:rPr>
        <w:t>战略选项与行动建议：</w:t>
      </w:r>
    </w:p>
    <w:p w14:paraId="29A22BD7" w14:textId="77777777" w:rsidR="000B5933" w:rsidRDefault="000B5933" w:rsidP="000B5933">
      <w:pPr>
        <w:rPr>
          <w:rFonts w:hint="eastAsia"/>
        </w:rPr>
      </w:pPr>
      <w:r>
        <w:rPr>
          <w:rFonts w:hint="eastAsia"/>
        </w:rPr>
        <w:t>分阶段布局策略：</w:t>
      </w:r>
    </w:p>
    <w:p w14:paraId="4D7896DE" w14:textId="236E1FA7" w:rsidR="000B5933" w:rsidRDefault="000B5933" w:rsidP="000B5933">
      <w:pPr>
        <w:pStyle w:val="a9"/>
        <w:numPr>
          <w:ilvl w:val="0"/>
          <w:numId w:val="12"/>
        </w:numPr>
        <w:rPr>
          <w:rFonts w:hint="eastAsia"/>
        </w:rPr>
      </w:pPr>
      <w:r>
        <w:rPr>
          <w:rFonts w:hint="eastAsia"/>
        </w:rPr>
        <w:t>早期/VC阶段：聚焦技术前沿，投资于具身智能大模型、高端传感、下一代AI芯片架构等可能占据未来“制高点”的初创团队，发挥耐心资本作用。</w:t>
      </w:r>
    </w:p>
    <w:p w14:paraId="2640B298" w14:textId="7761FE29" w:rsidR="000B5933" w:rsidRDefault="000B5933" w:rsidP="000B5933">
      <w:pPr>
        <w:pStyle w:val="a9"/>
        <w:numPr>
          <w:ilvl w:val="0"/>
          <w:numId w:val="12"/>
        </w:numPr>
        <w:rPr>
          <w:rFonts w:hint="eastAsia"/>
        </w:rPr>
      </w:pPr>
      <w:r>
        <w:rPr>
          <w:rFonts w:hint="eastAsia"/>
        </w:rPr>
        <w:t>成长期/PE阶段：重点布局已实现关键技术突破、切入头部供应链的上游核心环节企业，如AI芯片、高速光模块/光芯片、高质量训练数据提供商等，这些领域技术壁垒高，国产替代逻辑清晰，业绩兑现快。</w:t>
      </w:r>
    </w:p>
    <w:p w14:paraId="1B1032EF" w14:textId="77777777" w:rsidR="000B5933" w:rsidRDefault="000B5933" w:rsidP="000B5933">
      <w:pPr>
        <w:pStyle w:val="a9"/>
        <w:numPr>
          <w:ilvl w:val="0"/>
          <w:numId w:val="12"/>
        </w:numPr>
        <w:rPr>
          <w:rFonts w:hint="eastAsia"/>
        </w:rPr>
      </w:pPr>
      <w:r>
        <w:rPr>
          <w:rFonts w:hint="eastAsia"/>
        </w:rPr>
        <w:t>成熟期/二级市场：持续跟踪已实现规模化营收的行业龙头，以及在中游平台或下游细分场景中建立起强大护城河的公司。关注其技术迭代、成本控制与商业化落地能力。</w:t>
      </w:r>
    </w:p>
    <w:p w14:paraId="577EB9C3" w14:textId="77777777" w:rsidR="000B5933" w:rsidRDefault="000B5933" w:rsidP="000B5933">
      <w:pPr>
        <w:rPr>
          <w:rFonts w:hint="eastAsia"/>
        </w:rPr>
      </w:pPr>
      <w:r>
        <w:rPr>
          <w:rFonts w:hint="eastAsia"/>
        </w:rPr>
        <w:t>产业链价值投资：沿产业链进行系统化配置。上游关注算力基础设施（芯片、光模块）的确定性机会；中游关注模型能力与平台生态的领先者；下游关注在工业、医疗、汽车等领域率先实现商业闭环的应用厂商。</w:t>
      </w:r>
    </w:p>
    <w:p w14:paraId="5FF37262" w14:textId="33A95DDC" w:rsidR="000B5933" w:rsidRPr="00F06836" w:rsidRDefault="000B5933" w:rsidP="000B5933">
      <w:pPr>
        <w:rPr>
          <w:rFonts w:hint="eastAsia"/>
        </w:rPr>
      </w:pPr>
      <w:r>
        <w:rPr>
          <w:rFonts w:hint="eastAsia"/>
        </w:rPr>
        <w:t>风险识别与管理：警惕技术路线快速迭代、行业竞争加剧及地缘政治带来的供应链风险。投资决策应基于深度的技术尽调与市场验证，优先选择团队背景扎实、客户订单可见度高、现金流稳健的企业。</w:t>
      </w:r>
    </w:p>
    <w:p w14:paraId="31E29365" w14:textId="36DB2C81" w:rsidR="00715D18" w:rsidRDefault="00715D18" w:rsidP="00715D18">
      <w:pPr>
        <w:pStyle w:val="2"/>
      </w:pPr>
      <w:r>
        <w:rPr>
          <w:rFonts w:hint="eastAsia"/>
        </w:rPr>
        <w:lastRenderedPageBreak/>
        <w:t>潜在风险提示</w:t>
      </w:r>
    </w:p>
    <w:p w14:paraId="506F2F4C" w14:textId="77777777" w:rsidR="00323214" w:rsidRDefault="00323214" w:rsidP="00323214">
      <w:pPr>
        <w:pStyle w:val="3"/>
        <w:rPr>
          <w:rFonts w:hint="eastAsia"/>
        </w:rPr>
      </w:pPr>
      <w:r>
        <w:rPr>
          <w:rFonts w:hint="eastAsia"/>
        </w:rPr>
        <w:t>商业模式与盈利路径的不确定性</w:t>
      </w:r>
    </w:p>
    <w:p w14:paraId="597AA323" w14:textId="618F6396" w:rsidR="00323214" w:rsidRDefault="00323214" w:rsidP="00323214">
      <w:pPr>
        <w:rPr>
          <w:rFonts w:hint="eastAsia"/>
        </w:rPr>
      </w:pPr>
      <w:r>
        <w:rPr>
          <w:rFonts w:hint="eastAsia"/>
        </w:rPr>
        <w:t>当前大模型产业面临的核心商业风险在于，天文数字级的资本投入与清晰、可持续的盈利模式之间存在巨大鸿沟。产业尚未证明其能产生与互联网时代相匹敌的规模经济与垄断利润。</w:t>
      </w:r>
    </w:p>
    <w:p w14:paraId="0D01DCEE" w14:textId="0E8F3EB2" w:rsidR="00323214" w:rsidRDefault="00323214" w:rsidP="00323214">
      <w:pPr>
        <w:rPr>
          <w:rFonts w:hint="eastAsia"/>
        </w:rPr>
      </w:pPr>
      <w:r>
        <w:rPr>
          <w:rFonts w:hint="eastAsia"/>
        </w:rPr>
        <w:t>高昂成本与模糊的变现能力构成根本矛盾</w:t>
      </w:r>
      <w:r>
        <w:rPr>
          <w:rFonts w:hint="eastAsia"/>
        </w:rPr>
        <w:t>：</w:t>
      </w:r>
      <w:r>
        <w:rPr>
          <w:rFonts w:hint="eastAsia"/>
        </w:rPr>
        <w:t>大模型的训练与推理消耗巨大的算力与电力，属于典型的重资产投入。然而，其商业模式却面临双重挑战：在收益端，AI产品的用户效用通常不具备网络效应，即用户数量的增加并不直接提升单个用户的体验或产品的护城河，这限制了企业的定价权。在成本端，随着用户规模扩大，所需的算力成本几乎</w:t>
      </w:r>
      <w:r>
        <w:rPr>
          <w:rFonts w:hint="eastAsia"/>
        </w:rPr>
        <w:t>线性甚至指数</w:t>
      </w:r>
      <w:r>
        <w:rPr>
          <w:rFonts w:hint="eastAsia"/>
        </w:rPr>
        <w:t>增长</w:t>
      </w:r>
      <w:r>
        <w:rPr>
          <w:rFonts w:hint="eastAsia"/>
        </w:rPr>
        <w:t>（由于transformer架构的特性，即使良优化后的模型结构，其成本也是几近于线性的）</w:t>
      </w:r>
      <w:r>
        <w:rPr>
          <w:rFonts w:hint="eastAsia"/>
        </w:rPr>
        <w:t>，难以实现互联网式的边际成本递减。这使得“烧钱换增长”的互联网经典模式在大模型领域可能难以为继。</w:t>
      </w:r>
    </w:p>
    <w:p w14:paraId="1B080D16" w14:textId="6AB47F17" w:rsidR="00323214" w:rsidRDefault="00323214" w:rsidP="00323214">
      <w:r>
        <w:rPr>
          <w:rFonts w:hint="eastAsia"/>
        </w:rPr>
        <w:t>产业内部存在“循环融资”与利润虚高的风险</w:t>
      </w:r>
      <w:r>
        <w:rPr>
          <w:rFonts w:hint="eastAsia"/>
        </w:rPr>
        <w:t>。以美国为例，</w:t>
      </w:r>
      <w:r>
        <w:rPr>
          <w:rFonts w:hint="eastAsia"/>
        </w:rPr>
        <w:t>AI产业呈现一种头部企业相互投资、互为客户的紧密生态。科技巨头的资本开支流向英伟达等算力公司，后者再将部分利润以投资形式投向应用层企业。这种内部循环能够在财务报表上层层计提巨额利润，但真正的价值源泉——终端用户实际支付的费用——规模相对有限（2025年估计约460亿美元），与支撑万亿</w:t>
      </w:r>
      <w:r>
        <w:rPr>
          <w:rFonts w:hint="eastAsia"/>
        </w:rPr>
        <w:t>级别</w:t>
      </w:r>
      <w:r>
        <w:rPr>
          <w:rFonts w:hint="eastAsia"/>
        </w:rPr>
        <w:t>美元市值的产业利润预期形成巨大反差。这种结构使得整个产业的真实盈利能力和健康状况被掩盖，存在巨大的财务泡沫风险。</w:t>
      </w:r>
    </w:p>
    <w:p w14:paraId="01B02D38" w14:textId="530540B4" w:rsidR="00323214" w:rsidRDefault="00323214" w:rsidP="00323214">
      <w:pPr>
        <w:pStyle w:val="3"/>
        <w:rPr>
          <w:rFonts w:hint="eastAsia"/>
        </w:rPr>
      </w:pPr>
      <w:r>
        <w:rPr>
          <w:rFonts w:hint="eastAsia"/>
        </w:rPr>
        <w:t>数据瓶颈与治理挑战</w:t>
      </w:r>
    </w:p>
    <w:p w14:paraId="0D1EFF32" w14:textId="0B90145B" w:rsidR="00323214" w:rsidRDefault="00323214" w:rsidP="00323214">
      <w:pPr>
        <w:rPr>
          <w:rFonts w:hint="eastAsia"/>
        </w:rPr>
      </w:pPr>
      <w:r>
        <w:rPr>
          <w:rFonts w:hint="eastAsia"/>
        </w:rPr>
        <w:t>数据是AI的“燃料”，但其质量、获取与使用的可持续性正成为产业发展的关键制约。</w:t>
      </w:r>
    </w:p>
    <w:p w14:paraId="635FD1F8" w14:textId="3E4B698F" w:rsidR="00323214" w:rsidRDefault="00323214" w:rsidP="00323214">
      <w:pPr>
        <w:rPr>
          <w:rFonts w:hint="eastAsia"/>
        </w:rPr>
      </w:pPr>
      <w:r>
        <w:rPr>
          <w:rFonts w:hint="eastAsia"/>
        </w:rPr>
        <w:t>高质量训练数据面临枯竭风险。当前大语言模型的训练主要基于互联网公开文本数据（从字节到字节）。随着模型参数规模指数级增长，互联网上有价值的高质量数据即将被耗尽。产业下一步发展需要转向“从原子到字节”，即从现实世界实时获取并处理数据，而这需要与实体经济深度融合，其复杂度和成本将呈数量级上升。</w:t>
      </w:r>
    </w:p>
    <w:p w14:paraId="5D6886DD" w14:textId="17322ECD" w:rsidR="00323214" w:rsidRDefault="00323214" w:rsidP="00323214">
      <w:r>
        <w:rPr>
          <w:rFonts w:hint="eastAsia"/>
        </w:rPr>
        <w:t>数据质量、隐私与版权问题日益尖锐。数据的污染（如故意投喂虚假信息）可直接导致模型输出错误，甚至被用于操纵金融市场。同时，使用受版权保护的内容进行训练引发的法律诉讼，以及</w:t>
      </w:r>
      <w:r>
        <w:rPr>
          <w:rFonts w:hint="eastAsia"/>
        </w:rPr>
        <w:t>由于数据隔离失效，导致</w:t>
      </w:r>
      <w:r>
        <w:rPr>
          <w:rFonts w:hint="eastAsia"/>
        </w:rPr>
        <w:t>用户隐私数据泄露的风险，都将使企业面临严峻的法律和合规挑战，增加运营成本与不确定性。</w:t>
      </w:r>
    </w:p>
    <w:p w14:paraId="70DABC53" w14:textId="77777777" w:rsidR="00323214" w:rsidRDefault="00323214" w:rsidP="00323214">
      <w:pPr>
        <w:pStyle w:val="3"/>
        <w:rPr>
          <w:rFonts w:hint="eastAsia"/>
        </w:rPr>
      </w:pPr>
      <w:r>
        <w:rPr>
          <w:rFonts w:hint="eastAsia"/>
        </w:rPr>
        <w:t>社会接受度与监管风险</w:t>
      </w:r>
    </w:p>
    <w:p w14:paraId="1277C0A1" w14:textId="77777777" w:rsidR="00323214" w:rsidRDefault="00323214" w:rsidP="00323214">
      <w:pPr>
        <w:rPr>
          <w:rFonts w:hint="eastAsia"/>
        </w:rPr>
      </w:pPr>
      <w:r>
        <w:rPr>
          <w:rFonts w:hint="eastAsia"/>
        </w:rPr>
        <w:t>技术的快速迭代远超社会规范与法律框架建立的速度，导致“技术-社会”摩擦加剧。</w:t>
      </w:r>
    </w:p>
    <w:p w14:paraId="1725995D" w14:textId="77777777" w:rsidR="00323214" w:rsidRDefault="00323214" w:rsidP="00323214">
      <w:pPr>
        <w:rPr>
          <w:rFonts w:hint="eastAsia"/>
        </w:rPr>
      </w:pPr>
    </w:p>
    <w:p w14:paraId="7CA9DCEF" w14:textId="27A7CC30" w:rsidR="00323214" w:rsidRDefault="00323214" w:rsidP="00323214">
      <w:pPr>
        <w:rPr>
          <w:rFonts w:hint="eastAsia"/>
        </w:rPr>
      </w:pPr>
      <w:r>
        <w:rPr>
          <w:rFonts w:hint="eastAsia"/>
        </w:rPr>
        <w:lastRenderedPageBreak/>
        <w:t>“幻觉”等技术缺陷严重制约关键领域落地。在金融、医疗等要求高确定性与高精度的领域，大模型存在的“幻觉”（生成不准确或虚构内容）风险是致命伤。这导致许多严肃应用场景持观望态度，阻碍了技术的大规模商业化渗透。</w:t>
      </w:r>
    </w:p>
    <w:p w14:paraId="0074761C" w14:textId="19D8A7BD" w:rsidR="00323214" w:rsidRDefault="00323214" w:rsidP="00323214">
      <w:r>
        <w:rPr>
          <w:rFonts w:hint="eastAsia"/>
        </w:rPr>
        <w:t>监管滞后与伦理困境带来政策不确定性。全球各国政府对AI的监管仍处于探索阶段，未来在数据安全、算法透明度、内容责任、就业冲击等方面的政策收紧是大概率事件。严厉的监管可能大幅增加研发和合规成本，甚至限制某些技术路径的应用。此外，AI深度伪造技术已导致声纹识别等传统安全手段失效，人脸识别等也可能面临挑战，社会信任体系的修复与重建需要巨大的监管与技术成本。</w:t>
      </w:r>
    </w:p>
    <w:p w14:paraId="2AE05530" w14:textId="7755609C" w:rsidR="00323214" w:rsidRDefault="00323214" w:rsidP="00323214">
      <w:pPr>
        <w:pStyle w:val="3"/>
        <w:rPr>
          <w:rFonts w:hint="eastAsia"/>
        </w:rPr>
      </w:pPr>
      <w:r>
        <w:rPr>
          <w:rFonts w:hint="eastAsia"/>
        </w:rPr>
        <w:t>地缘政治与供应链风险</w:t>
      </w:r>
    </w:p>
    <w:p w14:paraId="29F28C4E" w14:textId="5ACDD6DE" w:rsidR="00323214" w:rsidRDefault="00323214" w:rsidP="00323214">
      <w:pPr>
        <w:rPr>
          <w:rFonts w:hint="eastAsia"/>
        </w:rPr>
      </w:pPr>
      <w:r>
        <w:rPr>
          <w:rFonts w:hint="eastAsia"/>
        </w:rPr>
        <w:t>AI作为战略技术，已深度卷入大国竞争，其全球产业链的稳定性面临挑战。技术封锁与市场分割成为新常态。地缘政治紧张导致AI芯片、先进制造设备等关键技术的国际流动受到限制。例如，</w:t>
      </w:r>
      <w:r>
        <w:rPr>
          <w:rFonts w:hint="eastAsia"/>
        </w:rPr>
        <w:t>美国从2025年末开始就英伟达芯片出口问题一事上进行反复的政治操弄，将AI算力基建供应链武器化</w:t>
      </w:r>
      <w:r>
        <w:rPr>
          <w:rFonts w:hint="eastAsia"/>
        </w:rPr>
        <w:t>。</w:t>
      </w:r>
      <w:r>
        <w:rPr>
          <w:rFonts w:hint="eastAsia"/>
        </w:rPr>
        <w:t>其现实</w:t>
      </w:r>
      <w:r>
        <w:rPr>
          <w:rFonts w:hint="eastAsia"/>
        </w:rPr>
        <w:t>迫使企业构建本土化供应链</w:t>
      </w:r>
      <w:r w:rsidR="00B9788C">
        <w:rPr>
          <w:rFonts w:hint="eastAsia"/>
        </w:rPr>
        <w:t>（一个案例是即将在2026年下半年面试的华为昇腾超节点服务器），</w:t>
      </w:r>
      <w:r>
        <w:rPr>
          <w:rFonts w:hint="eastAsia"/>
        </w:rPr>
        <w:t>但在短期内可能面临成本上升、性能折衷和技术迭代速度放缓的问题。</w:t>
      </w:r>
    </w:p>
    <w:p w14:paraId="0B262AF5" w14:textId="626DE3B1" w:rsidR="00323214" w:rsidRDefault="00323214" w:rsidP="00323214">
      <w:pPr>
        <w:rPr>
          <w:rFonts w:hint="eastAsia"/>
        </w:rPr>
      </w:pPr>
      <w:r>
        <w:rPr>
          <w:rFonts w:hint="eastAsia"/>
        </w:rPr>
        <w:t>全球市场可能分裂为不同技术标准与生态的“孤岛”。各国出于数据主权和安全考虑，可能要求数据本地化并培育本土AI企业，这将碎片化全球统一市场，削弱领先企业的规模优势，并导致重复建设和资源浪费。</w:t>
      </w:r>
    </w:p>
    <w:p w14:paraId="524AA224" w14:textId="1D903B0F" w:rsidR="00323214" w:rsidRDefault="00323214" w:rsidP="00323214">
      <w:pPr>
        <w:pStyle w:val="3"/>
        <w:rPr>
          <w:rFonts w:hint="eastAsia"/>
        </w:rPr>
      </w:pPr>
      <w:r>
        <w:rPr>
          <w:rFonts w:hint="eastAsia"/>
        </w:rPr>
        <w:t>竞争失焦</w:t>
      </w:r>
      <w:r>
        <w:rPr>
          <w:rFonts w:hint="eastAsia"/>
        </w:rPr>
        <w:t>风险</w:t>
      </w:r>
    </w:p>
    <w:p w14:paraId="1CDC8332" w14:textId="6D8475E1" w:rsidR="00323214" w:rsidRDefault="00323214" w:rsidP="00323214">
      <w:pPr>
        <w:rPr>
          <w:rFonts w:hint="eastAsia"/>
        </w:rPr>
      </w:pPr>
      <w:r>
        <w:rPr>
          <w:rFonts w:hint="eastAsia"/>
        </w:rPr>
        <w:t>产业的爆炸式增长掩盖了其底层生态的某些脆弱性，并可能引发非理性的竞争。</w:t>
      </w:r>
    </w:p>
    <w:p w14:paraId="27FC1AD1" w14:textId="26BE712D" w:rsidR="00323214" w:rsidRDefault="00323214" w:rsidP="00323214">
      <w:pPr>
        <w:rPr>
          <w:rFonts w:hint="eastAsia"/>
        </w:rPr>
      </w:pPr>
      <w:r>
        <w:rPr>
          <w:rFonts w:hint="eastAsia"/>
        </w:rPr>
        <w:t>早期阶段的激烈竞争可能导致资源错配。尽管产业处于早期，但竞争已白热化。知名投资人指出，对于最终技术路线和胜出者的判断“难度非常大”。在不确定性极高的情况下，大量资本可能涌入相似或尚未验证的赛道，造成泡沫。同时，企业为争夺人才和算力资源而进行的非理性投入，可能透支长期发展潜力。</w:t>
      </w:r>
    </w:p>
    <w:p w14:paraId="1FADCAE3" w14:textId="48DACE18" w:rsidR="00323214" w:rsidRDefault="00323214" w:rsidP="00323214">
      <w:r>
        <w:rPr>
          <w:rFonts w:hint="eastAsia"/>
        </w:rPr>
        <w:t>竞争焦点可能从技术创新转向资本与宣传战。当技术突破进入平台期，部分企业或投资者可能倾向于通过制造营销热点、进行复杂的资本运作来维持估值，而非沉心于艰苦的底层技术创新，这将对产业的健康发展造成损害。</w:t>
      </w:r>
      <w:r w:rsidR="00B9788C">
        <w:rPr>
          <w:rFonts w:hint="eastAsia"/>
        </w:rPr>
        <w:t>Kimi与minimax相关人士</w:t>
      </w:r>
      <w:r w:rsidR="00A803F3">
        <w:rPr>
          <w:rFonts w:hint="eastAsia"/>
        </w:rPr>
        <w:t>皆曾坦言经历过对于宣发的痴迷阶段，但是最终还是回归了以技术和效率优先的道路上。</w:t>
      </w:r>
    </w:p>
    <w:p w14:paraId="4B4DC7B2" w14:textId="77777777" w:rsidR="00A803F3" w:rsidRDefault="00A803F3" w:rsidP="00A803F3">
      <w:pPr>
        <w:pStyle w:val="3"/>
        <w:rPr>
          <w:rFonts w:hint="eastAsia"/>
        </w:rPr>
      </w:pPr>
      <w:r>
        <w:rPr>
          <w:rFonts w:hint="eastAsia"/>
        </w:rPr>
        <w:t>远期技术路线错误的可能性 √</w:t>
      </w:r>
    </w:p>
    <w:p w14:paraId="01F2E6C9" w14:textId="61330CB8" w:rsidR="00A803F3" w:rsidRDefault="00A803F3" w:rsidP="00A803F3">
      <w:pPr>
        <w:rPr>
          <w:rFonts w:hint="eastAsia"/>
        </w:rPr>
      </w:pPr>
      <w:r>
        <w:rPr>
          <w:rFonts w:hint="eastAsia"/>
        </w:rPr>
        <w:t>当前大模型产业将核心赌注押在</w:t>
      </w:r>
      <w:r>
        <w:rPr>
          <w:rFonts w:hint="eastAsia"/>
        </w:rPr>
        <w:t>改良</w:t>
      </w:r>
      <w:r>
        <w:rPr>
          <w:rFonts w:hint="eastAsia"/>
        </w:rPr>
        <w:t>Transformer架构、Scaling Law与预训练范式的组合上。这一路线虽带来惊人进展，但存在被证伪或边际失效的系统性风险。</w:t>
      </w:r>
    </w:p>
    <w:p w14:paraId="5E8C6ECE" w14:textId="77777777" w:rsidR="00A803F3" w:rsidRDefault="00A803F3" w:rsidP="00A803F3">
      <w:pPr>
        <w:rPr>
          <w:rFonts w:hint="eastAsia"/>
        </w:rPr>
      </w:pPr>
      <w:r>
        <w:rPr>
          <w:rFonts w:hint="eastAsia"/>
        </w:rPr>
        <w:t>第一，Transformer可能不是通用智能的终极载体。 注意力机制的计算复杂度与序列</w:t>
      </w:r>
      <w:r>
        <w:rPr>
          <w:rFonts w:hint="eastAsia"/>
        </w:rPr>
        <w:lastRenderedPageBreak/>
        <w:t>长度呈平方关系，导致长上下文扩展面临严峻的算力边际递减。更根本的是，Transformer的"一次性前向生成"缺乏人类认知中系统性的迭代回溯与因果验证能力，当前的"思维链"只是外部补丁而非架构内生。Mamba、状态空间模型及神经符号路线正在积蓄替代力量。</w:t>
      </w:r>
    </w:p>
    <w:p w14:paraId="4C83C11C" w14:textId="77777777" w:rsidR="00A803F3" w:rsidRDefault="00A803F3" w:rsidP="00A803F3">
      <w:pPr>
        <w:rPr>
          <w:rFonts w:hint="eastAsia"/>
        </w:rPr>
      </w:pPr>
      <w:r>
        <w:rPr>
          <w:rFonts w:hint="eastAsia"/>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若智能本质是因果建模而非模式压缩，Scaling Law或只是在制造更大的鹦鹉。</w:t>
      </w:r>
    </w:p>
    <w:p w14:paraId="75942BB5" w14:textId="77777777" w:rsidR="00A803F3" w:rsidRDefault="00A803F3" w:rsidP="00A803F3">
      <w:pPr>
        <w:rPr>
          <w:rFonts w:hint="eastAsia"/>
        </w:rPr>
      </w:pPr>
      <w:r>
        <w:rPr>
          <w:rFonts w:hint="eastAsia"/>
        </w:rPr>
        <w:t>第三，"预训练+对齐"范式可能误解了智能的形成机制。 预训练本质是对人类知识分布的记忆压缩与插值，而非因果发现与假设生成。RLHF对齐在提升安全性的同时，系统性地抑制了模型的探索性与创造性，可能难以产生真正的科学洞见。此外，当前路线是"语言中心主义"的，缺乏对世界物理因果的直接建模，可能本末倒置。</w:t>
      </w:r>
    </w:p>
    <w:p w14:paraId="505DA51B" w14:textId="77777777" w:rsidR="00A803F3" w:rsidRDefault="00A803F3" w:rsidP="00A803F3">
      <w:pPr>
        <w:rPr>
          <w:rFonts w:hint="eastAsia"/>
        </w:rPr>
      </w:pPr>
      <w:r>
        <w:rPr>
          <w:rFonts w:hint="eastAsia"/>
        </w:rPr>
        <w:t>第四，算法效率革命可能瞬间瓦解算力壁垒。 DeepSeek以极低成本达到第一梯队性能，表明当前性能差距很大程度上源于工程优化不足而非算力投入不足。若算法效率存在十倍甚至百倍的提升空间，基于"算力军备竞赛"的产业格局将面临需求崩塌风险，巨额资本开支的叙事逻辑也将被撕裂。</w:t>
      </w:r>
    </w:p>
    <w:p w14:paraId="3393DB72" w14:textId="77777777" w:rsidR="00A803F3" w:rsidRDefault="00A803F3" w:rsidP="00A803F3">
      <w:pPr>
        <w:rPr>
          <w:rFonts w:hint="eastAsia"/>
        </w:rPr>
      </w:pPr>
      <w:r>
        <w:rPr>
          <w:rFonts w:hint="eastAsia"/>
        </w:rPr>
        <w:t>第五，视野边缘的替代路线不容忽视。 具身智能强调感知-行动闭环，神经符号AI追求因果推理，而人脑以20瓦功耗实现持续学习与小样本泛化，能效比上的巨大差距暗示架构层面可能存在根本弯路。</w:t>
      </w:r>
    </w:p>
    <w:p w14:paraId="4A5667B3" w14:textId="77777777" w:rsidR="00A803F3" w:rsidRPr="00D6092B" w:rsidRDefault="00A803F3" w:rsidP="00A803F3">
      <w:pPr>
        <w:rPr>
          <w:rFonts w:hint="eastAsia"/>
        </w:rPr>
      </w:pPr>
      <w:r>
        <w:rPr>
          <w:rFonts w:hint="eastAsia"/>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p w14:paraId="45579076" w14:textId="77777777" w:rsidR="00A803F3" w:rsidRPr="00A803F3" w:rsidRDefault="00A803F3" w:rsidP="00323214">
      <w:pPr>
        <w:rPr>
          <w:rFonts w:hint="eastAsia"/>
        </w:rPr>
      </w:pPr>
    </w:p>
    <w:p w14:paraId="179062D1" w14:textId="67B4CD35" w:rsidR="002B152A" w:rsidRDefault="007677E5" w:rsidP="00186848">
      <w:pPr>
        <w:pStyle w:val="3"/>
        <w:rPr>
          <w:rFonts w:hint="eastAsia"/>
        </w:rPr>
      </w:pPr>
      <w:r>
        <w:rPr>
          <w:rFonts w:hint="eastAsia"/>
        </w:rPr>
        <w:t>特斯拉时刻和OGAS时刻的可能性</w:t>
      </w:r>
      <w:r w:rsidR="00D6092B">
        <w:rPr>
          <w:rFonts w:hint="eastAsia"/>
        </w:rPr>
        <w:t xml:space="preserve"> √</w:t>
      </w:r>
    </w:p>
    <w:p w14:paraId="39A6BE62" w14:textId="4085D844" w:rsidR="00186848" w:rsidRDefault="00186848" w:rsidP="00186848">
      <w:pPr>
        <w:rPr>
          <w:rFonts w:hint="eastAsia"/>
        </w:rPr>
      </w:pPr>
      <w:r>
        <w:rPr>
          <w:rFonts w:hint="eastAsia"/>
        </w:rPr>
        <w:t>历史经验表明，足以重构资源配置逻辑的技术革命，往往遭遇超越工程层面的不可抗力干预或限制。</w:t>
      </w:r>
    </w:p>
    <w:p w14:paraId="4CE2900A" w14:textId="16CD64F0" w:rsidR="00186848" w:rsidRDefault="00186848" w:rsidP="00186848">
      <w:pPr>
        <w:rPr>
          <w:rFonts w:hint="eastAsia"/>
        </w:rPr>
      </w:pPr>
      <w:r>
        <w:rPr>
          <w:rFonts w:hint="eastAsia"/>
        </w:rPr>
        <w:t>二十世纪初，尼古拉·特斯拉提出的无线电力传输方案，其搁浅并非单纯源于技术瓶颈。更深层的制约在于，一个开放获取的能源网络，将直接瓦解基于物理电网的收费体系与既有商业格局，引发传统能源资本资本的防御性退出。</w:t>
      </w:r>
    </w:p>
    <w:p w14:paraId="2ABCB2B1" w14:textId="303C05E7" w:rsidR="00186848" w:rsidRDefault="00186848" w:rsidP="00186848">
      <w:pPr>
        <w:rPr>
          <w:rFonts w:hint="eastAsia"/>
        </w:rPr>
      </w:pPr>
      <w:r>
        <w:rPr>
          <w:rFonts w:hint="eastAsia"/>
        </w:rPr>
        <w:t>类似地，上世纪苏联设计的全国自动化信息系统（OGAS），旨在通过实时数据优化物资调度与危机响应。</w:t>
      </w:r>
      <w:r w:rsidR="00676291">
        <w:rPr>
          <w:rFonts w:hint="eastAsia"/>
        </w:rPr>
        <w:t>其愿景与</w:t>
      </w:r>
      <w:r w:rsidR="00283F56">
        <w:rPr>
          <w:rFonts w:hint="eastAsia"/>
        </w:rPr>
        <w:t>今天的</w:t>
      </w:r>
      <w:r w:rsidR="00676291">
        <w:rPr>
          <w:rFonts w:hint="eastAsia"/>
        </w:rPr>
        <w:t>AGI十分相似。</w:t>
      </w:r>
      <w:r>
        <w:rPr>
          <w:rFonts w:hint="eastAsia"/>
        </w:rPr>
        <w:t>然而，这一系统所要求的信息高度透明与决策自动化，同科层管理结构形成了张力</w:t>
      </w:r>
      <w:r w:rsidR="00676291">
        <w:rPr>
          <w:rFonts w:hint="eastAsia"/>
        </w:rPr>
        <w:t>：</w:t>
      </w:r>
      <w:r>
        <w:rPr>
          <w:rFonts w:hint="eastAsia"/>
        </w:rPr>
        <w:t>当技术试图压缩信息闭环、重构</w:t>
      </w:r>
      <w:r>
        <w:rPr>
          <w:rFonts w:hint="eastAsia"/>
        </w:rPr>
        <w:lastRenderedPageBreak/>
        <w:t>决策链条时，遭遇了</w:t>
      </w:r>
      <w:r w:rsidR="00787DD9">
        <w:rPr>
          <w:rFonts w:hint="eastAsia"/>
        </w:rPr>
        <w:t>来自</w:t>
      </w:r>
      <w:r w:rsidR="00676291">
        <w:rPr>
          <w:rFonts w:hint="eastAsia"/>
        </w:rPr>
        <w:t>经济</w:t>
      </w:r>
      <w:r w:rsidR="00787DD9">
        <w:rPr>
          <w:rFonts w:hint="eastAsia"/>
        </w:rPr>
        <w:t>治理体系内部</w:t>
      </w:r>
      <w:r>
        <w:rPr>
          <w:rFonts w:hint="eastAsia"/>
        </w:rPr>
        <w:t>的适应性阻力。</w:t>
      </w:r>
    </w:p>
    <w:p w14:paraId="70EF2BA2" w14:textId="0C4B9E06" w:rsidR="00186848" w:rsidRDefault="00186848" w:rsidP="00186848">
      <w:pPr>
        <w:rPr>
          <w:rFonts w:hint="eastAsia"/>
        </w:rPr>
      </w:pPr>
      <w:r>
        <w:rPr>
          <w:rFonts w:hint="eastAsia"/>
        </w:rPr>
        <w:t>两个案例的共性在于：当技术不仅提升效率，更触及</w:t>
      </w:r>
      <w:r w:rsidR="00787DD9">
        <w:rPr>
          <w:rFonts w:hint="eastAsia"/>
        </w:rPr>
        <w:t>旧有经济范式</w:t>
      </w:r>
      <w:r>
        <w:rPr>
          <w:rFonts w:hint="eastAsia"/>
        </w:rPr>
        <w:t>的核心逻辑时，新旧范式之间会产生结构性摩擦。对于人工智能而言，其生产力革命若深入到生产关系与治理结构的底层，同样可能触发来自既有经济范式的制度性调适压力。判断AI能否穿越这一摩擦，需观察的不仅是算力与算法的迭代，更是技术路径与</w:t>
      </w:r>
      <w:r w:rsidR="00392096">
        <w:rPr>
          <w:rFonts w:hint="eastAsia"/>
        </w:rPr>
        <w:t>治理</w:t>
      </w:r>
      <w:r>
        <w:rPr>
          <w:rFonts w:hint="eastAsia"/>
        </w:rPr>
        <w:t>弹性之间的匹配度。</w:t>
      </w:r>
    </w:p>
    <w:p w14:paraId="24C907D6" w14:textId="77777777" w:rsidR="00D6092B" w:rsidRDefault="00D6092B" w:rsidP="00186848">
      <w:pPr>
        <w:rPr>
          <w:rFonts w:hint="eastAsia"/>
        </w:rPr>
      </w:pPr>
    </w:p>
    <w:p w14:paraId="3AB9F6A4" w14:textId="04FAD57C" w:rsidR="002B152A" w:rsidRDefault="00D4502A" w:rsidP="002B152A">
      <w:pPr>
        <w:pStyle w:val="1"/>
        <w:rPr>
          <w:rFonts w:hint="eastAsia"/>
        </w:rPr>
      </w:pPr>
      <w:r>
        <w:rPr>
          <w:rFonts w:hint="eastAsia"/>
        </w:rPr>
        <w:t>五</w:t>
      </w:r>
      <w:r w:rsidR="002B152A">
        <w:rPr>
          <w:rFonts w:hint="eastAsia"/>
        </w:rPr>
        <w:t>.附录</w:t>
      </w:r>
    </w:p>
    <w:p w14:paraId="05D58BDE" w14:textId="77777777" w:rsidR="002B152A" w:rsidRDefault="002B152A" w:rsidP="002B152A">
      <w:pPr>
        <w:pStyle w:val="2"/>
        <w:rPr>
          <w:rFonts w:hint="eastAsia"/>
        </w:rPr>
      </w:pPr>
      <w:r>
        <w:rPr>
          <w:rFonts w:hint="eastAsia"/>
        </w:rPr>
        <w:t>技术历史与突破过程 √</w:t>
      </w:r>
    </w:p>
    <w:p w14:paraId="6C6365F7" w14:textId="77777777" w:rsidR="002B152A" w:rsidRDefault="002B152A" w:rsidP="002B152A">
      <w:pPr>
        <w:rPr>
          <w:rFonts w:hint="eastAsia"/>
        </w:rPr>
      </w:pPr>
      <w:r>
        <w:rPr>
          <w:rFonts w:hint="eastAsia"/>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Default="002B152A" w:rsidP="002B152A">
      <w:pPr>
        <w:pStyle w:val="4"/>
        <w:rPr>
          <w:rFonts w:hint="eastAsia"/>
        </w:rPr>
      </w:pPr>
      <w:r>
        <w:rPr>
          <w:rFonts w:hint="eastAsia"/>
        </w:rPr>
        <w:t>一、RNN 时代：循环结构的统治与内在瓶颈</w:t>
      </w:r>
    </w:p>
    <w:p w14:paraId="3AC2FC1D" w14:textId="77777777" w:rsidR="002B152A" w:rsidRDefault="002B152A" w:rsidP="002B152A">
      <w:pPr>
        <w:rPr>
          <w:rFonts w:hint="eastAsia"/>
        </w:rPr>
      </w:pPr>
      <w:r>
        <w:rPr>
          <w:rFonts w:hint="eastAsia"/>
        </w:rPr>
        <w:t>在深度学习介入自然语言处理的早期阶段，循环神经网络（RNN）及其改进变体长短期记忆网络（LSTM）与门控循环单元（GRU）构成了主流技术范式。其核心机制在于按时间步逐个处理输入 token，通过隐藏状态向量传递历史信息。</w:t>
      </w:r>
    </w:p>
    <w:p w14:paraId="654EB0A9" w14:textId="77777777" w:rsidR="002B152A" w:rsidRDefault="002B152A" w:rsidP="002B152A">
      <w:pPr>
        <w:rPr>
          <w:rFonts w:hint="eastAsia"/>
        </w:rPr>
      </w:pPr>
      <w:r>
        <w:rPr>
          <w:rFonts w:hint="eastAsia"/>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并行加速能力无法充分利用。其三，所有历史信息被压缩至固定维度的隐藏向量中，远期信息的保真度随距离增加而指数级衰减。</w:t>
      </w:r>
    </w:p>
    <w:p w14:paraId="16DC3237" w14:textId="77777777" w:rsidR="002B152A" w:rsidRDefault="002B152A" w:rsidP="002B152A">
      <w:pPr>
        <w:rPr>
          <w:rFonts w:hint="eastAsia"/>
        </w:rPr>
      </w:pPr>
      <w:r>
        <w:rPr>
          <w:rFonts w:hint="eastAsia"/>
        </w:rPr>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Default="002B152A" w:rsidP="002B152A">
      <w:pPr>
        <w:pStyle w:val="4"/>
        <w:rPr>
          <w:rFonts w:hint="eastAsia"/>
        </w:rPr>
      </w:pPr>
      <w:r>
        <w:rPr>
          <w:rFonts w:hint="eastAsia"/>
        </w:rPr>
        <w:t>二、2017 年：Transformer 的诞生与注意力机制的确立</w:t>
      </w:r>
    </w:p>
    <w:p w14:paraId="63049E5E" w14:textId="77777777" w:rsidR="002B152A" w:rsidRDefault="002B152A" w:rsidP="002B152A">
      <w:pPr>
        <w:rPr>
          <w:rFonts w:hint="eastAsia"/>
        </w:rPr>
      </w:pPr>
      <w:r>
        <w:rPr>
          <w:rFonts w:hint="eastAsia"/>
        </w:rPr>
        <w:t>2017 年 6 月，Google 发表重要论文论文</w:t>
      </w:r>
      <w:r w:rsidRPr="005B66B5">
        <w:rPr>
          <w:rFonts w:hint="eastAsia"/>
          <w:b/>
          <w:bCs/>
        </w:rPr>
        <w:t>Attention Is All You Need</w:t>
      </w:r>
      <w:r>
        <w:rPr>
          <w:rFonts w:hint="eastAsia"/>
        </w:rPr>
        <w:t>，正式提出 Transformer 架构，彻底摒弃了循环结构。</w:t>
      </w:r>
    </w:p>
    <w:p w14:paraId="433C668C" w14:textId="77777777" w:rsidR="002B152A" w:rsidRDefault="002B152A" w:rsidP="002B152A">
      <w:pPr>
        <w:rPr>
          <w:rFonts w:hint="eastAsia"/>
        </w:rPr>
      </w:pPr>
      <w:r>
        <w:rPr>
          <w:rFonts w:hint="eastAsia"/>
        </w:rPr>
        <w:t>该架构的核心创新在于自注意力机制（Self-Attention）。在这一机制下，序列中的每个 token 均可直接与所有其他 token 建立关联，关联强度通过缩放点积注意力计算得</w:t>
      </w:r>
      <w:r>
        <w:rPr>
          <w:rFonts w:hint="eastAsia"/>
        </w:rPr>
        <w:lastRenderedPageBreak/>
        <w:t>出。这意味着无论两个 token 在序列中相距多远，其信息交互都只需一步矩阵运算即可完成，从根本上解除了距离对信息传递的制约。</w:t>
      </w:r>
    </w:p>
    <w:p w14:paraId="7F36DFFF" w14:textId="77777777" w:rsidR="002B152A" w:rsidRDefault="002B152A" w:rsidP="002B152A">
      <w:pPr>
        <w:rPr>
          <w:rFonts w:hint="eastAsia"/>
        </w:rPr>
      </w:pPr>
      <w:r>
        <w:rPr>
          <w:rFonts w:hint="eastAsia"/>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5B66B5" w:rsidRDefault="002B152A" w:rsidP="002B152A">
      <w:pPr>
        <w:pStyle w:val="4"/>
        <w:rPr>
          <w:rFonts w:hint="eastAsia"/>
        </w:rPr>
      </w:pPr>
      <w:r>
        <w:rPr>
          <w:rFonts w:hint="eastAsia"/>
        </w:rPr>
        <w:t>三、架构分化：三条预训练范式的形成（2018–2019）</w:t>
      </w:r>
    </w:p>
    <w:p w14:paraId="5DF0CE80" w14:textId="77777777" w:rsidR="002B152A" w:rsidRDefault="002B152A" w:rsidP="002B152A">
      <w:pPr>
        <w:rPr>
          <w:rFonts w:hint="eastAsia"/>
        </w:rPr>
      </w:pPr>
      <w:r>
        <w:rPr>
          <w:rFonts w:hint="eastAsia"/>
        </w:rPr>
        <w:t>Transformer问世后，其编码器-解码器结构被迅速拆解，演化出三种差异化的预训练路线。</w:t>
      </w:r>
    </w:p>
    <w:p w14:paraId="7A2EF99C" w14:textId="77777777" w:rsidR="002B152A" w:rsidRDefault="002B152A" w:rsidP="002B152A">
      <w:pPr>
        <w:rPr>
          <w:rFonts w:hint="eastAsia"/>
        </w:rPr>
      </w:pPr>
      <w:r>
        <w:rPr>
          <w:rFonts w:hint="eastAsia"/>
        </w:rPr>
        <w:t>第一条路线为编码器-only 架构，以 BERT（2018）为代表。该路线采用掩码语言模型（Masked Language Modeling）作为预训练目标，随机遮蔽输入序列中的部分 token，要求模型基于双向上下文进行预测。这一机制使模型在文本理解、分类与信息抽取任务上表现突出，但自回归生成能力相对受限。</w:t>
      </w:r>
    </w:p>
    <w:p w14:paraId="772AD233" w14:textId="77777777" w:rsidR="002B152A" w:rsidRDefault="002B152A" w:rsidP="002B152A">
      <w:pPr>
        <w:rPr>
          <w:rFonts w:hint="eastAsia"/>
        </w:rPr>
      </w:pPr>
      <w:r>
        <w:rPr>
          <w:rFonts w:hint="eastAsia"/>
        </w:rPr>
        <w:t>第二条路线为解码器-only 架构，以 GPT 系列为代表。该路线采用因果掩码（Causal Masking），强制模型从左至右逐词预测。这种自回归机制使生成流畅度显著提升，且后续被证明是 Scaling Law 表现最为显著的架构形态。此后的大模型浪潮，包括 GPT-4、Claude、Llama 及 DeepSeek 系列，均沿用了这一路线。</w:t>
      </w:r>
    </w:p>
    <w:p w14:paraId="40CEEA89" w14:textId="77777777" w:rsidR="002B152A" w:rsidRDefault="002B152A" w:rsidP="002B152A">
      <w:pPr>
        <w:rPr>
          <w:rFonts w:hint="eastAsia"/>
        </w:rPr>
      </w:pPr>
      <w:r>
        <w:rPr>
          <w:rFonts w:hint="eastAsia"/>
        </w:rPr>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Default="002B152A" w:rsidP="002B152A">
      <w:pPr>
        <w:pStyle w:val="4"/>
        <w:rPr>
          <w:rFonts w:hint="eastAsia"/>
        </w:rPr>
      </w:pPr>
      <w:r>
        <w:rPr>
          <w:rFonts w:hint="eastAsia"/>
        </w:rPr>
        <w:t>四、规模革命：Scaling Law 与涌现能力（2020–2022）</w:t>
      </w:r>
    </w:p>
    <w:p w14:paraId="23AEC2B2" w14:textId="77777777" w:rsidR="002B152A" w:rsidRPr="00305D10" w:rsidRDefault="002B152A" w:rsidP="002B152A">
      <w:pPr>
        <w:rPr>
          <w:rFonts w:hint="eastAsia"/>
        </w:rPr>
      </w:pPr>
      <w:r>
        <w:rPr>
          <w:rFonts w:hint="eastAsia"/>
        </w:rPr>
        <w:t>OpenAI 发布的 GPT-3（1750 亿参数）验证了 Scaling Law 的有效性：当模型参数量、训练数据量与算力投入同步指数级增长时，模型能力会出现非线性的"涌现"现象，即在某一规模阈值后突然具备小模型无法实现的复杂能力。</w:t>
      </w:r>
    </w:p>
    <w:p w14:paraId="026FDBCB" w14:textId="77777777" w:rsidR="002B152A" w:rsidRDefault="002B152A" w:rsidP="002B152A">
      <w:pPr>
        <w:rPr>
          <w:rFonts w:hint="eastAsia"/>
        </w:rPr>
      </w:pPr>
      <w:r>
        <w:rPr>
          <w:rFonts w:hint="eastAsia"/>
        </w:rPr>
        <w:t>这一阶段的技术基础设施也趋于成熟。NVIDIA A100 等专用加速器、Megatron-LM 与 DeepSpeed 等分布式训练框架，以及模型并行与流水线并行技术，使万亿参数级别的训练成为可能。上下文窗口从早期的 2K 逐步扩展，少样本学习（Few-shot Learning）能力使模型无需微调即可通过提示词完成新任务。至此，大模型的性质发生根本转变：它不再仅是算法创新，而是算力、数据与系统工程的综合产物。</w:t>
      </w:r>
    </w:p>
    <w:p w14:paraId="184FA5E8" w14:textId="77777777" w:rsidR="002B152A" w:rsidRDefault="002B152A" w:rsidP="002B152A">
      <w:pPr>
        <w:pStyle w:val="4"/>
        <w:rPr>
          <w:rFonts w:hint="eastAsia"/>
        </w:rPr>
      </w:pPr>
      <w:r>
        <w:rPr>
          <w:rFonts w:hint="eastAsia"/>
        </w:rPr>
        <w:lastRenderedPageBreak/>
        <w:t>五、对齐时代：从文本续写到意图遵循（2022–2023）</w:t>
      </w:r>
    </w:p>
    <w:p w14:paraId="429C80BD" w14:textId="77777777" w:rsidR="002B152A" w:rsidRDefault="002B152A" w:rsidP="002B152A">
      <w:pPr>
        <w:rPr>
          <w:rFonts w:hint="eastAsia"/>
        </w:rPr>
      </w:pPr>
      <w:r>
        <w:rPr>
          <w:rFonts w:hint="eastAsia"/>
        </w:rPr>
        <w:t>纯自回归模型存在生成有害内容、偏见言论及无效输出的倾向。2022 至 2023 年间，研究重心转向对齐技术（Alignment），旨在使模型输出符合人类意图与价值偏好。</w:t>
      </w:r>
    </w:p>
    <w:p w14:paraId="090399C5" w14:textId="77777777" w:rsidR="002B152A" w:rsidRDefault="002B152A" w:rsidP="002B152A">
      <w:pPr>
        <w:rPr>
          <w:rFonts w:hint="eastAsia"/>
        </w:rPr>
      </w:pPr>
      <w:r>
        <w:rPr>
          <w:rFonts w:hint="eastAsia"/>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Default="002B152A" w:rsidP="002B152A">
      <w:pPr>
        <w:rPr>
          <w:rFonts w:hint="eastAsia"/>
        </w:rPr>
      </w:pPr>
      <w:r>
        <w:rPr>
          <w:rFonts w:hint="eastAsia"/>
        </w:rPr>
        <w:t>2022 年 11 月 ChatGPT 的发布标志着 Transformer 从技术演示转向产品化应用，对话式交互成为主流形态。</w:t>
      </w:r>
    </w:p>
    <w:p w14:paraId="22CE14B6" w14:textId="77777777" w:rsidR="002B152A" w:rsidRPr="00D0013B" w:rsidRDefault="002B152A" w:rsidP="002B152A">
      <w:pPr>
        <w:pStyle w:val="4"/>
        <w:rPr>
          <w:rFonts w:hint="eastAsia"/>
        </w:rPr>
      </w:pPr>
      <w:r>
        <w:rPr>
          <w:rFonts w:hint="eastAsia"/>
        </w:rPr>
        <w:t>六、效率与长上下文：突破二次复杂度约束（2023–2024）</w:t>
      </w:r>
    </w:p>
    <w:p w14:paraId="56FD4768" w14:textId="77777777" w:rsidR="002B152A" w:rsidRDefault="002B152A" w:rsidP="002B152A">
      <w:pPr>
        <w:rPr>
          <w:rFonts w:hint="eastAsia"/>
        </w:rPr>
      </w:pPr>
      <w:r>
        <w:rPr>
          <w:rFonts w:hint="eastAsia"/>
        </w:rPr>
        <w:t>标准自注意力的计算复杂度为序列长度的平方级 O(n^2)，即上下文窗口翻倍将导致算力消耗增至四倍。这一特性构成 Transformer 最核心的工程瓶颈，催生了多条优化路线。</w:t>
      </w:r>
    </w:p>
    <w:p w14:paraId="4DA950F3" w14:textId="77777777" w:rsidR="002B152A" w:rsidRDefault="002B152A" w:rsidP="002B152A">
      <w:pPr>
        <w:rPr>
          <w:rFonts w:hint="eastAsia"/>
        </w:rPr>
      </w:pPr>
      <w:r>
        <w:rPr>
          <w:rFonts w:hint="eastAsia"/>
        </w:rPr>
        <w:t>稀疏注意力（Sparse Attention）通过限制每个 token 的交互范围，将复杂度降至线性或次线性级别，代表性工作包括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Default="002B152A" w:rsidP="002B152A">
      <w:pPr>
        <w:rPr>
          <w:rFonts w:hint="eastAsia"/>
        </w:rPr>
      </w:pPr>
      <w:r>
        <w:rPr>
          <w:rFonts w:hint="eastAsia"/>
        </w:rPr>
        <w:t>位置编码层面，RoPE、ALiBi 与 xPos 等方案改善了模型对长距离相对位置的感知与外推能力。位置插值（Position Interpolation）、NTK-aware 扩展与 YaRN 等技术使预训练阶段的 4K 或 8K 模型能够被扩展至 128K、1M 乃至 10M  token 的上下文窗口。</w:t>
      </w:r>
    </w:p>
    <w:p w14:paraId="75933A21" w14:textId="77777777" w:rsidR="002B152A" w:rsidRDefault="002B152A" w:rsidP="002B152A">
      <w:pPr>
        <w:rPr>
          <w:rFonts w:hint="eastAsia"/>
        </w:rPr>
      </w:pPr>
      <w:r>
        <w:rPr>
          <w:rFonts w:hint="eastAsia"/>
        </w:rPr>
        <w:t>2024 年成为长上下文应用的里程碑年份：Gemini 1.5 Pro 实现 1M token 上下文，Claude 3 达到 200K，开源社区如 Llama 3 与 Qwen2.5 系列亦普遍推进至 128K 至 1M 级别。</w:t>
      </w:r>
    </w:p>
    <w:p w14:paraId="2C29F535" w14:textId="77777777" w:rsidR="002B152A" w:rsidRPr="00D0013B" w:rsidRDefault="002B152A" w:rsidP="002B152A">
      <w:pPr>
        <w:pStyle w:val="4"/>
        <w:rPr>
          <w:rFonts w:hint="eastAsia"/>
        </w:rPr>
      </w:pPr>
      <w:r>
        <w:rPr>
          <w:rFonts w:hint="eastAsia"/>
        </w:rPr>
        <w:t>七、多模态统一：从文本模型到世界模型（2023–2025）</w:t>
      </w:r>
    </w:p>
    <w:p w14:paraId="60B0B769" w14:textId="77777777" w:rsidR="002B152A" w:rsidRDefault="002B152A" w:rsidP="002B152A">
      <w:pPr>
        <w:rPr>
          <w:rFonts w:hint="eastAsia"/>
        </w:rPr>
      </w:pPr>
      <w:r>
        <w:rPr>
          <w:rFonts w:hint="eastAsia"/>
        </w:rPr>
        <w:t>Transformer 的通用性使其迅速超越自然语言处理领域，成为多模态大一统建模的骨架架构。</w:t>
      </w:r>
    </w:p>
    <w:p w14:paraId="76792A15" w14:textId="77777777" w:rsidR="002B152A" w:rsidRDefault="002B152A" w:rsidP="002B152A">
      <w:pPr>
        <w:rPr>
          <w:rFonts w:hint="eastAsia"/>
        </w:rPr>
      </w:pPr>
    </w:p>
    <w:p w14:paraId="215059E6" w14:textId="77777777" w:rsidR="002B152A" w:rsidRDefault="002B152A" w:rsidP="002B152A">
      <w:pPr>
        <w:rPr>
          <w:rFonts w:hint="eastAsia"/>
        </w:rPr>
      </w:pPr>
      <w:r>
        <w:rPr>
          <w:rFonts w:hint="eastAsia"/>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w:t>
      </w:r>
      <w:r>
        <w:rPr>
          <w:rFonts w:hint="eastAsia"/>
        </w:rPr>
        <w:lastRenderedPageBreak/>
        <w:t>（Diffusion Model）的噪声预测网络逐渐从 U-Net 转向 Transformer 骨架，DiT（Diffusion Transformer）的出现尤为关键，它验证了 Transformer 在生成任务中的普适性。Sora 在此基础上进一步引入时空联合注意力机制，将视频帧作为时空 token 处理，实现了对物理世界动态的初步模拟。</w:t>
      </w:r>
    </w:p>
    <w:p w14:paraId="2295802F" w14:textId="77777777" w:rsidR="002B152A" w:rsidRDefault="002B152A" w:rsidP="002B152A">
      <w:pPr>
        <w:pStyle w:val="4"/>
        <w:rPr>
          <w:rFonts w:hint="eastAsia"/>
        </w:rPr>
      </w:pPr>
      <w:r>
        <w:rPr>
          <w:rFonts w:hint="eastAsia"/>
        </w:rPr>
        <w:t>八、后 Transformer 探索：状态空间模型与混合架构（2023–2025）</w:t>
      </w:r>
    </w:p>
    <w:p w14:paraId="5C634451" w14:textId="77777777" w:rsidR="002B152A" w:rsidRDefault="002B152A" w:rsidP="002B152A">
      <w:pPr>
        <w:rPr>
          <w:rFonts w:hint="eastAsia"/>
        </w:rPr>
      </w:pPr>
      <w:r>
        <w:rPr>
          <w:rFonts w:hint="eastAsia"/>
        </w:rPr>
        <w:t>尽管 Transformer 保持主流地位，但其平方级复杂度催生了替代架构的持续探索。Mamba（2023）基于状态空间模型（State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则通过线性注意力或衰减机制保留部分全局感知能力，同时回归循环结构的常数级内存占用特征。</w:t>
      </w:r>
    </w:p>
    <w:p w14:paraId="6740CEEF" w14:textId="77777777" w:rsidR="002B152A" w:rsidRDefault="002B152A" w:rsidP="002B152A">
      <w:pPr>
        <w:rPr>
          <w:rFonts w:hint="eastAsia"/>
        </w:rPr>
      </w:pPr>
      <w:r>
        <w:rPr>
          <w:rFonts w:hint="eastAsia"/>
        </w:rPr>
        <w:t>当前行业共识倾向于混合架构路线：在局部上下文采用 SSM 或线性注意力降低开销，在全局聚合阶段保留标准注意力机制，而非完全替代 Transformer。这一选择主要受限于硬件生态（CUDA Kernel 优化）、训练框架成熟度及 Scaling 经验的积累。</w:t>
      </w:r>
    </w:p>
    <w:p w14:paraId="3C4F9C2A" w14:textId="77777777" w:rsidR="002B152A" w:rsidRDefault="002B152A" w:rsidP="002B152A">
      <w:pPr>
        <w:pStyle w:val="4"/>
        <w:rPr>
          <w:rFonts w:hint="eastAsia"/>
        </w:rPr>
      </w:pPr>
      <w:r>
        <w:rPr>
          <w:rFonts w:hint="eastAsia"/>
        </w:rPr>
        <w:t>九、推理范式转移：从训练时规模到测试时计算（2024–2026）</w:t>
      </w:r>
    </w:p>
    <w:p w14:paraId="5526BBF7" w14:textId="77777777" w:rsidR="002B152A" w:rsidRDefault="002B152A" w:rsidP="002B152A">
      <w:pPr>
        <w:rPr>
          <w:rFonts w:hint="eastAsia"/>
        </w:rPr>
      </w:pPr>
      <w:r>
        <w:rPr>
          <w:rFonts w:hint="eastAsia"/>
        </w:rPr>
        <w:t>2024 年后，Transformer 的发展重心从"训练更大模型"转向"在推理阶段赋予模型更多计算资源"。</w:t>
      </w:r>
    </w:p>
    <w:p w14:paraId="4A05E239" w14:textId="77777777" w:rsidR="002B152A" w:rsidRDefault="002B152A" w:rsidP="002B152A">
      <w:pPr>
        <w:rPr>
          <w:rFonts w:hint="eastAsia"/>
        </w:rPr>
      </w:pPr>
      <w:r>
        <w:rPr>
          <w:rFonts w:hint="eastAsia"/>
        </w:rPr>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Default="002B152A" w:rsidP="002B152A">
      <w:pPr>
        <w:rPr>
          <w:rFonts w:hint="eastAsia"/>
        </w:rPr>
      </w:pPr>
      <w:r>
        <w:rPr>
          <w:rFonts w:hint="eastAsia"/>
        </w:rPr>
        <w:t>DeepSeek-R1 尤为值得关注：其采用 GRPO（Group Relative Policy Optimization）简化版强化学习算法，以极低的训练成本达到与 o1 相当的推理性能，直接引发了全球推理算力需求的井喷式增长。与此同时，测试时计算扩展（Test-time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Default="002B152A" w:rsidP="002B152A">
      <w:pPr>
        <w:pStyle w:val="4"/>
        <w:rPr>
          <w:rFonts w:hint="eastAsia"/>
        </w:rPr>
      </w:pPr>
      <w:r>
        <w:rPr>
          <w:rFonts w:hint="eastAsia"/>
        </w:rPr>
        <w:t>十、当前前沿：Agent 架构、混合专家与端侧部署（2025–2026）</w:t>
      </w:r>
    </w:p>
    <w:p w14:paraId="7D98D50C" w14:textId="77777777" w:rsidR="002B152A" w:rsidRDefault="002B152A" w:rsidP="002B152A">
      <w:pPr>
        <w:rPr>
          <w:rFonts w:hint="eastAsia"/>
        </w:rPr>
      </w:pPr>
      <w:r>
        <w:rPr>
          <w:rFonts w:hint="eastAsia"/>
        </w:rPr>
        <w:t>Transformer 的当代应用已远超对话机器人范畴，向三个方向深度延伸。</w:t>
      </w:r>
    </w:p>
    <w:p w14:paraId="6B323188" w14:textId="77777777" w:rsidR="002B152A" w:rsidRDefault="002B152A" w:rsidP="002B152A">
      <w:pPr>
        <w:rPr>
          <w:rFonts w:hint="eastAsia"/>
        </w:rPr>
      </w:pPr>
      <w:r>
        <w:rPr>
          <w:rFonts w:hint="eastAsia"/>
        </w:rPr>
        <w:t xml:space="preserve">第一，Agent 架构。当前的前沿系统由基础模型、工具调用接口（如 MCP 协议）、外部记忆模块与规划循环共同构成，使模型能够执行多步骤自主任务，如 OpenClaw 与 </w:t>
      </w:r>
      <w:r>
        <w:rPr>
          <w:rFonts w:hint="eastAsia"/>
        </w:rPr>
        <w:lastRenderedPageBreak/>
        <w:t>Manus 等系统所展示的能力。</w:t>
      </w:r>
    </w:p>
    <w:p w14:paraId="7FA31820" w14:textId="77777777" w:rsidR="002B152A" w:rsidRDefault="002B152A" w:rsidP="002B152A">
      <w:pPr>
        <w:rPr>
          <w:rFonts w:hint="eastAsia"/>
        </w:rPr>
      </w:pPr>
      <w:r>
        <w:rPr>
          <w:rFonts w:hint="eastAsia"/>
        </w:rPr>
        <w:t>第二，混合专家模型（Mixture of Experts, MoE）。通过稀疏激活机制，模型在每次前向传播中仅调用部分参数子集，以三分之一的算力消耗达到同等性能水平。DeepSeek-V3、Mixtral 与 Qwen3 等主流模型已广泛采用该架构。</w:t>
      </w:r>
    </w:p>
    <w:p w14:paraId="2EE18F38" w14:textId="77777777" w:rsidR="002B152A" w:rsidRDefault="002B152A" w:rsidP="002B152A">
      <w:pPr>
        <w:rPr>
          <w:rFonts w:hint="eastAsia"/>
        </w:rPr>
      </w:pPr>
      <w:r>
        <w:rPr>
          <w:rFonts w:hint="eastAsia"/>
        </w:rPr>
        <w:t>第三，端侧与本地推理。通过模型量化、剪枝与蒸馏等压缩技术，结合 NPU 专用芯片，使数十亿至数百亿参数规模的模型能够在消费级设备上运行，手机端部署 7B 至 70B 参数模型已成为常态。</w:t>
      </w:r>
    </w:p>
    <w:p w14:paraId="1E401A1B" w14:textId="77777777" w:rsidR="002B152A" w:rsidRDefault="002B152A" w:rsidP="002B152A">
      <w:pPr>
        <w:rPr>
          <w:rFonts w:hint="eastAsia"/>
        </w:rPr>
      </w:pPr>
      <w:r>
        <w:rPr>
          <w:rFonts w:hint="eastAsia"/>
        </w:rPr>
        <w:t>在物理 AI 领域，Transformer 开始直接处理传感器 token 流并预测物理世界状态，应用于端到端自动驾驶（如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Default="002B152A" w:rsidP="002B152A">
      <w:pPr>
        <w:rPr>
          <w:rFonts w:hint="eastAsia"/>
        </w:rPr>
      </w:pPr>
      <w:r>
        <w:rPr>
          <w:rFonts w:hint="eastAsia"/>
        </w:rPr>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C958CC" w:rsidRDefault="002B152A" w:rsidP="002B152A">
      <w:pPr>
        <w:rPr>
          <w:rFonts w:hint="eastAsia"/>
        </w:rPr>
      </w:pPr>
      <w:r>
        <w:rPr>
          <w:rFonts w:hint="eastAsia"/>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2B152A" w:rsidRDefault="002B152A" w:rsidP="002B152A">
      <w:pPr>
        <w:rPr>
          <w:rFonts w:hint="eastAsia"/>
        </w:rPr>
      </w:pPr>
    </w:p>
    <w:sectPr w:rsidR="002B152A" w:rsidRPr="002B152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曦瑾" w:date="2026-04-28T16:33:00Z" w:initials="ZX">
    <w:p w14:paraId="748A7553" w14:textId="77777777" w:rsidR="001C0E59" w:rsidRDefault="001C0E59" w:rsidP="001C0E59">
      <w:pPr>
        <w:pStyle w:val="af8"/>
        <w:rPr>
          <w:rFonts w:hint="eastAsia"/>
        </w:rPr>
      </w:pPr>
      <w:r>
        <w:rPr>
          <w:rStyle w:val="af7"/>
          <w:rFonts w:hint="eastAsia"/>
        </w:rPr>
        <w:annotationRef/>
      </w:r>
      <w:r>
        <w:rPr>
          <w:rFonts w:hint="eastAsia"/>
        </w:rPr>
        <w:t>一会下去看一眼智谱数据到底是什么情况</w:t>
      </w:r>
    </w:p>
  </w:comment>
  <w:comment w:id="1" w:author="张曦瑾" w:date="2026-04-28T16:43:00Z" w:initials="ZX">
    <w:p w14:paraId="24DED4B4" w14:textId="77777777" w:rsidR="006E3EE6" w:rsidRDefault="006E3EE6" w:rsidP="006E3EE6">
      <w:pPr>
        <w:pStyle w:val="af8"/>
        <w:rPr>
          <w:rFonts w:hint="eastAsia"/>
        </w:rPr>
      </w:pPr>
      <w:r>
        <w:rPr>
          <w:rStyle w:val="af7"/>
          <w:rFonts w:hint="eastAsia"/>
        </w:rPr>
        <w:annotationRef/>
      </w:r>
      <w:r>
        <w:rPr>
          <w:rFonts w:hint="eastAsia"/>
        </w:rPr>
        <w:t>这里还可以加点国外案例</w:t>
      </w:r>
    </w:p>
  </w:comment>
  <w:comment w:id="2" w:author="张曦瑾" w:date="2026-04-28T17:02:00Z" w:initials="ZX">
    <w:p w14:paraId="4CBD6B8E" w14:textId="77777777" w:rsidR="006B17D5" w:rsidRDefault="006B17D5" w:rsidP="006B17D5">
      <w:pPr>
        <w:pStyle w:val="af8"/>
        <w:rPr>
          <w:rFonts w:hint="eastAsia"/>
        </w:rPr>
      </w:pPr>
      <w:r>
        <w:rPr>
          <w:rStyle w:val="af7"/>
          <w:rFonts w:hint="eastAsia"/>
        </w:rPr>
        <w:annotationRef/>
      </w:r>
      <w:r>
        <w:rPr>
          <w:rFonts w:hint="eastAsia"/>
        </w:rPr>
        <w:t>这里可以提一下下半年的超节点</w:t>
      </w:r>
    </w:p>
  </w:comment>
  <w:comment w:id="3" w:author="张曦瑾" w:date="2026-04-28T17:07:00Z" w:initials="ZX">
    <w:p w14:paraId="1CBE37AA" w14:textId="77777777" w:rsidR="00303327" w:rsidRDefault="00303327" w:rsidP="00303327">
      <w:pPr>
        <w:pStyle w:val="af8"/>
        <w:rPr>
          <w:rFonts w:hint="eastAsia"/>
        </w:rPr>
      </w:pPr>
      <w:r>
        <w:rPr>
          <w:rStyle w:val="af7"/>
          <w:rFonts w:hint="eastAsia"/>
        </w:rPr>
        <w:annotationRef/>
      </w:r>
      <w:r>
        <w:rPr>
          <w:rFonts w:hint="eastAsia"/>
        </w:rPr>
        <w:t>待验证</w:t>
      </w:r>
    </w:p>
  </w:comment>
  <w:comment w:id="4" w:author="Zijun Zhou" w:date="2026-04-28T21:40:00Z" w:initials="ZZ">
    <w:p w14:paraId="7170B04B" w14:textId="77777777" w:rsidR="007C2934" w:rsidRDefault="007C2934">
      <w:pPr>
        <w:pStyle w:val="af8"/>
      </w:pPr>
      <w:r>
        <w:rPr>
          <w:rStyle w:val="af7"/>
          <w:rFonts w:hint="eastAsia"/>
        </w:rPr>
        <w:annotationRef/>
      </w:r>
      <w:r>
        <w:rPr>
          <w:rFonts w:hint="eastAsia"/>
        </w:rPr>
        <w:t>数据老了</w:t>
      </w:r>
    </w:p>
    <w:p w14:paraId="6D5E14B5" w14:textId="3B3368F8" w:rsidR="007C2934" w:rsidRDefault="007C2934">
      <w:pPr>
        <w:pStyle w:val="af8"/>
        <w:rPr>
          <w:rFonts w:hint="eastAsia"/>
        </w:rPr>
      </w:pPr>
    </w:p>
  </w:comment>
  <w:comment w:id="5" w:author="Zijun Zhou" w:date="2026-04-28T21:41:00Z" w:initials="ZZ">
    <w:p w14:paraId="01AB99A4" w14:textId="2F31DB9B" w:rsidR="007C2934" w:rsidRDefault="007C2934">
      <w:pPr>
        <w:pStyle w:val="af8"/>
        <w:rPr>
          <w:rFonts w:hint="eastAsia"/>
        </w:rPr>
      </w:pPr>
      <w:r>
        <w:rPr>
          <w:rStyle w:val="af7"/>
          <w:rFonts w:hint="eastAsi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A7553" w15:done="0"/>
  <w15:commentEx w15:paraId="24DED4B4" w15:done="0"/>
  <w15:commentEx w15:paraId="4CBD6B8E" w15:done="0"/>
  <w15:commentEx w15:paraId="1CBE37AA" w15:done="0"/>
  <w15:commentEx w15:paraId="6D5E14B5" w15:done="0"/>
  <w15:commentEx w15:paraId="01AB99A4" w15:paraIdParent="6D5E1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9EA294" w16cex:dateUtc="2026-04-28T08:33:00Z"/>
  <w16cex:commentExtensible w16cex:durableId="183365DD" w16cex:dateUtc="2026-04-28T08:43:00Z"/>
  <w16cex:commentExtensible w16cex:durableId="4190EADE" w16cex:dateUtc="2026-04-28T09:02:00Z"/>
  <w16cex:commentExtensible w16cex:durableId="77E019AE" w16cex:dateUtc="2026-04-28T09:07:00Z"/>
  <w16cex:commentExtensible w16cex:durableId="30D3A9D6" w16cex:dateUtc="2026-04-28T13:40:00Z"/>
  <w16cex:commentExtensible w16cex:durableId="7CFE5F4E" w16cex:dateUtc="2026-04-28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A7553" w16cid:durableId="249EA294"/>
  <w16cid:commentId w16cid:paraId="24DED4B4" w16cid:durableId="183365DD"/>
  <w16cid:commentId w16cid:paraId="4CBD6B8E" w16cid:durableId="4190EADE"/>
  <w16cid:commentId w16cid:paraId="1CBE37AA" w16cid:durableId="77E019AE"/>
  <w16cid:commentId w16cid:paraId="6D5E14B5" w16cid:durableId="30D3A9D6"/>
  <w16cid:commentId w16cid:paraId="01AB99A4" w16cid:durableId="7CFE5F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6614" w14:textId="77777777" w:rsidR="00810AB6" w:rsidRDefault="00810AB6" w:rsidP="00ED5BD8">
      <w:pPr>
        <w:spacing w:after="0" w:line="240" w:lineRule="auto"/>
        <w:rPr>
          <w:rFonts w:hint="eastAsia"/>
        </w:rPr>
      </w:pPr>
      <w:r>
        <w:separator/>
      </w:r>
    </w:p>
  </w:endnote>
  <w:endnote w:type="continuationSeparator" w:id="0">
    <w:p w14:paraId="4B13B9E2" w14:textId="77777777" w:rsidR="00810AB6" w:rsidRDefault="00810AB6"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0000000000000000000"/>
    <w:charset w:val="86"/>
    <w:family w:val="roman"/>
    <w:notTrueType/>
    <w:pitch w:val="default"/>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7445" w14:textId="77777777" w:rsidR="00810AB6" w:rsidRDefault="00810AB6" w:rsidP="00ED5BD8">
      <w:pPr>
        <w:spacing w:after="0" w:line="240" w:lineRule="auto"/>
        <w:rPr>
          <w:rFonts w:hint="eastAsia"/>
        </w:rPr>
      </w:pPr>
      <w:r>
        <w:separator/>
      </w:r>
    </w:p>
  </w:footnote>
  <w:footnote w:type="continuationSeparator" w:id="0">
    <w:p w14:paraId="40932234" w14:textId="77777777" w:rsidR="00810AB6" w:rsidRDefault="00810AB6"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9F"/>
    <w:multiLevelType w:val="hybridMultilevel"/>
    <w:tmpl w:val="8CAAF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323A4C"/>
    <w:multiLevelType w:val="hybridMultilevel"/>
    <w:tmpl w:val="78C81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5624A"/>
    <w:multiLevelType w:val="hybridMultilevel"/>
    <w:tmpl w:val="FB22F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6814EE4"/>
    <w:multiLevelType w:val="hybridMultilevel"/>
    <w:tmpl w:val="B13AB2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D326D"/>
    <w:multiLevelType w:val="hybridMultilevel"/>
    <w:tmpl w:val="919A5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A492ED9"/>
    <w:multiLevelType w:val="hybridMultilevel"/>
    <w:tmpl w:val="D986759A"/>
    <w:lvl w:ilvl="0" w:tplc="BF26C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16724">
    <w:abstractNumId w:val="3"/>
  </w:num>
  <w:num w:numId="2" w16cid:durableId="1276331340">
    <w:abstractNumId w:val="9"/>
  </w:num>
  <w:num w:numId="3" w16cid:durableId="1749885008">
    <w:abstractNumId w:val="6"/>
  </w:num>
  <w:num w:numId="4" w16cid:durableId="1451164397">
    <w:abstractNumId w:val="0"/>
  </w:num>
  <w:num w:numId="5" w16cid:durableId="805704556">
    <w:abstractNumId w:val="7"/>
  </w:num>
  <w:num w:numId="6" w16cid:durableId="1243754326">
    <w:abstractNumId w:val="5"/>
  </w:num>
  <w:num w:numId="7" w16cid:durableId="631129675">
    <w:abstractNumId w:val="11"/>
  </w:num>
  <w:num w:numId="8" w16cid:durableId="1571427239">
    <w:abstractNumId w:val="4"/>
  </w:num>
  <w:num w:numId="9" w16cid:durableId="972246471">
    <w:abstractNumId w:val="1"/>
  </w:num>
  <w:num w:numId="10" w16cid:durableId="216018807">
    <w:abstractNumId w:val="2"/>
  </w:num>
  <w:num w:numId="11" w16cid:durableId="41171317">
    <w:abstractNumId w:val="10"/>
  </w:num>
  <w:num w:numId="12" w16cid:durableId="187920222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rson w15:author="Zijun Zhou">
    <w15:presenceInfo w15:providerId="Windows Live" w15:userId="f34a30730b722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24FDB"/>
    <w:rsid w:val="00025672"/>
    <w:rsid w:val="000271F1"/>
    <w:rsid w:val="0003199B"/>
    <w:rsid w:val="00043F4A"/>
    <w:rsid w:val="00051E29"/>
    <w:rsid w:val="00056BAE"/>
    <w:rsid w:val="000604DE"/>
    <w:rsid w:val="00095A8E"/>
    <w:rsid w:val="000A5EFB"/>
    <w:rsid w:val="000B1790"/>
    <w:rsid w:val="000B5933"/>
    <w:rsid w:val="000C7B8B"/>
    <w:rsid w:val="000E1CBC"/>
    <w:rsid w:val="000E3FAC"/>
    <w:rsid w:val="000F03F7"/>
    <w:rsid w:val="00123A11"/>
    <w:rsid w:val="00123EB4"/>
    <w:rsid w:val="00125EBC"/>
    <w:rsid w:val="001506AE"/>
    <w:rsid w:val="0015187D"/>
    <w:rsid w:val="00152E11"/>
    <w:rsid w:val="001530C3"/>
    <w:rsid w:val="001577D2"/>
    <w:rsid w:val="001630F9"/>
    <w:rsid w:val="001650E9"/>
    <w:rsid w:val="001668B0"/>
    <w:rsid w:val="00186848"/>
    <w:rsid w:val="00191FB0"/>
    <w:rsid w:val="001C0E59"/>
    <w:rsid w:val="001E5969"/>
    <w:rsid w:val="001F2331"/>
    <w:rsid w:val="001F5B5D"/>
    <w:rsid w:val="00200C80"/>
    <w:rsid w:val="00201B38"/>
    <w:rsid w:val="00202714"/>
    <w:rsid w:val="0020273E"/>
    <w:rsid w:val="00226F19"/>
    <w:rsid w:val="00230CC8"/>
    <w:rsid w:val="002576D6"/>
    <w:rsid w:val="00270210"/>
    <w:rsid w:val="00283F56"/>
    <w:rsid w:val="00284EEB"/>
    <w:rsid w:val="00285142"/>
    <w:rsid w:val="00285D82"/>
    <w:rsid w:val="00295861"/>
    <w:rsid w:val="002A6C7F"/>
    <w:rsid w:val="002A7ABA"/>
    <w:rsid w:val="002B152A"/>
    <w:rsid w:val="002B7155"/>
    <w:rsid w:val="002D2712"/>
    <w:rsid w:val="002D42B4"/>
    <w:rsid w:val="002E2ADA"/>
    <w:rsid w:val="00302DA0"/>
    <w:rsid w:val="00303327"/>
    <w:rsid w:val="00305D10"/>
    <w:rsid w:val="0032078D"/>
    <w:rsid w:val="00321AA2"/>
    <w:rsid w:val="00323214"/>
    <w:rsid w:val="0032523A"/>
    <w:rsid w:val="0033367F"/>
    <w:rsid w:val="00334673"/>
    <w:rsid w:val="003518D6"/>
    <w:rsid w:val="00352BE2"/>
    <w:rsid w:val="0035324D"/>
    <w:rsid w:val="00355EB6"/>
    <w:rsid w:val="00374E1B"/>
    <w:rsid w:val="00392096"/>
    <w:rsid w:val="00394936"/>
    <w:rsid w:val="003C28D7"/>
    <w:rsid w:val="003C3D71"/>
    <w:rsid w:val="003C612B"/>
    <w:rsid w:val="003D13CA"/>
    <w:rsid w:val="003E3D4A"/>
    <w:rsid w:val="003F6332"/>
    <w:rsid w:val="00411C12"/>
    <w:rsid w:val="0041670E"/>
    <w:rsid w:val="00431645"/>
    <w:rsid w:val="004476CF"/>
    <w:rsid w:val="004745AC"/>
    <w:rsid w:val="0049155E"/>
    <w:rsid w:val="004919A6"/>
    <w:rsid w:val="00497691"/>
    <w:rsid w:val="004B23DD"/>
    <w:rsid w:val="004C0C4B"/>
    <w:rsid w:val="004D35EB"/>
    <w:rsid w:val="004E0DBF"/>
    <w:rsid w:val="004E197F"/>
    <w:rsid w:val="004E2B3F"/>
    <w:rsid w:val="004E59A8"/>
    <w:rsid w:val="004E7111"/>
    <w:rsid w:val="005021C0"/>
    <w:rsid w:val="00502A8D"/>
    <w:rsid w:val="00507D96"/>
    <w:rsid w:val="005207AD"/>
    <w:rsid w:val="00522A5F"/>
    <w:rsid w:val="0054710A"/>
    <w:rsid w:val="0056114B"/>
    <w:rsid w:val="0056725F"/>
    <w:rsid w:val="00583DC5"/>
    <w:rsid w:val="005852F8"/>
    <w:rsid w:val="005870B1"/>
    <w:rsid w:val="00595591"/>
    <w:rsid w:val="005B66B5"/>
    <w:rsid w:val="005C20A7"/>
    <w:rsid w:val="005C37A9"/>
    <w:rsid w:val="005C7CF0"/>
    <w:rsid w:val="005F537F"/>
    <w:rsid w:val="005F60E0"/>
    <w:rsid w:val="006077D9"/>
    <w:rsid w:val="00616B09"/>
    <w:rsid w:val="00621C0E"/>
    <w:rsid w:val="00640657"/>
    <w:rsid w:val="00640E09"/>
    <w:rsid w:val="006458B1"/>
    <w:rsid w:val="00670567"/>
    <w:rsid w:val="00676291"/>
    <w:rsid w:val="00695D4E"/>
    <w:rsid w:val="00697D7C"/>
    <w:rsid w:val="006B17D5"/>
    <w:rsid w:val="006C08FF"/>
    <w:rsid w:val="006D7A4C"/>
    <w:rsid w:val="006E3EE6"/>
    <w:rsid w:val="006E47D3"/>
    <w:rsid w:val="006F19A7"/>
    <w:rsid w:val="007017EE"/>
    <w:rsid w:val="007066EE"/>
    <w:rsid w:val="00706CB6"/>
    <w:rsid w:val="00715D18"/>
    <w:rsid w:val="00717324"/>
    <w:rsid w:val="007331D0"/>
    <w:rsid w:val="007433F7"/>
    <w:rsid w:val="007437A2"/>
    <w:rsid w:val="007470EE"/>
    <w:rsid w:val="007529B1"/>
    <w:rsid w:val="007677E5"/>
    <w:rsid w:val="00772A2F"/>
    <w:rsid w:val="00786349"/>
    <w:rsid w:val="007877C6"/>
    <w:rsid w:val="00787DD9"/>
    <w:rsid w:val="007A5695"/>
    <w:rsid w:val="007A6F08"/>
    <w:rsid w:val="007B42F1"/>
    <w:rsid w:val="007B672F"/>
    <w:rsid w:val="007C2934"/>
    <w:rsid w:val="007C4D23"/>
    <w:rsid w:val="007C59C6"/>
    <w:rsid w:val="007C5F09"/>
    <w:rsid w:val="007D0D0D"/>
    <w:rsid w:val="007E3166"/>
    <w:rsid w:val="007F032A"/>
    <w:rsid w:val="00804767"/>
    <w:rsid w:val="00810AB6"/>
    <w:rsid w:val="008323C7"/>
    <w:rsid w:val="00834FE0"/>
    <w:rsid w:val="0084086B"/>
    <w:rsid w:val="00852E95"/>
    <w:rsid w:val="0086181D"/>
    <w:rsid w:val="008675F9"/>
    <w:rsid w:val="008A0847"/>
    <w:rsid w:val="008B727D"/>
    <w:rsid w:val="008C0151"/>
    <w:rsid w:val="008C081F"/>
    <w:rsid w:val="008C2032"/>
    <w:rsid w:val="008C207A"/>
    <w:rsid w:val="008C6C65"/>
    <w:rsid w:val="008D0FD5"/>
    <w:rsid w:val="008D416D"/>
    <w:rsid w:val="008D5F95"/>
    <w:rsid w:val="008D64F8"/>
    <w:rsid w:val="008D6F95"/>
    <w:rsid w:val="008F37E4"/>
    <w:rsid w:val="008F797B"/>
    <w:rsid w:val="00903F5B"/>
    <w:rsid w:val="00916A2C"/>
    <w:rsid w:val="0094272B"/>
    <w:rsid w:val="0094627B"/>
    <w:rsid w:val="00952AAA"/>
    <w:rsid w:val="00963E1A"/>
    <w:rsid w:val="00976034"/>
    <w:rsid w:val="0098006A"/>
    <w:rsid w:val="009824F1"/>
    <w:rsid w:val="009876D7"/>
    <w:rsid w:val="009933AA"/>
    <w:rsid w:val="009B4A67"/>
    <w:rsid w:val="009C2CE9"/>
    <w:rsid w:val="009C4AF1"/>
    <w:rsid w:val="009C74CB"/>
    <w:rsid w:val="009D545F"/>
    <w:rsid w:val="009E6ACD"/>
    <w:rsid w:val="009F0B3E"/>
    <w:rsid w:val="00A054F9"/>
    <w:rsid w:val="00A175AC"/>
    <w:rsid w:val="00A2761B"/>
    <w:rsid w:val="00A27798"/>
    <w:rsid w:val="00A33732"/>
    <w:rsid w:val="00A410A7"/>
    <w:rsid w:val="00A42112"/>
    <w:rsid w:val="00A670C9"/>
    <w:rsid w:val="00A803F3"/>
    <w:rsid w:val="00A91E4D"/>
    <w:rsid w:val="00A973A2"/>
    <w:rsid w:val="00AB1CFB"/>
    <w:rsid w:val="00AB7A53"/>
    <w:rsid w:val="00AC20A2"/>
    <w:rsid w:val="00AC2670"/>
    <w:rsid w:val="00AC39E4"/>
    <w:rsid w:val="00AC637A"/>
    <w:rsid w:val="00AD5736"/>
    <w:rsid w:val="00AD5738"/>
    <w:rsid w:val="00AD7077"/>
    <w:rsid w:val="00AE61E5"/>
    <w:rsid w:val="00B01A0A"/>
    <w:rsid w:val="00B104F9"/>
    <w:rsid w:val="00B123F7"/>
    <w:rsid w:val="00B23F1D"/>
    <w:rsid w:val="00B2437D"/>
    <w:rsid w:val="00B358D3"/>
    <w:rsid w:val="00B417DC"/>
    <w:rsid w:val="00B471C8"/>
    <w:rsid w:val="00B4783E"/>
    <w:rsid w:val="00B47AA5"/>
    <w:rsid w:val="00B54E1E"/>
    <w:rsid w:val="00B563C8"/>
    <w:rsid w:val="00B660DB"/>
    <w:rsid w:val="00B81B1A"/>
    <w:rsid w:val="00B9788C"/>
    <w:rsid w:val="00BA3AFA"/>
    <w:rsid w:val="00BA5607"/>
    <w:rsid w:val="00BB477E"/>
    <w:rsid w:val="00BD42A1"/>
    <w:rsid w:val="00BE5EC9"/>
    <w:rsid w:val="00BF1C60"/>
    <w:rsid w:val="00BF2A01"/>
    <w:rsid w:val="00BF76FA"/>
    <w:rsid w:val="00C03062"/>
    <w:rsid w:val="00C04682"/>
    <w:rsid w:val="00C10975"/>
    <w:rsid w:val="00C162B2"/>
    <w:rsid w:val="00C2236D"/>
    <w:rsid w:val="00C22F0C"/>
    <w:rsid w:val="00C3234E"/>
    <w:rsid w:val="00C35FE9"/>
    <w:rsid w:val="00C363A7"/>
    <w:rsid w:val="00C42458"/>
    <w:rsid w:val="00C51BBE"/>
    <w:rsid w:val="00C546AE"/>
    <w:rsid w:val="00C7160C"/>
    <w:rsid w:val="00C756A5"/>
    <w:rsid w:val="00C958CC"/>
    <w:rsid w:val="00CB4E84"/>
    <w:rsid w:val="00CC04E8"/>
    <w:rsid w:val="00CD79AB"/>
    <w:rsid w:val="00CE3A56"/>
    <w:rsid w:val="00CF0BD1"/>
    <w:rsid w:val="00CF1798"/>
    <w:rsid w:val="00CF4646"/>
    <w:rsid w:val="00CF5688"/>
    <w:rsid w:val="00D0013B"/>
    <w:rsid w:val="00D030E0"/>
    <w:rsid w:val="00D1336A"/>
    <w:rsid w:val="00D22639"/>
    <w:rsid w:val="00D4361A"/>
    <w:rsid w:val="00D4502A"/>
    <w:rsid w:val="00D6092B"/>
    <w:rsid w:val="00D616A2"/>
    <w:rsid w:val="00D6582C"/>
    <w:rsid w:val="00D711DA"/>
    <w:rsid w:val="00D72D41"/>
    <w:rsid w:val="00D72F3D"/>
    <w:rsid w:val="00D7733C"/>
    <w:rsid w:val="00D807B9"/>
    <w:rsid w:val="00D941B8"/>
    <w:rsid w:val="00D968D6"/>
    <w:rsid w:val="00DB5844"/>
    <w:rsid w:val="00DC3515"/>
    <w:rsid w:val="00DC38C7"/>
    <w:rsid w:val="00DD3AD6"/>
    <w:rsid w:val="00DD5A00"/>
    <w:rsid w:val="00E0149C"/>
    <w:rsid w:val="00E15B8F"/>
    <w:rsid w:val="00E2535F"/>
    <w:rsid w:val="00E26856"/>
    <w:rsid w:val="00E33CB9"/>
    <w:rsid w:val="00E46432"/>
    <w:rsid w:val="00E5628C"/>
    <w:rsid w:val="00E7542E"/>
    <w:rsid w:val="00EA085A"/>
    <w:rsid w:val="00EB1A24"/>
    <w:rsid w:val="00EB261C"/>
    <w:rsid w:val="00EB5EA6"/>
    <w:rsid w:val="00EC0A6E"/>
    <w:rsid w:val="00EC4FE3"/>
    <w:rsid w:val="00ED491D"/>
    <w:rsid w:val="00ED5BD8"/>
    <w:rsid w:val="00ED7D24"/>
    <w:rsid w:val="00EE4224"/>
    <w:rsid w:val="00F02816"/>
    <w:rsid w:val="00F03515"/>
    <w:rsid w:val="00F06280"/>
    <w:rsid w:val="00F06836"/>
    <w:rsid w:val="00F07763"/>
    <w:rsid w:val="00F078F9"/>
    <w:rsid w:val="00F23CFB"/>
    <w:rsid w:val="00F3119A"/>
    <w:rsid w:val="00F414BF"/>
    <w:rsid w:val="00F4738C"/>
    <w:rsid w:val="00F52A30"/>
    <w:rsid w:val="00F632BD"/>
    <w:rsid w:val="00F72912"/>
    <w:rsid w:val="00F7444A"/>
    <w:rsid w:val="00F8698F"/>
    <w:rsid w:val="00FA494B"/>
    <w:rsid w:val="00FB2BF4"/>
    <w:rsid w:val="00FC5A3D"/>
    <w:rsid w:val="00FD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 Id="rId10" Type="http://schemas.openxmlformats.org/officeDocument/2006/relationships/comments" Target="comments.xml" /><Relationship Id="rId11" Type="http://schemas.microsoft.com/office/2011/relationships/commentsExtended" Target="commentsExtended.xml" /><Relationship Id="rId12" Type="http://schemas.microsoft.com/office/2016/09/relationships/commentsIds" Target="commentsIds.xml" /><Relationship Id="rId13" Type="http://schemas.microsoft.com/office/2018/08/relationships/commentsExtensible" Target="commentsExtensible.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image" Target="media/image8.png" /><Relationship Id="rId19" Type="http://schemas.openxmlformats.org/officeDocument/2006/relationships/image" Target="media/image9.png" /><Relationship Id="rId20" Type="http://schemas.openxmlformats.org/officeDocument/2006/relationships/hyperlink" Target="https://xueqiu.com/1107854878/330815418" TargetMode="External"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fontTable" Target="fontTable.xml" /><Relationship Id="rId25" Type="http://schemas.microsoft.com/office/2011/relationships/people" Target="people.xml" /><Relationship Id="rId2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45</Pages>
  <Words>18535</Words>
  <Characters>21317</Characters>
  <Application>Microsoft Office Word</Application>
  <DocSecurity>0</DocSecurity>
  <Lines>1015</Lines>
  <Paragraphs>687</Paragraphs>
  <ScaleCrop>false</ScaleCrop>
  <Company/>
  <LinksUpToDate>false</LinksUpToDate>
  <CharactersWithSpaces>39165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Zijun Zhou</cp:lastModifiedBy>
  <cp:revision>14</cp:revision>
  <dcterms:created xsi:type="dcterms:W3CDTF">2026-04-28T12:43:00Z</dcterms:created>
  <dcterms:modified xsi:type="dcterms:W3CDTF">2026-04-28T14:59:00Z</dcterms:modified>
</cp:coreProperties>
</file>