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7A24"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456FC3D5"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26700972"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7F9F8F37"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4BF35D26"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60330747"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602E75B7" w14:textId="77777777" w:rsidR="00E40B2D" w:rsidRPr="00E40B2D" w:rsidRDefault="00E40B2D" w:rsidP="00774D99">
      <w:pPr>
        <w:spacing w:after="0" w:line="360" w:lineRule="auto"/>
        <w:jc w:val="both"/>
        <w:rPr>
          <w:rFonts w:ascii="Times New Roman" w:eastAsia="楷体" w:hAnsi="Times New Roman" w:cs="Times New Roman"/>
          <w:b/>
          <w:bCs/>
          <w:sz w:val="28"/>
          <w:szCs w:val="28"/>
          <w14:ligatures w14:val="none"/>
        </w:rPr>
      </w:pPr>
    </w:p>
    <w:p w14:paraId="1174A9E2" w14:textId="6ABEAA77" w:rsidR="00E40B2D" w:rsidRPr="00E40B2D" w:rsidRDefault="00E97DA7" w:rsidP="00774D99">
      <w:pPr>
        <w:spacing w:after="0" w:line="360" w:lineRule="auto"/>
        <w:jc w:val="both"/>
        <w:rPr>
          <w:rFonts w:ascii="Times New Roman" w:eastAsia="楷体" w:hAnsi="Times New Roman" w:cs="Times New Roman"/>
          <w:b/>
          <w:bCs/>
          <w:sz w:val="48"/>
          <w:szCs w:val="48"/>
          <w14:ligatures w14:val="none"/>
        </w:rPr>
      </w:pPr>
      <w:r>
        <w:rPr>
          <w:rFonts w:ascii="Times New Roman" w:eastAsia="楷体" w:hAnsi="Times New Roman" w:cs="Times New Roman" w:hint="eastAsia"/>
          <w:b/>
          <w:bCs/>
          <w:sz w:val="48"/>
          <w:szCs w:val="48"/>
          <w14:ligatures w14:val="none"/>
        </w:rPr>
        <w:t>基础大模型行业</w:t>
      </w:r>
    </w:p>
    <w:p w14:paraId="52614CE2" w14:textId="63E2CD78" w:rsidR="00E40B2D" w:rsidRPr="00E40B2D" w:rsidRDefault="00E97DA7" w:rsidP="00774D99">
      <w:pPr>
        <w:spacing w:after="0" w:line="360" w:lineRule="auto"/>
        <w:jc w:val="both"/>
        <w:rPr>
          <w:rFonts w:ascii="Times New Roman" w:eastAsia="楷体" w:hAnsi="Times New Roman" w:cs="Times New Roman"/>
          <w:b/>
          <w:bCs/>
          <w:sz w:val="48"/>
          <w:szCs w:val="48"/>
          <w14:ligatures w14:val="none"/>
        </w:rPr>
      </w:pPr>
      <w:r>
        <w:rPr>
          <w:rFonts w:ascii="Times New Roman" w:eastAsia="楷体" w:hAnsi="Times New Roman" w:cs="Times New Roman" w:hint="eastAsia"/>
          <w:b/>
          <w:bCs/>
          <w:sz w:val="48"/>
          <w:szCs w:val="48"/>
          <w14:ligatures w14:val="none"/>
        </w:rPr>
        <w:t>深度研究报告</w:t>
      </w:r>
    </w:p>
    <w:p w14:paraId="2332C672"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3ECF600C"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23814972"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306A7833"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22D8612B"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43BC227A"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06E5BB12"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41D3DC29"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014D2B8A" w14:textId="5C538E09" w:rsidR="00E40B2D" w:rsidRPr="00E97DA7" w:rsidRDefault="00E97DA7" w:rsidP="00774D99">
      <w:pPr>
        <w:spacing w:after="0" w:line="360" w:lineRule="auto"/>
        <w:jc w:val="both"/>
        <w:rPr>
          <w:rFonts w:ascii="Times New Roman" w:eastAsia="楷体" w:hAnsi="Times New Roman" w:cs="Times New Roman"/>
          <w:sz w:val="48"/>
          <w:szCs w:val="48"/>
          <w14:ligatures w14:val="none"/>
        </w:rPr>
      </w:pPr>
      <w:r w:rsidRPr="00E97DA7">
        <w:rPr>
          <w:rFonts w:ascii="Times New Roman" w:eastAsia="楷体" w:hAnsi="Times New Roman" w:cs="Times New Roman" w:hint="eastAsia"/>
          <w:sz w:val="48"/>
          <w:szCs w:val="48"/>
          <w14:ligatures w14:val="none"/>
        </w:rPr>
        <w:t>2026</w:t>
      </w:r>
      <w:r w:rsidRPr="00E97DA7">
        <w:rPr>
          <w:rFonts w:ascii="Times New Roman" w:eastAsia="楷体" w:hAnsi="Times New Roman" w:cs="Times New Roman" w:hint="eastAsia"/>
          <w:sz w:val="48"/>
          <w:szCs w:val="48"/>
          <w14:ligatures w14:val="none"/>
        </w:rPr>
        <w:t>年</w:t>
      </w:r>
      <w:r w:rsidRPr="00E97DA7">
        <w:rPr>
          <w:rFonts w:ascii="Times New Roman" w:eastAsia="楷体" w:hAnsi="Times New Roman" w:cs="Times New Roman" w:hint="eastAsia"/>
          <w:sz w:val="48"/>
          <w:szCs w:val="48"/>
          <w14:ligatures w14:val="none"/>
        </w:rPr>
        <w:t>4</w:t>
      </w:r>
      <w:r w:rsidRPr="00E97DA7">
        <w:rPr>
          <w:rFonts w:ascii="Times New Roman" w:eastAsia="楷体" w:hAnsi="Times New Roman" w:cs="Times New Roman" w:hint="eastAsia"/>
          <w:sz w:val="48"/>
          <w:szCs w:val="48"/>
          <w14:ligatures w14:val="none"/>
        </w:rPr>
        <w:t>月</w:t>
      </w:r>
    </w:p>
    <w:p w14:paraId="7E17314F"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4E12DC88"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4050E2A4"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3AC57BBA" w14:textId="77777777" w:rsidR="00E40B2D" w:rsidRPr="00E40B2D" w:rsidRDefault="00E40B2D" w:rsidP="00774D99">
      <w:pPr>
        <w:spacing w:after="0" w:line="360" w:lineRule="auto"/>
        <w:jc w:val="both"/>
        <w:rPr>
          <w:rFonts w:ascii="Times New Roman" w:eastAsia="楷体" w:hAnsi="Times New Roman" w:cs="Times New Roman"/>
          <w:b/>
          <w:bCs/>
          <w:sz w:val="48"/>
          <w:szCs w:val="48"/>
          <w14:ligatures w14:val="none"/>
        </w:rPr>
      </w:pPr>
    </w:p>
    <w:p w14:paraId="17DE465C" w14:textId="39C7A303" w:rsidR="001A5243" w:rsidRPr="001A5243" w:rsidRDefault="001A5243" w:rsidP="00774D99">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lastRenderedPageBreak/>
        <w:t>声</w:t>
      </w:r>
      <w:r w:rsidRPr="001A5243">
        <w:rPr>
          <w:rFonts w:ascii="Times New Roman" w:eastAsia="楷体" w:hAnsi="Times New Roman" w:cs="Times New Roman"/>
          <w:b/>
          <w:bCs/>
          <w:sz w:val="24"/>
          <w:szCs w:val="22"/>
          <w14:ligatures w14:val="none"/>
        </w:rPr>
        <w:t xml:space="preserve"> </w:t>
      </w:r>
      <w:r w:rsidRPr="001A5243">
        <w:rPr>
          <w:rFonts w:ascii="Times New Roman" w:eastAsia="楷体" w:hAnsi="Times New Roman" w:cs="Times New Roman"/>
          <w:b/>
          <w:bCs/>
          <w:sz w:val="24"/>
          <w:szCs w:val="22"/>
          <w14:ligatures w14:val="none"/>
        </w:rPr>
        <w:t>明</w:t>
      </w:r>
    </w:p>
    <w:p w14:paraId="453DE4FA" w14:textId="77777777" w:rsidR="001A5243" w:rsidRPr="001A5243" w:rsidRDefault="001A5243" w:rsidP="00774D99">
      <w:pPr>
        <w:spacing w:after="0" w:line="360" w:lineRule="auto"/>
        <w:jc w:val="both"/>
        <w:rPr>
          <w:rFonts w:ascii="Times New Roman" w:eastAsia="楷体" w:hAnsi="Times New Roman" w:cs="Times New Roman"/>
          <w:b/>
          <w:bCs/>
          <w:sz w:val="24"/>
          <w:szCs w:val="22"/>
          <w14:ligatures w14:val="none"/>
        </w:rPr>
      </w:pPr>
    </w:p>
    <w:p w14:paraId="72863571" w14:textId="0EBC6A12" w:rsidR="001A5243" w:rsidRPr="00810DAC" w:rsidRDefault="00810DAC" w:rsidP="00D75EE9">
      <w:pPr>
        <w:adjustRightInd w:val="0"/>
        <w:snapToGrid w:val="0"/>
        <w:spacing w:after="0" w:line="360" w:lineRule="auto"/>
        <w:jc w:val="both"/>
        <w:rPr>
          <w:rFonts w:ascii="Times New Roman" w:eastAsia="楷体" w:hAnsi="Times New Roman" w:cs="Times New Roman"/>
          <w:b/>
          <w:bCs/>
          <w:sz w:val="24"/>
          <w:szCs w:val="22"/>
          <w14:ligatures w14:val="none"/>
        </w:rPr>
      </w:pPr>
      <w:r>
        <w:rPr>
          <w:rFonts w:ascii="Times New Roman" w:eastAsia="楷体" w:hAnsi="Times New Roman" w:cs="Times New Roman" w:hint="eastAsia"/>
          <w:b/>
          <w:bCs/>
          <w:sz w:val="24"/>
          <w:szCs w:val="22"/>
          <w14:ligatures w14:val="none"/>
        </w:rPr>
        <w:t>一、</w:t>
      </w:r>
      <w:r w:rsidR="001A5243" w:rsidRPr="00810DAC">
        <w:rPr>
          <w:rFonts w:ascii="Times New Roman" w:eastAsia="楷体" w:hAnsi="Times New Roman" w:cs="Times New Roman"/>
          <w:b/>
          <w:bCs/>
          <w:sz w:val="24"/>
          <w:szCs w:val="22"/>
          <w14:ligatures w14:val="none"/>
        </w:rPr>
        <w:t>工作过程说明</w:t>
      </w:r>
    </w:p>
    <w:p w14:paraId="21BD1C19" w14:textId="184B3C30" w:rsidR="001A5243" w:rsidRPr="001A5243" w:rsidRDefault="001A5243" w:rsidP="00D75EE9">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本报告的编制基于专业的研究方法与规范的工作流程：研究团队通过多渠道收集整理相关数据与信息（主要信息来源包括但不限于行业主管部门、</w:t>
      </w:r>
      <w:r w:rsidR="00D75EE9">
        <w:rPr>
          <w:rFonts w:ascii="Times New Roman" w:eastAsia="楷体" w:hAnsi="Times New Roman" w:cs="Times New Roman" w:hint="eastAsia"/>
          <w:sz w:val="24"/>
          <w:szCs w:val="22"/>
          <w14:ligatures w14:val="none"/>
        </w:rPr>
        <w:t>行</w:t>
      </w:r>
      <w:r w:rsidRPr="001A5243">
        <w:rPr>
          <w:rFonts w:ascii="Times New Roman" w:eastAsia="楷体" w:hAnsi="Times New Roman" w:cs="Times New Roman"/>
          <w:sz w:val="24"/>
          <w:szCs w:val="22"/>
          <w14:ligatures w14:val="none"/>
        </w:rPr>
        <w:t>业协会、第三</w:t>
      </w:r>
      <w:proofErr w:type="gramStart"/>
      <w:r w:rsidRPr="001A5243">
        <w:rPr>
          <w:rFonts w:ascii="Times New Roman" w:eastAsia="楷体" w:hAnsi="Times New Roman" w:cs="Times New Roman"/>
          <w:sz w:val="24"/>
          <w:szCs w:val="22"/>
          <w14:ligatures w14:val="none"/>
        </w:rPr>
        <w:t>方咨询</w:t>
      </w:r>
      <w:proofErr w:type="gramEnd"/>
      <w:r w:rsidRPr="001A5243">
        <w:rPr>
          <w:rFonts w:ascii="Times New Roman" w:eastAsia="楷体" w:hAnsi="Times New Roman" w:cs="Times New Roman"/>
          <w:sz w:val="24"/>
          <w:szCs w:val="22"/>
          <w14:ligatures w14:val="none"/>
        </w:rPr>
        <w:t>机构、券商、</w:t>
      </w:r>
      <w:r w:rsidRPr="001A5243">
        <w:rPr>
          <w:rFonts w:ascii="Times New Roman" w:eastAsia="楷体" w:hAnsi="Times New Roman" w:cs="Times New Roman"/>
          <w:sz w:val="24"/>
          <w:szCs w:val="22"/>
          <w14:ligatures w14:val="none"/>
        </w:rPr>
        <w:t>Choice</w:t>
      </w:r>
      <w:r w:rsidRPr="001A5243">
        <w:rPr>
          <w:rFonts w:ascii="Times New Roman" w:eastAsia="楷体" w:hAnsi="Times New Roman" w:cs="Times New Roman"/>
          <w:sz w:val="24"/>
          <w:szCs w:val="22"/>
          <w14:ligatures w14:val="none"/>
        </w:rPr>
        <w:t>、</w:t>
      </w:r>
      <w:r w:rsidRPr="001A5243">
        <w:rPr>
          <w:rFonts w:ascii="Times New Roman" w:eastAsia="楷体" w:hAnsi="Times New Roman" w:cs="Times New Roman"/>
          <w:sz w:val="24"/>
          <w:szCs w:val="22"/>
          <w14:ligatures w14:val="none"/>
        </w:rPr>
        <w:t>iFinD</w:t>
      </w:r>
      <w:r w:rsidRPr="001A5243">
        <w:rPr>
          <w:rFonts w:ascii="Times New Roman" w:eastAsia="楷体" w:hAnsi="Times New Roman" w:cs="Times New Roman"/>
          <w:sz w:val="24"/>
          <w:szCs w:val="22"/>
          <w14:ligatures w14:val="none"/>
        </w:rPr>
        <w:t>等专业金融终端，以及市场调研所获得的一手数据），在收集数据与信息后，经过交叉验证、筛选整理、分析</w:t>
      </w:r>
      <w:proofErr w:type="gramStart"/>
      <w:r w:rsidRPr="001A5243">
        <w:rPr>
          <w:rFonts w:ascii="Times New Roman" w:eastAsia="楷体" w:hAnsi="Times New Roman" w:cs="Times New Roman"/>
          <w:sz w:val="24"/>
          <w:szCs w:val="22"/>
          <w14:ligatures w14:val="none"/>
        </w:rPr>
        <w:t>研判等</w:t>
      </w:r>
      <w:proofErr w:type="gramEnd"/>
      <w:r w:rsidRPr="001A5243">
        <w:rPr>
          <w:rFonts w:ascii="Times New Roman" w:eastAsia="楷体" w:hAnsi="Times New Roman" w:cs="Times New Roman"/>
          <w:sz w:val="24"/>
          <w:szCs w:val="22"/>
          <w14:ligatures w14:val="none"/>
        </w:rPr>
        <w:t>环节，得出相关结论，形成报告。</w:t>
      </w:r>
    </w:p>
    <w:p w14:paraId="6EEBC239" w14:textId="77777777" w:rsidR="001A5243" w:rsidRPr="001A5243" w:rsidRDefault="001A5243" w:rsidP="00D75EE9">
      <w:pPr>
        <w:spacing w:after="0" w:line="360" w:lineRule="auto"/>
        <w:jc w:val="both"/>
        <w:rPr>
          <w:rFonts w:ascii="Times New Roman" w:eastAsia="楷体" w:hAnsi="Times New Roman" w:cs="Times New Roman"/>
          <w:sz w:val="24"/>
          <w:szCs w:val="22"/>
          <w14:ligatures w14:val="none"/>
        </w:rPr>
      </w:pPr>
    </w:p>
    <w:p w14:paraId="6586E80F" w14:textId="77777777" w:rsidR="001A5243" w:rsidRPr="001A5243" w:rsidRDefault="001A5243" w:rsidP="00D75EE9">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二、报告局限性说明</w:t>
      </w:r>
    </w:p>
    <w:p w14:paraId="03818243" w14:textId="77777777" w:rsidR="001A5243" w:rsidRPr="00810DAC" w:rsidRDefault="001A5243" w:rsidP="00D75EE9">
      <w:pPr>
        <w:pStyle w:val="a9"/>
        <w:numPr>
          <w:ilvl w:val="0"/>
          <w:numId w:val="18"/>
        </w:numPr>
        <w:adjustRightInd w:val="0"/>
        <w:snapToGrid w:val="0"/>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数据与信息局限性：本报告所依赖的公开信息及数据由第三方渠道提供，尽管我司已尽力进行核实，但无法完全保证其原始数据的准确性、完整性及及时性；市场调研获取的信息受调研范围、调研对象配合程度等因素影响，存在一定的片面性，无法保证数据的准确性、完整性及真实性。</w:t>
      </w:r>
    </w:p>
    <w:p w14:paraId="1A6EECA7" w14:textId="6649E352" w:rsidR="001A5243" w:rsidRPr="00810DAC" w:rsidRDefault="001A5243" w:rsidP="00D75EE9">
      <w:pPr>
        <w:pStyle w:val="a9"/>
        <w:numPr>
          <w:ilvl w:val="0"/>
          <w:numId w:val="18"/>
        </w:numPr>
        <w:adjustRightInd w:val="0"/>
        <w:snapToGrid w:val="0"/>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时效性局限：本报告的撰写时间为</w:t>
      </w:r>
      <w:r w:rsidR="002037D2">
        <w:rPr>
          <w:rFonts w:ascii="Times New Roman" w:eastAsia="楷体" w:hAnsi="Times New Roman" w:cs="Times New Roman" w:hint="eastAsia"/>
          <w:sz w:val="24"/>
          <w:szCs w:val="22"/>
          <w14:ligatures w14:val="none"/>
        </w:rPr>
        <w:t>2026</w:t>
      </w:r>
      <w:r w:rsidR="002037D2">
        <w:rPr>
          <w:rFonts w:ascii="Times New Roman" w:eastAsia="楷体" w:hAnsi="Times New Roman" w:cs="Times New Roman" w:hint="eastAsia"/>
          <w:sz w:val="24"/>
          <w:szCs w:val="22"/>
          <w14:ligatures w14:val="none"/>
        </w:rPr>
        <w:t>年</w:t>
      </w:r>
      <w:r w:rsidR="00D75EE9">
        <w:rPr>
          <w:rFonts w:ascii="Times New Roman" w:eastAsia="楷体" w:hAnsi="Times New Roman" w:cs="Times New Roman" w:hint="eastAsia"/>
          <w:sz w:val="24"/>
          <w:szCs w:val="22"/>
          <w14:ligatures w14:val="none"/>
        </w:rPr>
        <w:t>4</w:t>
      </w:r>
      <w:r w:rsidR="002037D2">
        <w:rPr>
          <w:rFonts w:ascii="Times New Roman" w:eastAsia="楷体" w:hAnsi="Times New Roman" w:cs="Times New Roman" w:hint="eastAsia"/>
          <w:sz w:val="24"/>
          <w:szCs w:val="22"/>
          <w14:ligatures w14:val="none"/>
        </w:rPr>
        <w:t>月</w:t>
      </w:r>
      <w:r w:rsidRPr="00810DAC">
        <w:rPr>
          <w:rFonts w:ascii="Times New Roman" w:eastAsia="楷体" w:hAnsi="Times New Roman" w:cs="Times New Roman"/>
          <w:sz w:val="24"/>
          <w:szCs w:val="22"/>
          <w14:ligatures w14:val="none"/>
        </w:rPr>
        <w:t>，行业及相关企业情况可能在此之后发生变化，但本报告未能覆盖。</w:t>
      </w:r>
    </w:p>
    <w:p w14:paraId="2C7991DE" w14:textId="77777777" w:rsidR="001A5243" w:rsidRPr="00810DAC" w:rsidRDefault="001A5243" w:rsidP="00D75EE9">
      <w:pPr>
        <w:pStyle w:val="a9"/>
        <w:numPr>
          <w:ilvl w:val="0"/>
          <w:numId w:val="18"/>
        </w:numPr>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分析方法局限性：本报告的分析基于既定的行业研究框架与模型，仅反映特定时间节点下的行业状况，行业发展及企业经营具有动态变化性，过往数据及分析结论不能完全预示未来趋势。</w:t>
      </w:r>
    </w:p>
    <w:p w14:paraId="4EDDCB43" w14:textId="77777777" w:rsidR="001A5243" w:rsidRPr="00810DAC" w:rsidRDefault="001A5243" w:rsidP="00D75EE9">
      <w:pPr>
        <w:pStyle w:val="a9"/>
        <w:numPr>
          <w:ilvl w:val="0"/>
          <w:numId w:val="18"/>
        </w:numPr>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范围局限性：本报告聚焦于细分行业，未涵盖全行业内全部企业及其他细分领域，相关分析结论仅适用于报告所界定的研究范围。</w:t>
      </w:r>
    </w:p>
    <w:p w14:paraId="2DCBAC79" w14:textId="77777777" w:rsidR="001A5243" w:rsidRPr="001A5243" w:rsidRDefault="001A5243" w:rsidP="00D75EE9">
      <w:pPr>
        <w:spacing w:after="0" w:line="360" w:lineRule="auto"/>
        <w:ind w:left="720"/>
        <w:jc w:val="both"/>
        <w:rPr>
          <w:rFonts w:ascii="Times New Roman" w:eastAsia="楷体" w:hAnsi="Times New Roman" w:cs="Times New Roman"/>
          <w:sz w:val="24"/>
          <w:szCs w:val="22"/>
          <w14:ligatures w14:val="none"/>
        </w:rPr>
      </w:pPr>
    </w:p>
    <w:p w14:paraId="79A45D58" w14:textId="77777777" w:rsidR="001A5243" w:rsidRPr="001A5243" w:rsidRDefault="001A5243" w:rsidP="00D75EE9">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三、不得用于投资决策的提示</w:t>
      </w:r>
    </w:p>
    <w:p w14:paraId="319DEC6F" w14:textId="77777777" w:rsidR="001A5243" w:rsidRPr="001B02E5" w:rsidRDefault="001A5243" w:rsidP="00D75EE9">
      <w:pPr>
        <w:pStyle w:val="a9"/>
        <w:numPr>
          <w:ilvl w:val="0"/>
          <w:numId w:val="19"/>
        </w:numPr>
        <w:spacing w:after="0" w:line="360" w:lineRule="auto"/>
        <w:ind w:leftChars="150" w:left="772" w:hanging="442"/>
        <w:jc w:val="both"/>
        <w:rPr>
          <w:rFonts w:ascii="Times New Roman" w:eastAsia="楷体" w:hAnsi="Times New Roman" w:cs="Times New Roman"/>
          <w:sz w:val="24"/>
          <w:szCs w:val="22"/>
          <w14:ligatures w14:val="none"/>
        </w:rPr>
      </w:pPr>
      <w:r w:rsidRPr="001B02E5">
        <w:rPr>
          <w:rFonts w:ascii="Times New Roman" w:eastAsia="楷体" w:hAnsi="Times New Roman" w:cs="Times New Roman"/>
          <w:sz w:val="24"/>
          <w:szCs w:val="22"/>
          <w14:ligatures w14:val="none"/>
        </w:rPr>
        <w:t>本行业研究报告将不可避免的对行业内龙头企业、明星企业、相关上市公司进行提及或描述，任何对单一企业的提及或描述仅出于对行业研究之完整性而进行，不构成任何形式的投资建议（包括但不限于买入、卖出、持有等投资决策），也不代表我司对任何一家企业的投资价值判断。</w:t>
      </w:r>
    </w:p>
    <w:p w14:paraId="128434B8" w14:textId="77777777" w:rsidR="001A5243" w:rsidRPr="001B02E5" w:rsidRDefault="001A5243" w:rsidP="00D75EE9">
      <w:pPr>
        <w:pStyle w:val="a9"/>
        <w:numPr>
          <w:ilvl w:val="0"/>
          <w:numId w:val="19"/>
        </w:numPr>
        <w:spacing w:after="0" w:line="360" w:lineRule="auto"/>
        <w:ind w:leftChars="150" w:left="772" w:hanging="442"/>
        <w:jc w:val="both"/>
        <w:rPr>
          <w:rFonts w:ascii="Times New Roman" w:eastAsia="楷体" w:hAnsi="Times New Roman" w:cs="Times New Roman"/>
          <w:sz w:val="24"/>
          <w:szCs w:val="22"/>
          <w14:ligatures w14:val="none"/>
        </w:rPr>
      </w:pPr>
      <w:r w:rsidRPr="001B02E5">
        <w:rPr>
          <w:rFonts w:ascii="Times New Roman" w:eastAsia="楷体" w:hAnsi="Times New Roman" w:cs="Times New Roman"/>
          <w:sz w:val="24"/>
          <w:szCs w:val="22"/>
          <w14:ligatures w14:val="none"/>
        </w:rPr>
        <w:t>本行业研究报告仅限于行业研究之用途，任何单位或个人不得将本报告内容擅自用于非约定用途、不得作为投资决策依据。我司不对任何单或个人在非约定用途下使用本报告产生的任何损失承担责任。</w:t>
      </w:r>
    </w:p>
    <w:p w14:paraId="74E73AE0" w14:textId="77777777" w:rsidR="001A5243" w:rsidRPr="001A5243" w:rsidRDefault="001A5243" w:rsidP="00D75EE9">
      <w:pPr>
        <w:spacing w:after="0" w:line="360" w:lineRule="auto"/>
        <w:ind w:left="720"/>
        <w:jc w:val="both"/>
        <w:rPr>
          <w:rFonts w:ascii="Times New Roman" w:eastAsia="楷体" w:hAnsi="Times New Roman" w:cs="Times New Roman"/>
          <w:sz w:val="24"/>
          <w:szCs w:val="22"/>
          <w14:ligatures w14:val="none"/>
        </w:rPr>
      </w:pPr>
    </w:p>
    <w:p w14:paraId="65CAA0E1" w14:textId="77777777" w:rsidR="001A5243" w:rsidRPr="001A5243" w:rsidRDefault="001A5243" w:rsidP="00D75EE9">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四、其他说明</w:t>
      </w:r>
    </w:p>
    <w:p w14:paraId="298ABB2B" w14:textId="77777777" w:rsidR="001A5243" w:rsidRPr="001A5243" w:rsidRDefault="001A5243" w:rsidP="00D75EE9">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本报告的知识产权归我司所有，未经我司书面许可，任何单位或个人不得擅自复制、传播、转载本报告全部或部分内容。本报告仅提供江南基金管理有限公司参考，我司不对除江南基金外的任何第三方因使用本报告内容而产生的任何直接或间接损失承担责任。</w:t>
      </w:r>
    </w:p>
    <w:p w14:paraId="4A3B3BE2" w14:textId="77777777" w:rsidR="001A5243" w:rsidRPr="001A5243" w:rsidRDefault="001A5243" w:rsidP="00D75EE9">
      <w:pPr>
        <w:spacing w:after="0" w:line="360" w:lineRule="auto"/>
        <w:jc w:val="both"/>
        <w:rPr>
          <w:rFonts w:ascii="Times New Roman" w:eastAsia="楷体" w:hAnsi="Times New Roman" w:cs="Times New Roman"/>
          <w:sz w:val="24"/>
          <w:szCs w:val="22"/>
          <w14:ligatures w14:val="none"/>
        </w:rPr>
      </w:pPr>
    </w:p>
    <w:p w14:paraId="5D753015" w14:textId="77777777" w:rsidR="001A5243" w:rsidRPr="001A5243" w:rsidRDefault="001A5243" w:rsidP="00D75EE9">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特此声明。</w:t>
      </w:r>
    </w:p>
    <w:p w14:paraId="73C26D71" w14:textId="77777777" w:rsidR="001A5243" w:rsidRPr="001A5243" w:rsidRDefault="001A5243" w:rsidP="00D75EE9">
      <w:pPr>
        <w:spacing w:after="0" w:line="360" w:lineRule="auto"/>
        <w:ind w:firstLineChars="200" w:firstLine="480"/>
        <w:jc w:val="both"/>
        <w:rPr>
          <w:rFonts w:ascii="Times New Roman" w:eastAsia="楷体" w:hAnsi="Times New Roman" w:cs="Times New Roman"/>
          <w:sz w:val="24"/>
          <w:szCs w:val="22"/>
          <w14:ligatures w14:val="none"/>
        </w:rPr>
      </w:pPr>
    </w:p>
    <w:p w14:paraId="04ED83C3" w14:textId="77777777" w:rsidR="001A5243" w:rsidRPr="001A5243" w:rsidRDefault="001A5243" w:rsidP="00392D61">
      <w:pPr>
        <w:spacing w:after="0" w:line="360" w:lineRule="auto"/>
        <w:ind w:firstLineChars="71" w:firstLine="170"/>
        <w:jc w:val="both"/>
        <w:rPr>
          <w:rFonts w:ascii="楷体" w:eastAsia="楷体" w:hAnsi="楷体" w:hint="eastAsia"/>
          <w:sz w:val="24"/>
          <w:szCs w:val="21"/>
          <w14:ligatures w14:val="none"/>
        </w:rPr>
      </w:pPr>
      <w:r w:rsidRPr="001A5243">
        <w:rPr>
          <w:rFonts w:ascii="Times New Roman" w:eastAsia="楷体" w:hAnsi="Times New Roman" w:cs="Times New Roman"/>
          <w:sz w:val="24"/>
          <w:szCs w:val="21"/>
          <w14:ligatures w14:val="none"/>
        </w:rPr>
        <w:t>北京润稷管理咨询有限责任公司</w:t>
      </w:r>
    </w:p>
    <w:p w14:paraId="26E47F1F" w14:textId="77777777" w:rsidR="001A5243" w:rsidRPr="001A5243" w:rsidRDefault="001A5243" w:rsidP="00D75EE9">
      <w:pPr>
        <w:spacing w:after="0" w:line="360" w:lineRule="auto"/>
        <w:ind w:firstLineChars="200" w:firstLine="560"/>
        <w:jc w:val="both"/>
        <w:rPr>
          <w:rFonts w:eastAsia="楷体" w:hint="eastAsia"/>
          <w:sz w:val="28"/>
          <w:szCs w:val="22"/>
          <w14:ligatures w14:val="none"/>
        </w:rPr>
      </w:pPr>
    </w:p>
    <w:p w14:paraId="1329DDEB" w14:textId="77777777" w:rsidR="001A5243" w:rsidRDefault="001A5243" w:rsidP="00392D61">
      <w:pPr>
        <w:jc w:val="both"/>
        <w:rPr>
          <w:rFonts w:hint="eastAsia"/>
        </w:rPr>
      </w:pPr>
    </w:p>
    <w:p w14:paraId="03F69CB7" w14:textId="77777777" w:rsidR="001B6851" w:rsidRDefault="001B6851" w:rsidP="00392D61">
      <w:pPr>
        <w:jc w:val="both"/>
        <w:rPr>
          <w:rFonts w:hint="eastAsia"/>
        </w:rPr>
      </w:pPr>
    </w:p>
    <w:p w14:paraId="7EC0EC75" w14:textId="77777777" w:rsidR="001B6851" w:rsidRDefault="001B6851" w:rsidP="00392D61">
      <w:pPr>
        <w:jc w:val="both"/>
        <w:rPr>
          <w:rFonts w:hint="eastAsia"/>
        </w:rPr>
      </w:pPr>
    </w:p>
    <w:p w14:paraId="04EE07E3" w14:textId="77777777" w:rsidR="001B6851" w:rsidRDefault="001B6851" w:rsidP="00392D61">
      <w:pPr>
        <w:jc w:val="both"/>
        <w:rPr>
          <w:rFonts w:hint="eastAsia"/>
        </w:rPr>
      </w:pPr>
    </w:p>
    <w:p w14:paraId="3D8D0749" w14:textId="77777777" w:rsidR="001B6851" w:rsidRDefault="001B6851" w:rsidP="00392D61">
      <w:pPr>
        <w:jc w:val="both"/>
        <w:rPr>
          <w:rFonts w:hint="eastAsia"/>
        </w:rPr>
      </w:pPr>
    </w:p>
    <w:p w14:paraId="220B855A" w14:textId="77777777" w:rsidR="001B6851" w:rsidRDefault="001B6851" w:rsidP="00392D61">
      <w:pPr>
        <w:jc w:val="both"/>
        <w:rPr>
          <w:rFonts w:hint="eastAsia"/>
        </w:rPr>
      </w:pPr>
    </w:p>
    <w:p w14:paraId="4F6BD5B7" w14:textId="77777777" w:rsidR="001B6851" w:rsidRDefault="001B6851" w:rsidP="00392D61">
      <w:pPr>
        <w:jc w:val="both"/>
        <w:rPr>
          <w:rFonts w:hint="eastAsia"/>
        </w:rPr>
      </w:pPr>
    </w:p>
    <w:p w14:paraId="558E2C05" w14:textId="77777777" w:rsidR="001B6851" w:rsidRDefault="001B6851" w:rsidP="00392D61">
      <w:pPr>
        <w:jc w:val="both"/>
        <w:rPr>
          <w:rFonts w:hint="eastAsia"/>
        </w:rPr>
      </w:pPr>
    </w:p>
    <w:p w14:paraId="6E69F75A" w14:textId="77777777" w:rsidR="001B6851" w:rsidRDefault="001B6851" w:rsidP="00392D61">
      <w:pPr>
        <w:jc w:val="both"/>
        <w:rPr>
          <w:rFonts w:hint="eastAsia"/>
        </w:rPr>
      </w:pPr>
    </w:p>
    <w:p w14:paraId="14BC2739" w14:textId="77777777" w:rsidR="001B6851" w:rsidRDefault="001B6851" w:rsidP="00392D61">
      <w:pPr>
        <w:jc w:val="both"/>
        <w:rPr>
          <w:rFonts w:hint="eastAsia"/>
        </w:rPr>
      </w:pPr>
    </w:p>
    <w:p w14:paraId="6387B61B" w14:textId="77777777" w:rsidR="001B6851" w:rsidRDefault="001B6851" w:rsidP="00392D61">
      <w:pPr>
        <w:jc w:val="both"/>
        <w:rPr>
          <w:rFonts w:hint="eastAsia"/>
        </w:rPr>
      </w:pPr>
    </w:p>
    <w:p w14:paraId="150A33C5" w14:textId="77777777" w:rsidR="001B6851" w:rsidRDefault="001B6851" w:rsidP="00392D61">
      <w:pPr>
        <w:jc w:val="both"/>
        <w:rPr>
          <w:rFonts w:hint="eastAsia"/>
        </w:rPr>
      </w:pPr>
    </w:p>
    <w:p w14:paraId="59A65F18" w14:textId="77777777" w:rsidR="001B6851" w:rsidRDefault="001B6851" w:rsidP="00392D61">
      <w:pPr>
        <w:jc w:val="both"/>
        <w:rPr>
          <w:rFonts w:hint="eastAsia"/>
        </w:rPr>
      </w:pPr>
    </w:p>
    <w:p w14:paraId="7D1E1A56" w14:textId="77777777" w:rsidR="001B6851" w:rsidRDefault="001B6851" w:rsidP="00392D61">
      <w:pPr>
        <w:jc w:val="both"/>
        <w:rPr>
          <w:rFonts w:hint="eastAsia"/>
        </w:rPr>
      </w:pPr>
    </w:p>
    <w:p w14:paraId="28257B7D" w14:textId="77777777" w:rsidR="001B6851" w:rsidRDefault="001B6851" w:rsidP="00392D61">
      <w:pPr>
        <w:jc w:val="both"/>
        <w:rPr>
          <w:rFonts w:hint="eastAsia"/>
        </w:rPr>
      </w:pPr>
    </w:p>
    <w:sdt>
      <w:sdtPr>
        <w:rPr>
          <w:rFonts w:asciiTheme="minorHAnsi" w:eastAsiaTheme="minorEastAsia" w:hAnsiTheme="minorHAnsi" w:cstheme="minorBidi"/>
          <w:color w:val="auto"/>
          <w:kern w:val="2"/>
          <w:sz w:val="22"/>
          <w:szCs w:val="24"/>
          <w:lang w:val="zh-CN"/>
          <w14:ligatures w14:val="standardContextual"/>
        </w:rPr>
        <w:id w:val="420613783"/>
        <w:docPartObj>
          <w:docPartGallery w:val="Table of Contents"/>
          <w:docPartUnique/>
        </w:docPartObj>
      </w:sdtPr>
      <w:sdtEndPr>
        <w:rPr>
          <w:b/>
          <w:bCs/>
        </w:rPr>
      </w:sdtEndPr>
      <w:sdtContent>
        <w:p w14:paraId="08EC499B" w14:textId="2A5EA914" w:rsidR="00BF345B" w:rsidRPr="00D102A8" w:rsidRDefault="00BF345B" w:rsidP="00392D61">
          <w:pPr>
            <w:pStyle w:val="TOC"/>
            <w:jc w:val="both"/>
            <w:rPr>
              <w:rFonts w:ascii="楷体" w:eastAsia="楷体" w:hAnsi="楷体" w:hint="eastAsia"/>
              <w:color w:val="000000" w:themeColor="text1"/>
            </w:rPr>
          </w:pPr>
          <w:r w:rsidRPr="00D102A8">
            <w:rPr>
              <w:rFonts w:ascii="楷体" w:eastAsia="楷体" w:hAnsi="楷体"/>
              <w:color w:val="000000" w:themeColor="text1"/>
              <w:lang w:val="zh-CN"/>
            </w:rPr>
            <w:t>目录</w:t>
          </w:r>
        </w:p>
        <w:p w14:paraId="4C20172E" w14:textId="6828F51A" w:rsidR="00DA25C8" w:rsidRDefault="00BF345B">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28444751" w:history="1">
            <w:r w:rsidR="00DA25C8" w:rsidRPr="002C0E84">
              <w:rPr>
                <w:rStyle w:val="af3"/>
                <w:rFonts w:ascii="楷体" w:eastAsia="楷体" w:hAnsi="楷体"/>
                <w:noProof/>
              </w:rPr>
              <w:t>1.行业概览</w:t>
            </w:r>
            <w:r w:rsidR="00DA25C8">
              <w:rPr>
                <w:rFonts w:hint="eastAsia"/>
                <w:noProof/>
                <w:webHidden/>
              </w:rPr>
              <w:tab/>
            </w:r>
            <w:r w:rsidR="00DA25C8">
              <w:rPr>
                <w:rFonts w:hint="eastAsia"/>
                <w:noProof/>
                <w:webHidden/>
              </w:rPr>
              <w:fldChar w:fldCharType="begin"/>
            </w:r>
            <w:r w:rsidR="00DA25C8">
              <w:rPr>
                <w:rFonts w:hint="eastAsia"/>
                <w:noProof/>
                <w:webHidden/>
              </w:rPr>
              <w:instrText xml:space="preserve"> </w:instrText>
            </w:r>
            <w:r w:rsidR="00DA25C8">
              <w:rPr>
                <w:noProof/>
                <w:webHidden/>
              </w:rPr>
              <w:instrText>PAGEREF _Toc228444751 \h</w:instrText>
            </w:r>
            <w:r w:rsidR="00DA25C8">
              <w:rPr>
                <w:rFonts w:hint="eastAsia"/>
                <w:noProof/>
                <w:webHidden/>
              </w:rPr>
              <w:instrText xml:space="preserve"> </w:instrText>
            </w:r>
            <w:r w:rsidR="00DA25C8">
              <w:rPr>
                <w:rFonts w:hint="eastAsia"/>
                <w:noProof/>
                <w:webHidden/>
              </w:rPr>
            </w:r>
            <w:r w:rsidR="00DA25C8">
              <w:rPr>
                <w:rFonts w:hint="eastAsia"/>
                <w:noProof/>
                <w:webHidden/>
              </w:rPr>
              <w:fldChar w:fldCharType="separate"/>
            </w:r>
            <w:r w:rsidR="00DA25C8">
              <w:rPr>
                <w:rFonts w:hint="eastAsia"/>
                <w:noProof/>
                <w:webHidden/>
              </w:rPr>
              <w:t>1</w:t>
            </w:r>
            <w:r w:rsidR="00DA25C8">
              <w:rPr>
                <w:rFonts w:hint="eastAsia"/>
                <w:noProof/>
                <w:webHidden/>
              </w:rPr>
              <w:fldChar w:fldCharType="end"/>
            </w:r>
          </w:hyperlink>
        </w:p>
        <w:p w14:paraId="062611FC" w14:textId="3FCC5CF2" w:rsidR="00DA25C8" w:rsidRDefault="00DA25C8">
          <w:pPr>
            <w:pStyle w:val="TOC2"/>
            <w:tabs>
              <w:tab w:val="right" w:leader="dot" w:pos="8296"/>
            </w:tabs>
            <w:rPr>
              <w:rFonts w:cstheme="minorBidi" w:hint="eastAsia"/>
              <w:noProof/>
              <w:kern w:val="2"/>
              <w:szCs w:val="24"/>
              <w14:ligatures w14:val="standardContextual"/>
            </w:rPr>
          </w:pPr>
          <w:hyperlink w:anchor="_Toc228444752" w:history="1">
            <w:r w:rsidRPr="002C0E84">
              <w:rPr>
                <w:rStyle w:val="af3"/>
                <w:rFonts w:ascii="楷体" w:eastAsia="楷体" w:hAnsi="楷体"/>
                <w:noProof/>
              </w:rPr>
              <w:t>1.1定义与分类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D8CB4F4" w14:textId="61FA3F6C" w:rsidR="00DA25C8" w:rsidRDefault="00DA25C8">
          <w:pPr>
            <w:pStyle w:val="TOC3"/>
            <w:tabs>
              <w:tab w:val="right" w:leader="dot" w:pos="8296"/>
            </w:tabs>
            <w:rPr>
              <w:rFonts w:cstheme="minorBidi" w:hint="eastAsia"/>
              <w:noProof/>
              <w:kern w:val="2"/>
              <w:szCs w:val="24"/>
              <w14:ligatures w14:val="standardContextual"/>
            </w:rPr>
          </w:pPr>
          <w:hyperlink w:anchor="_Toc228444753" w:history="1">
            <w:r w:rsidRPr="002C0E84">
              <w:rPr>
                <w:rStyle w:val="af3"/>
                <w:rFonts w:ascii="楷体" w:eastAsia="楷体" w:hAnsi="楷体"/>
                <w:noProof/>
              </w:rPr>
              <w:t>1.1.1定义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A06EEA0" w14:textId="740FD9A4" w:rsidR="00DA25C8" w:rsidRDefault="00DA25C8">
          <w:pPr>
            <w:pStyle w:val="TOC3"/>
            <w:tabs>
              <w:tab w:val="right" w:leader="dot" w:pos="8296"/>
            </w:tabs>
            <w:rPr>
              <w:rFonts w:cstheme="minorBidi" w:hint="eastAsia"/>
              <w:noProof/>
              <w:kern w:val="2"/>
              <w:szCs w:val="24"/>
              <w14:ligatures w14:val="standardContextual"/>
            </w:rPr>
          </w:pPr>
          <w:hyperlink w:anchor="_Toc228444754" w:history="1">
            <w:r w:rsidRPr="002C0E84">
              <w:rPr>
                <w:rStyle w:val="af3"/>
                <w:rFonts w:ascii="楷体" w:eastAsia="楷体" w:hAnsi="楷体"/>
                <w:noProof/>
              </w:rPr>
              <w:t>1.1.2产业特性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6FD3EE1" w14:textId="41F40453" w:rsidR="00DA25C8" w:rsidRDefault="00DA25C8">
          <w:pPr>
            <w:pStyle w:val="TOC2"/>
            <w:tabs>
              <w:tab w:val="right" w:leader="dot" w:pos="8296"/>
            </w:tabs>
            <w:rPr>
              <w:rFonts w:cstheme="minorBidi" w:hint="eastAsia"/>
              <w:noProof/>
              <w:kern w:val="2"/>
              <w:szCs w:val="24"/>
              <w14:ligatures w14:val="standardContextual"/>
            </w:rPr>
          </w:pPr>
          <w:hyperlink w:anchor="_Toc228444755" w:history="1">
            <w:r w:rsidRPr="002C0E84">
              <w:rPr>
                <w:rStyle w:val="af3"/>
                <w:rFonts w:ascii="楷体" w:eastAsia="楷体" w:hAnsi="楷体"/>
                <w:noProof/>
              </w:rPr>
              <w:t>1.2发展背景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C61ED8C" w14:textId="1DAA0322" w:rsidR="00DA25C8" w:rsidRDefault="00DA25C8">
          <w:pPr>
            <w:pStyle w:val="TOC3"/>
            <w:tabs>
              <w:tab w:val="right" w:leader="dot" w:pos="8296"/>
            </w:tabs>
            <w:rPr>
              <w:rFonts w:cstheme="minorBidi" w:hint="eastAsia"/>
              <w:noProof/>
              <w:kern w:val="2"/>
              <w:szCs w:val="24"/>
              <w14:ligatures w14:val="standardContextual"/>
            </w:rPr>
          </w:pPr>
          <w:hyperlink w:anchor="_Toc228444756" w:history="1">
            <w:r w:rsidRPr="002C0E84">
              <w:rPr>
                <w:rStyle w:val="af3"/>
                <w:rFonts w:ascii="楷体" w:eastAsia="楷体" w:hAnsi="楷体"/>
                <w:noProof/>
              </w:rPr>
              <w:t>1.2.1政策环境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3E2C2FE" w14:textId="20E8CBA5" w:rsidR="00DA25C8" w:rsidRDefault="00DA25C8">
          <w:pPr>
            <w:pStyle w:val="TOC3"/>
            <w:tabs>
              <w:tab w:val="right" w:leader="dot" w:pos="8296"/>
            </w:tabs>
            <w:rPr>
              <w:rFonts w:cstheme="minorBidi" w:hint="eastAsia"/>
              <w:noProof/>
              <w:kern w:val="2"/>
              <w:szCs w:val="24"/>
              <w14:ligatures w14:val="standardContextual"/>
            </w:rPr>
          </w:pPr>
          <w:hyperlink w:anchor="_Toc228444757" w:history="1">
            <w:r w:rsidRPr="002C0E84">
              <w:rPr>
                <w:rStyle w:val="af3"/>
                <w:rFonts w:ascii="楷体" w:eastAsia="楷体" w:hAnsi="楷体"/>
                <w:noProof/>
              </w:rPr>
              <w:t>1.2.2市场规模与产业阶段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D5F476A" w14:textId="342181A6" w:rsidR="00DA25C8" w:rsidRDefault="00DA25C8">
          <w:pPr>
            <w:pStyle w:val="TOC1"/>
            <w:tabs>
              <w:tab w:val="right" w:leader="dot" w:pos="8296"/>
            </w:tabs>
            <w:rPr>
              <w:rFonts w:cstheme="minorBidi" w:hint="eastAsia"/>
              <w:noProof/>
              <w:kern w:val="2"/>
              <w:szCs w:val="24"/>
              <w14:ligatures w14:val="standardContextual"/>
            </w:rPr>
          </w:pPr>
          <w:hyperlink w:anchor="_Toc228444758" w:history="1">
            <w:r w:rsidRPr="002C0E84">
              <w:rPr>
                <w:rStyle w:val="af3"/>
                <w:rFonts w:ascii="楷体" w:eastAsia="楷体" w:hAnsi="楷体"/>
                <w:noProof/>
              </w:rPr>
              <w:t>2.产业链与商业模式深度解析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B438FBD" w14:textId="7B3BD49E" w:rsidR="00DA25C8" w:rsidRDefault="00DA25C8">
          <w:pPr>
            <w:pStyle w:val="TOC2"/>
            <w:tabs>
              <w:tab w:val="right" w:leader="dot" w:pos="8296"/>
            </w:tabs>
            <w:rPr>
              <w:rFonts w:cstheme="minorBidi" w:hint="eastAsia"/>
              <w:noProof/>
              <w:kern w:val="2"/>
              <w:szCs w:val="24"/>
              <w14:ligatures w14:val="standardContextual"/>
            </w:rPr>
          </w:pPr>
          <w:hyperlink w:anchor="_Toc228444759" w:history="1">
            <w:r w:rsidRPr="002C0E84">
              <w:rPr>
                <w:rStyle w:val="af3"/>
                <w:rFonts w:ascii="楷体" w:eastAsia="楷体" w:hAnsi="楷体"/>
                <w:noProof/>
              </w:rPr>
              <w:t>2.1上中下游产业链图谱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9EE2485" w14:textId="03238CCD" w:rsidR="00DA25C8" w:rsidRDefault="00DA25C8">
          <w:pPr>
            <w:pStyle w:val="TOC3"/>
            <w:tabs>
              <w:tab w:val="right" w:leader="dot" w:pos="8296"/>
            </w:tabs>
            <w:rPr>
              <w:rFonts w:cstheme="minorBidi" w:hint="eastAsia"/>
              <w:noProof/>
              <w:kern w:val="2"/>
              <w:szCs w:val="24"/>
              <w14:ligatures w14:val="standardContextual"/>
            </w:rPr>
          </w:pPr>
          <w:hyperlink w:anchor="_Toc228444760" w:history="1">
            <w:r w:rsidRPr="002C0E84">
              <w:rPr>
                <w:rStyle w:val="af3"/>
                <w:rFonts w:ascii="楷体" w:eastAsia="楷体" w:hAnsi="楷体"/>
                <w:noProof/>
              </w:rPr>
              <w:t>2.1.1上游：算力与数据基石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FFBDA82" w14:textId="16011CBD" w:rsidR="00DA25C8" w:rsidRDefault="00DA25C8">
          <w:pPr>
            <w:pStyle w:val="TOC3"/>
            <w:tabs>
              <w:tab w:val="right" w:leader="dot" w:pos="8296"/>
            </w:tabs>
            <w:rPr>
              <w:rFonts w:cstheme="minorBidi" w:hint="eastAsia"/>
              <w:noProof/>
              <w:kern w:val="2"/>
              <w:szCs w:val="24"/>
              <w14:ligatures w14:val="standardContextual"/>
            </w:rPr>
          </w:pPr>
          <w:hyperlink w:anchor="_Toc228444761" w:history="1">
            <w:r w:rsidRPr="002C0E84">
              <w:rPr>
                <w:rStyle w:val="af3"/>
                <w:rFonts w:ascii="楷体" w:eastAsia="楷体" w:hAnsi="楷体"/>
                <w:noProof/>
              </w:rPr>
              <w:t>2.1.2中游：模型与平台核心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BFA7F0D" w14:textId="0CFD57B1" w:rsidR="00DA25C8" w:rsidRDefault="00DA25C8">
          <w:pPr>
            <w:pStyle w:val="TOC3"/>
            <w:tabs>
              <w:tab w:val="right" w:leader="dot" w:pos="8296"/>
            </w:tabs>
            <w:rPr>
              <w:rFonts w:cstheme="minorBidi" w:hint="eastAsia"/>
              <w:noProof/>
              <w:kern w:val="2"/>
              <w:szCs w:val="24"/>
              <w14:ligatures w14:val="standardContextual"/>
            </w:rPr>
          </w:pPr>
          <w:hyperlink w:anchor="_Toc228444762" w:history="1">
            <w:r w:rsidRPr="002C0E84">
              <w:rPr>
                <w:rStyle w:val="af3"/>
                <w:rFonts w:ascii="楷体" w:eastAsia="楷体" w:hAnsi="楷体"/>
                <w:noProof/>
              </w:rPr>
              <w:t>2.1.3 下游：应用与产品落地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3E8D6B0" w14:textId="6FAB8BF9" w:rsidR="00DA25C8" w:rsidRDefault="00DA25C8">
          <w:pPr>
            <w:pStyle w:val="TOC2"/>
            <w:tabs>
              <w:tab w:val="right" w:leader="dot" w:pos="8296"/>
            </w:tabs>
            <w:rPr>
              <w:rFonts w:cstheme="minorBidi" w:hint="eastAsia"/>
              <w:noProof/>
              <w:kern w:val="2"/>
              <w:szCs w:val="24"/>
              <w14:ligatures w14:val="standardContextual"/>
            </w:rPr>
          </w:pPr>
          <w:hyperlink w:anchor="_Toc228444763" w:history="1">
            <w:r w:rsidRPr="002C0E84">
              <w:rPr>
                <w:rStyle w:val="af3"/>
                <w:rFonts w:ascii="楷体" w:eastAsia="楷体" w:hAnsi="楷体"/>
                <w:noProof/>
              </w:rPr>
              <w:t>2.2 商业化情况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680E3EC" w14:textId="78B40525" w:rsidR="00DA25C8" w:rsidRDefault="00DA25C8">
          <w:pPr>
            <w:pStyle w:val="TOC3"/>
            <w:tabs>
              <w:tab w:val="right" w:leader="dot" w:pos="8296"/>
            </w:tabs>
            <w:rPr>
              <w:rFonts w:cstheme="minorBidi" w:hint="eastAsia"/>
              <w:noProof/>
              <w:kern w:val="2"/>
              <w:szCs w:val="24"/>
              <w14:ligatures w14:val="standardContextual"/>
            </w:rPr>
          </w:pPr>
          <w:hyperlink w:anchor="_Toc228444764" w:history="1">
            <w:r w:rsidRPr="002C0E84">
              <w:rPr>
                <w:rStyle w:val="af3"/>
                <w:rFonts w:ascii="楷体" w:eastAsia="楷体" w:hAnsi="楷体"/>
                <w:noProof/>
              </w:rPr>
              <w:t>2.2.1 服务模式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9B4A13D" w14:textId="16FAB562" w:rsidR="00DA25C8" w:rsidRDefault="00DA25C8">
          <w:pPr>
            <w:pStyle w:val="TOC3"/>
            <w:tabs>
              <w:tab w:val="right" w:leader="dot" w:pos="8296"/>
            </w:tabs>
            <w:rPr>
              <w:rFonts w:cstheme="minorBidi" w:hint="eastAsia"/>
              <w:noProof/>
              <w:kern w:val="2"/>
              <w:szCs w:val="24"/>
              <w14:ligatures w14:val="standardContextual"/>
            </w:rPr>
          </w:pPr>
          <w:hyperlink w:anchor="_Toc228444765" w:history="1">
            <w:r w:rsidRPr="002C0E84">
              <w:rPr>
                <w:rStyle w:val="af3"/>
                <w:rFonts w:ascii="楷体" w:eastAsia="楷体" w:hAnsi="楷体"/>
                <w:noProof/>
              </w:rPr>
              <w:t>2.2.2 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19A6617" w14:textId="31E6082C" w:rsidR="00DA25C8" w:rsidRDefault="00DA25C8">
          <w:pPr>
            <w:pStyle w:val="TOC3"/>
            <w:tabs>
              <w:tab w:val="right" w:leader="dot" w:pos="8296"/>
            </w:tabs>
            <w:rPr>
              <w:rFonts w:cstheme="minorBidi" w:hint="eastAsia"/>
              <w:noProof/>
              <w:kern w:val="2"/>
              <w:szCs w:val="24"/>
              <w14:ligatures w14:val="standardContextual"/>
            </w:rPr>
          </w:pPr>
          <w:hyperlink w:anchor="_Toc228444766" w:history="1">
            <w:r w:rsidRPr="002C0E84">
              <w:rPr>
                <w:rStyle w:val="af3"/>
                <w:rFonts w:ascii="楷体" w:eastAsia="楷体" w:hAnsi="楷体"/>
                <w:noProof/>
              </w:rPr>
              <w:t>2.2.3 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B4B84C1" w14:textId="4BA6BAEC" w:rsidR="00DA25C8" w:rsidRDefault="00DA25C8">
          <w:pPr>
            <w:pStyle w:val="TOC2"/>
            <w:tabs>
              <w:tab w:val="right" w:leader="dot" w:pos="8296"/>
            </w:tabs>
            <w:rPr>
              <w:rFonts w:cstheme="minorBidi" w:hint="eastAsia"/>
              <w:noProof/>
              <w:kern w:val="2"/>
              <w:szCs w:val="24"/>
              <w14:ligatures w14:val="standardContextual"/>
            </w:rPr>
          </w:pPr>
          <w:hyperlink w:anchor="_Toc228444767" w:history="1">
            <w:r w:rsidRPr="002C0E84">
              <w:rPr>
                <w:rStyle w:val="af3"/>
                <w:rFonts w:ascii="楷体" w:eastAsia="楷体" w:hAnsi="楷体"/>
                <w:noProof/>
              </w:rPr>
              <w:t>2.3产业瓶颈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B30B875" w14:textId="66A082DB" w:rsidR="00DA25C8" w:rsidRDefault="00DA25C8">
          <w:pPr>
            <w:pStyle w:val="TOC3"/>
            <w:tabs>
              <w:tab w:val="right" w:leader="dot" w:pos="8296"/>
            </w:tabs>
            <w:rPr>
              <w:rFonts w:cstheme="minorBidi" w:hint="eastAsia"/>
              <w:noProof/>
              <w:kern w:val="2"/>
              <w:szCs w:val="24"/>
              <w14:ligatures w14:val="standardContextual"/>
            </w:rPr>
          </w:pPr>
          <w:hyperlink w:anchor="_Toc228444768" w:history="1">
            <w:r w:rsidRPr="002C0E84">
              <w:rPr>
                <w:rStyle w:val="af3"/>
                <w:rFonts w:ascii="楷体" w:eastAsia="楷体" w:hAnsi="楷体"/>
                <w:noProof/>
              </w:rPr>
              <w:t>2.3.1技术瓶颈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72119E7" w14:textId="599E6BF8" w:rsidR="00DA25C8" w:rsidRDefault="00DA25C8">
          <w:pPr>
            <w:pStyle w:val="TOC3"/>
            <w:tabs>
              <w:tab w:val="right" w:leader="dot" w:pos="8296"/>
            </w:tabs>
            <w:rPr>
              <w:rFonts w:cstheme="minorBidi" w:hint="eastAsia"/>
              <w:noProof/>
              <w:kern w:val="2"/>
              <w:szCs w:val="24"/>
              <w14:ligatures w14:val="standardContextual"/>
            </w:rPr>
          </w:pPr>
          <w:hyperlink w:anchor="_Toc228444769" w:history="1">
            <w:r w:rsidRPr="002C0E84">
              <w:rPr>
                <w:rStyle w:val="af3"/>
                <w:rFonts w:ascii="楷体" w:eastAsia="楷体" w:hAnsi="楷体"/>
                <w:noProof/>
              </w:rPr>
              <w:t>2.3.2资源瓶颈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BEB6BA4" w14:textId="1059DA8F" w:rsidR="00DA25C8" w:rsidRDefault="00DA25C8">
          <w:pPr>
            <w:pStyle w:val="TOC3"/>
            <w:tabs>
              <w:tab w:val="right" w:leader="dot" w:pos="8296"/>
            </w:tabs>
            <w:rPr>
              <w:rFonts w:cstheme="minorBidi" w:hint="eastAsia"/>
              <w:noProof/>
              <w:kern w:val="2"/>
              <w:szCs w:val="24"/>
              <w14:ligatures w14:val="standardContextual"/>
            </w:rPr>
          </w:pPr>
          <w:hyperlink w:anchor="_Toc228444770" w:history="1">
            <w:r w:rsidRPr="002C0E84">
              <w:rPr>
                <w:rStyle w:val="af3"/>
                <w:rFonts w:ascii="楷体" w:eastAsia="楷体" w:hAnsi="楷体"/>
                <w:noProof/>
              </w:rPr>
              <w:t>2.3.3商业瓶颈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18D3950" w14:textId="5C12154F" w:rsidR="00DA25C8" w:rsidRDefault="00DA25C8">
          <w:pPr>
            <w:pStyle w:val="TOC3"/>
            <w:tabs>
              <w:tab w:val="right" w:leader="dot" w:pos="8296"/>
            </w:tabs>
            <w:rPr>
              <w:rFonts w:cstheme="minorBidi" w:hint="eastAsia"/>
              <w:noProof/>
              <w:kern w:val="2"/>
              <w:szCs w:val="24"/>
              <w14:ligatures w14:val="standardContextual"/>
            </w:rPr>
          </w:pPr>
          <w:hyperlink w:anchor="_Toc228444771" w:history="1">
            <w:r w:rsidRPr="002C0E84">
              <w:rPr>
                <w:rStyle w:val="af3"/>
                <w:rFonts w:ascii="楷体" w:eastAsia="楷体" w:hAnsi="楷体"/>
                <w:noProof/>
              </w:rPr>
              <w:t>2.3.4生态瓶颈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1DC7786" w14:textId="6D657BDC" w:rsidR="00DA25C8" w:rsidRDefault="00DA25C8">
          <w:pPr>
            <w:pStyle w:val="TOC1"/>
            <w:tabs>
              <w:tab w:val="right" w:leader="dot" w:pos="8296"/>
            </w:tabs>
            <w:rPr>
              <w:rFonts w:cstheme="minorBidi" w:hint="eastAsia"/>
              <w:noProof/>
              <w:kern w:val="2"/>
              <w:szCs w:val="24"/>
              <w14:ligatures w14:val="standardContextual"/>
            </w:rPr>
          </w:pPr>
          <w:hyperlink w:anchor="_Toc228444772" w:history="1">
            <w:r w:rsidRPr="002C0E84">
              <w:rPr>
                <w:rStyle w:val="af3"/>
                <w:rFonts w:ascii="楷体" w:eastAsia="楷体" w:hAnsi="楷体"/>
                <w:noProof/>
              </w:rPr>
              <w:t>3.竞争格局与企业竞争力分析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1E211C4" w14:textId="6295ADDB" w:rsidR="00DA25C8" w:rsidRDefault="00DA25C8">
          <w:pPr>
            <w:pStyle w:val="TOC2"/>
            <w:tabs>
              <w:tab w:val="right" w:leader="dot" w:pos="8296"/>
            </w:tabs>
            <w:rPr>
              <w:rFonts w:cstheme="minorBidi" w:hint="eastAsia"/>
              <w:noProof/>
              <w:kern w:val="2"/>
              <w:szCs w:val="24"/>
              <w14:ligatures w14:val="standardContextual"/>
            </w:rPr>
          </w:pPr>
          <w:hyperlink w:anchor="_Toc228444773" w:history="1">
            <w:r w:rsidRPr="002C0E84">
              <w:rPr>
                <w:rStyle w:val="af3"/>
                <w:rFonts w:ascii="楷体" w:eastAsia="楷体" w:hAnsi="楷体"/>
                <w:noProof/>
              </w:rPr>
              <w:t>3.1市场集中度与竞争态势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8D06DFB" w14:textId="40D10682" w:rsidR="00DA25C8" w:rsidRDefault="00DA25C8">
          <w:pPr>
            <w:pStyle w:val="TOC3"/>
            <w:tabs>
              <w:tab w:val="right" w:leader="dot" w:pos="8296"/>
            </w:tabs>
            <w:rPr>
              <w:rFonts w:cstheme="minorBidi" w:hint="eastAsia"/>
              <w:noProof/>
              <w:kern w:val="2"/>
              <w:szCs w:val="24"/>
              <w14:ligatures w14:val="standardContextual"/>
            </w:rPr>
          </w:pPr>
          <w:hyperlink w:anchor="_Toc228444774" w:history="1">
            <w:r w:rsidRPr="002C0E84">
              <w:rPr>
                <w:rStyle w:val="af3"/>
                <w:rFonts w:ascii="楷体" w:eastAsia="楷体" w:hAnsi="楷体"/>
                <w:noProof/>
              </w:rPr>
              <w:t>3.1.1市场集中度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F1837F6" w14:textId="6F8DF0A6" w:rsidR="00DA25C8" w:rsidRDefault="00DA25C8">
          <w:pPr>
            <w:pStyle w:val="TOC3"/>
            <w:tabs>
              <w:tab w:val="right" w:leader="dot" w:pos="8296"/>
            </w:tabs>
            <w:rPr>
              <w:rFonts w:cstheme="minorBidi" w:hint="eastAsia"/>
              <w:noProof/>
              <w:kern w:val="2"/>
              <w:szCs w:val="24"/>
              <w14:ligatures w14:val="standardContextual"/>
            </w:rPr>
          </w:pPr>
          <w:hyperlink w:anchor="_Toc228444775" w:history="1">
            <w:r w:rsidRPr="002C0E84">
              <w:rPr>
                <w:rStyle w:val="af3"/>
                <w:rFonts w:ascii="楷体" w:eastAsia="楷体" w:hAnsi="楷体"/>
                <w:noProof/>
              </w:rPr>
              <w:t>3.1.2竞争态势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F27A2EB" w14:textId="083FB77E" w:rsidR="00DA25C8" w:rsidRDefault="00DA25C8">
          <w:pPr>
            <w:pStyle w:val="TOC2"/>
            <w:tabs>
              <w:tab w:val="right" w:leader="dot" w:pos="8296"/>
            </w:tabs>
            <w:rPr>
              <w:rFonts w:cstheme="minorBidi" w:hint="eastAsia"/>
              <w:noProof/>
              <w:kern w:val="2"/>
              <w:szCs w:val="24"/>
              <w14:ligatures w14:val="standardContextual"/>
            </w:rPr>
          </w:pPr>
          <w:hyperlink w:anchor="_Toc228444776" w:history="1">
            <w:r w:rsidRPr="002C0E84">
              <w:rPr>
                <w:rStyle w:val="af3"/>
                <w:rFonts w:ascii="楷体" w:eastAsia="楷体" w:hAnsi="楷体"/>
                <w:noProof/>
              </w:rPr>
              <w:t>3.2参与者类型（pureplay and non pureplay）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EA2074F" w14:textId="31456AA4" w:rsidR="00DA25C8" w:rsidRDefault="00DA25C8">
          <w:pPr>
            <w:pStyle w:val="TOC3"/>
            <w:tabs>
              <w:tab w:val="right" w:leader="dot" w:pos="8296"/>
            </w:tabs>
            <w:rPr>
              <w:rFonts w:cstheme="minorBidi" w:hint="eastAsia"/>
              <w:noProof/>
              <w:kern w:val="2"/>
              <w:szCs w:val="24"/>
              <w14:ligatures w14:val="standardContextual"/>
            </w:rPr>
          </w:pPr>
          <w:hyperlink w:anchor="_Toc228444777" w:history="1">
            <w:r w:rsidRPr="002C0E84">
              <w:rPr>
                <w:rStyle w:val="af3"/>
                <w:rFonts w:ascii="楷体" w:eastAsia="楷体" w:hAnsi="楷体"/>
                <w:noProof/>
              </w:rPr>
              <w:t>3.2.1产业参与者全景图谱：基于技术架构的四层划分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8FF37F2" w14:textId="08F3A113" w:rsidR="00DA25C8" w:rsidRDefault="00DA25C8">
          <w:pPr>
            <w:pStyle w:val="TOC3"/>
            <w:tabs>
              <w:tab w:val="right" w:leader="dot" w:pos="8296"/>
            </w:tabs>
            <w:rPr>
              <w:rFonts w:cstheme="minorBidi" w:hint="eastAsia"/>
              <w:noProof/>
              <w:kern w:val="2"/>
              <w:szCs w:val="24"/>
              <w14:ligatures w14:val="standardContextual"/>
            </w:rPr>
          </w:pPr>
          <w:hyperlink w:anchor="_Toc228444778" w:history="1">
            <w:r w:rsidRPr="002C0E84">
              <w:rPr>
                <w:rStyle w:val="af3"/>
                <w:rFonts w:ascii="楷体" w:eastAsia="楷体" w:hAnsi="楷体"/>
                <w:noProof/>
              </w:rPr>
              <w:t>3.2.2 核心参与者类型深度剖析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211F504" w14:textId="43E33213" w:rsidR="00DA25C8" w:rsidRDefault="00DA25C8">
          <w:pPr>
            <w:pStyle w:val="TOC2"/>
            <w:tabs>
              <w:tab w:val="right" w:leader="dot" w:pos="8296"/>
            </w:tabs>
            <w:rPr>
              <w:rFonts w:cstheme="minorBidi" w:hint="eastAsia"/>
              <w:noProof/>
              <w:kern w:val="2"/>
              <w:szCs w:val="24"/>
              <w14:ligatures w14:val="standardContextual"/>
            </w:rPr>
          </w:pPr>
          <w:hyperlink w:anchor="_Toc228444779" w:history="1">
            <w:r w:rsidRPr="002C0E84">
              <w:rPr>
                <w:rStyle w:val="af3"/>
                <w:rFonts w:ascii="楷体" w:eastAsia="楷体" w:hAnsi="楷体"/>
                <w:noProof/>
              </w:rPr>
              <w:t>3.3企业核心竞争力评价维度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5F15379" w14:textId="18ACB832" w:rsidR="00DA25C8" w:rsidRDefault="00DA25C8">
          <w:pPr>
            <w:pStyle w:val="TOC3"/>
            <w:tabs>
              <w:tab w:val="right" w:leader="dot" w:pos="8296"/>
            </w:tabs>
            <w:rPr>
              <w:rFonts w:cstheme="minorBidi" w:hint="eastAsia"/>
              <w:noProof/>
              <w:kern w:val="2"/>
              <w:szCs w:val="24"/>
              <w14:ligatures w14:val="standardContextual"/>
            </w:rPr>
          </w:pPr>
          <w:hyperlink w:anchor="_Toc228444780" w:history="1">
            <w:r w:rsidRPr="002C0E84">
              <w:rPr>
                <w:rStyle w:val="af3"/>
                <w:rFonts w:ascii="楷体" w:eastAsia="楷体" w:hAnsi="楷体"/>
                <w:noProof/>
              </w:rPr>
              <w:t>3.3.1生态构建能力：从规模积累到体系化自演进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61C2B91" w14:textId="1B21B6AB" w:rsidR="00DA25C8" w:rsidRDefault="00DA25C8">
          <w:pPr>
            <w:pStyle w:val="TOC3"/>
            <w:tabs>
              <w:tab w:val="right" w:leader="dot" w:pos="8296"/>
            </w:tabs>
            <w:rPr>
              <w:rFonts w:cstheme="minorBidi" w:hint="eastAsia"/>
              <w:noProof/>
              <w:kern w:val="2"/>
              <w:szCs w:val="24"/>
              <w14:ligatures w14:val="standardContextual"/>
            </w:rPr>
          </w:pPr>
          <w:hyperlink w:anchor="_Toc228444781" w:history="1">
            <w:r w:rsidRPr="002C0E84">
              <w:rPr>
                <w:rStyle w:val="af3"/>
                <w:rFonts w:ascii="楷体" w:eastAsia="楷体" w:hAnsi="楷体"/>
                <w:noProof/>
              </w:rPr>
              <w:t>3.3.2技术研发能力：持续迭代与战略路线的双重壁垒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1C00EA7" w14:textId="24F27857" w:rsidR="00DA25C8" w:rsidRDefault="00DA25C8">
          <w:pPr>
            <w:pStyle w:val="TOC3"/>
            <w:tabs>
              <w:tab w:val="right" w:leader="dot" w:pos="8296"/>
            </w:tabs>
            <w:rPr>
              <w:rFonts w:cstheme="minorBidi" w:hint="eastAsia"/>
              <w:noProof/>
              <w:kern w:val="2"/>
              <w:szCs w:val="24"/>
              <w14:ligatures w14:val="standardContextual"/>
            </w:rPr>
          </w:pPr>
          <w:hyperlink w:anchor="_Toc228444782" w:history="1">
            <w:r w:rsidRPr="002C0E84">
              <w:rPr>
                <w:rStyle w:val="af3"/>
                <w:rFonts w:ascii="楷体" w:eastAsia="楷体" w:hAnsi="楷体"/>
                <w:noProof/>
              </w:rPr>
              <w:t>3.3.3行业赋能能力：从技术工具到业务流程的重构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FFEE040" w14:textId="54FF3AD0" w:rsidR="00DA25C8" w:rsidRDefault="00DA25C8">
          <w:pPr>
            <w:pStyle w:val="TOC3"/>
            <w:tabs>
              <w:tab w:val="right" w:leader="dot" w:pos="8296"/>
            </w:tabs>
            <w:rPr>
              <w:rFonts w:cstheme="minorBidi" w:hint="eastAsia"/>
              <w:noProof/>
              <w:kern w:val="2"/>
              <w:szCs w:val="24"/>
              <w14:ligatures w14:val="standardContextual"/>
            </w:rPr>
          </w:pPr>
          <w:hyperlink w:anchor="_Toc228444783" w:history="1">
            <w:r w:rsidRPr="002C0E84">
              <w:rPr>
                <w:rStyle w:val="af3"/>
                <w:rFonts w:ascii="楷体" w:eastAsia="楷体" w:hAnsi="楷体"/>
                <w:noProof/>
              </w:rPr>
              <w:t>3.3.4商业变现能力：从探索期到规模化变现的跨越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FEDF14F" w14:textId="75E8BB3D" w:rsidR="00DA25C8" w:rsidRDefault="00DA25C8">
          <w:pPr>
            <w:pStyle w:val="TOC3"/>
            <w:tabs>
              <w:tab w:val="right" w:leader="dot" w:pos="8296"/>
            </w:tabs>
            <w:rPr>
              <w:rFonts w:cstheme="minorBidi" w:hint="eastAsia"/>
              <w:noProof/>
              <w:kern w:val="2"/>
              <w:szCs w:val="24"/>
              <w14:ligatures w14:val="standardContextual"/>
            </w:rPr>
          </w:pPr>
          <w:hyperlink w:anchor="_Toc228444784" w:history="1">
            <w:r w:rsidRPr="002C0E84">
              <w:rPr>
                <w:rStyle w:val="af3"/>
                <w:rFonts w:ascii="楷体" w:eastAsia="楷体" w:hAnsi="楷体"/>
                <w:noProof/>
              </w:rPr>
              <w:t>3.3.5创新拓展能力：抢占未来生态制高点的前瞻布局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64F396A" w14:textId="2492BC31" w:rsidR="00DA25C8" w:rsidRDefault="00DA25C8">
          <w:pPr>
            <w:pStyle w:val="TOC1"/>
            <w:tabs>
              <w:tab w:val="right" w:leader="dot" w:pos="8296"/>
            </w:tabs>
            <w:rPr>
              <w:rFonts w:cstheme="minorBidi" w:hint="eastAsia"/>
              <w:noProof/>
              <w:kern w:val="2"/>
              <w:szCs w:val="24"/>
              <w14:ligatures w14:val="standardContextual"/>
            </w:rPr>
          </w:pPr>
          <w:hyperlink w:anchor="_Toc228444785" w:history="1">
            <w:r w:rsidRPr="002C0E84">
              <w:rPr>
                <w:rStyle w:val="af3"/>
                <w:rFonts w:ascii="楷体" w:eastAsia="楷体" w:hAnsi="楷体"/>
                <w:noProof/>
              </w:rPr>
              <w:t>4.未来趋势与展望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85A8FEB" w14:textId="3DE2EF5C" w:rsidR="00DA25C8" w:rsidRDefault="00DA25C8">
          <w:pPr>
            <w:pStyle w:val="TOC2"/>
            <w:tabs>
              <w:tab w:val="right" w:leader="dot" w:pos="8296"/>
            </w:tabs>
            <w:rPr>
              <w:rFonts w:cstheme="minorBidi" w:hint="eastAsia"/>
              <w:noProof/>
              <w:kern w:val="2"/>
              <w:szCs w:val="24"/>
              <w14:ligatures w14:val="standardContextual"/>
            </w:rPr>
          </w:pPr>
          <w:hyperlink w:anchor="_Toc228444786" w:history="1">
            <w:r w:rsidRPr="002C0E84">
              <w:rPr>
                <w:rStyle w:val="af3"/>
                <w:rFonts w:ascii="楷体" w:eastAsia="楷体" w:hAnsi="楷体"/>
                <w:noProof/>
              </w:rPr>
              <w:t>4.1技术趋势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25500051" w14:textId="57A59BE5" w:rsidR="00DA25C8" w:rsidRDefault="00DA25C8">
          <w:pPr>
            <w:pStyle w:val="TOC3"/>
            <w:tabs>
              <w:tab w:val="right" w:leader="dot" w:pos="8296"/>
            </w:tabs>
            <w:rPr>
              <w:rFonts w:cstheme="minorBidi" w:hint="eastAsia"/>
              <w:noProof/>
              <w:kern w:val="2"/>
              <w:szCs w:val="24"/>
              <w14:ligatures w14:val="standardContextual"/>
            </w:rPr>
          </w:pPr>
          <w:hyperlink w:anchor="_Toc228444787" w:history="1">
            <w:r w:rsidRPr="002C0E84">
              <w:rPr>
                <w:rStyle w:val="af3"/>
                <w:rFonts w:ascii="楷体" w:eastAsia="楷体" w:hAnsi="楷体"/>
                <w:noProof/>
              </w:rPr>
              <w:t>4.1.1 应用模式：Agent崛起拉动需求增长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928E405" w14:textId="35CBCDC9" w:rsidR="00DA25C8" w:rsidRDefault="00DA25C8">
          <w:pPr>
            <w:pStyle w:val="TOC3"/>
            <w:tabs>
              <w:tab w:val="right" w:leader="dot" w:pos="8296"/>
            </w:tabs>
            <w:rPr>
              <w:rFonts w:cstheme="minorBidi" w:hint="eastAsia"/>
              <w:noProof/>
              <w:kern w:val="2"/>
              <w:szCs w:val="24"/>
              <w14:ligatures w14:val="standardContextual"/>
            </w:rPr>
          </w:pPr>
          <w:hyperlink w:anchor="_Toc228444788" w:history="1">
            <w:r w:rsidRPr="002C0E84">
              <w:rPr>
                <w:rStyle w:val="af3"/>
                <w:rFonts w:ascii="楷体" w:eastAsia="楷体" w:hAnsi="楷体"/>
                <w:noProof/>
              </w:rPr>
              <w:t>4.1.2 模型架构与训练范式演进：Scaling Law重现与效率优化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0C036F6" w14:textId="7F252B8A" w:rsidR="00DA25C8" w:rsidRDefault="00DA25C8">
          <w:pPr>
            <w:pStyle w:val="TOC3"/>
            <w:tabs>
              <w:tab w:val="right" w:leader="dot" w:pos="8296"/>
            </w:tabs>
            <w:rPr>
              <w:rFonts w:cstheme="minorBidi" w:hint="eastAsia"/>
              <w:noProof/>
              <w:kern w:val="2"/>
              <w:szCs w:val="24"/>
              <w14:ligatures w14:val="standardContextual"/>
            </w:rPr>
          </w:pPr>
          <w:hyperlink w:anchor="_Toc228444789" w:history="1">
            <w:r w:rsidRPr="002C0E84">
              <w:rPr>
                <w:rStyle w:val="af3"/>
                <w:rFonts w:ascii="楷体" w:eastAsia="楷体" w:hAnsi="楷体"/>
                <w:noProof/>
              </w:rPr>
              <w:t>4.1.3 多模态融合与物理世界理解：从感知到生成一体化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909361C" w14:textId="5256941F" w:rsidR="00DA25C8" w:rsidRDefault="00DA25C8">
          <w:pPr>
            <w:pStyle w:val="TOC2"/>
            <w:tabs>
              <w:tab w:val="right" w:leader="dot" w:pos="8296"/>
            </w:tabs>
            <w:rPr>
              <w:rFonts w:cstheme="minorBidi" w:hint="eastAsia"/>
              <w:noProof/>
              <w:kern w:val="2"/>
              <w:szCs w:val="24"/>
              <w14:ligatures w14:val="standardContextual"/>
            </w:rPr>
          </w:pPr>
          <w:hyperlink w:anchor="_Toc228444790" w:history="1">
            <w:r w:rsidRPr="002C0E84">
              <w:rPr>
                <w:rStyle w:val="af3"/>
                <w:rFonts w:ascii="楷体" w:eastAsia="楷体" w:hAnsi="楷体"/>
                <w:noProof/>
              </w:rPr>
              <w:t>4.2商业趋势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16DB999" w14:textId="0A7500BA" w:rsidR="00DA25C8" w:rsidRDefault="00DA25C8">
          <w:pPr>
            <w:pStyle w:val="TOC3"/>
            <w:tabs>
              <w:tab w:val="right" w:leader="dot" w:pos="8296"/>
            </w:tabs>
            <w:rPr>
              <w:rFonts w:cstheme="minorBidi" w:hint="eastAsia"/>
              <w:noProof/>
              <w:kern w:val="2"/>
              <w:szCs w:val="24"/>
              <w14:ligatures w14:val="standardContextual"/>
            </w:rPr>
          </w:pPr>
          <w:hyperlink w:anchor="_Toc228444791" w:history="1">
            <w:r w:rsidRPr="002C0E84">
              <w:rPr>
                <w:rStyle w:val="af3"/>
                <w:rFonts w:ascii="楷体" w:eastAsia="楷体" w:hAnsi="楷体"/>
                <w:noProof/>
              </w:rPr>
              <w:t>4.2.1 商业化落地：从试点到规模化展开至具体细分行业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975F754" w14:textId="171BD248" w:rsidR="00DA25C8" w:rsidRDefault="00DA25C8">
          <w:pPr>
            <w:pStyle w:val="TOC3"/>
            <w:tabs>
              <w:tab w:val="right" w:leader="dot" w:pos="8296"/>
            </w:tabs>
            <w:rPr>
              <w:rFonts w:cstheme="minorBidi" w:hint="eastAsia"/>
              <w:noProof/>
              <w:kern w:val="2"/>
              <w:szCs w:val="24"/>
              <w14:ligatures w14:val="standardContextual"/>
            </w:rPr>
          </w:pPr>
          <w:hyperlink w:anchor="_Toc228444792" w:history="1">
            <w:r w:rsidRPr="002C0E84">
              <w:rPr>
                <w:rStyle w:val="af3"/>
                <w:rFonts w:ascii="楷体" w:eastAsia="楷体" w:hAnsi="楷体"/>
                <w:noProof/>
              </w:rPr>
              <w:t>4.2.2 竞争与效率：格局收敛与盈利拐点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D9E15B4" w14:textId="4E7BE83C" w:rsidR="00DA25C8" w:rsidRDefault="00DA25C8">
          <w:pPr>
            <w:pStyle w:val="TOC2"/>
            <w:tabs>
              <w:tab w:val="right" w:leader="dot" w:pos="8296"/>
            </w:tabs>
            <w:rPr>
              <w:rFonts w:cstheme="minorBidi" w:hint="eastAsia"/>
              <w:noProof/>
              <w:kern w:val="2"/>
              <w:szCs w:val="24"/>
              <w14:ligatures w14:val="standardContextual"/>
            </w:rPr>
          </w:pPr>
          <w:hyperlink w:anchor="_Toc228444793" w:history="1">
            <w:r w:rsidRPr="002C0E84">
              <w:rPr>
                <w:rStyle w:val="af3"/>
                <w:rFonts w:ascii="楷体" w:eastAsia="楷体" w:hAnsi="楷体"/>
                <w:noProof/>
              </w:rPr>
              <w:t>4.3潜在风险提示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4B3591C" w14:textId="6369CC8C" w:rsidR="00DA25C8" w:rsidRDefault="00DA25C8">
          <w:pPr>
            <w:pStyle w:val="TOC3"/>
            <w:tabs>
              <w:tab w:val="right" w:leader="dot" w:pos="8296"/>
            </w:tabs>
            <w:rPr>
              <w:rFonts w:cstheme="minorBidi" w:hint="eastAsia"/>
              <w:noProof/>
              <w:kern w:val="2"/>
              <w:szCs w:val="24"/>
              <w14:ligatures w14:val="standardContextual"/>
            </w:rPr>
          </w:pPr>
          <w:hyperlink w:anchor="_Toc228444794" w:history="1">
            <w:r w:rsidRPr="002C0E84">
              <w:rPr>
                <w:rStyle w:val="af3"/>
                <w:rFonts w:ascii="楷体" w:eastAsia="楷体" w:hAnsi="楷体"/>
                <w:noProof/>
              </w:rPr>
              <w:t>4.3.1 商业模式与盈利路径的不确定性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F6E3BEB" w14:textId="5B1AFA3E" w:rsidR="00DA25C8" w:rsidRDefault="00DA25C8">
          <w:pPr>
            <w:pStyle w:val="TOC3"/>
            <w:tabs>
              <w:tab w:val="right" w:leader="dot" w:pos="8296"/>
            </w:tabs>
            <w:rPr>
              <w:rFonts w:cstheme="minorBidi" w:hint="eastAsia"/>
              <w:noProof/>
              <w:kern w:val="2"/>
              <w:szCs w:val="24"/>
              <w14:ligatures w14:val="standardContextual"/>
            </w:rPr>
          </w:pPr>
          <w:hyperlink w:anchor="_Toc228444795" w:history="1">
            <w:r w:rsidRPr="002C0E84">
              <w:rPr>
                <w:rStyle w:val="af3"/>
                <w:rFonts w:ascii="楷体" w:eastAsia="楷体" w:hAnsi="楷体"/>
                <w:noProof/>
              </w:rPr>
              <w:t>4.3.2 数据瓶颈与治理挑战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2FDA1C6" w14:textId="35AE0EE7" w:rsidR="00DA25C8" w:rsidRDefault="00DA25C8">
          <w:pPr>
            <w:pStyle w:val="TOC3"/>
            <w:tabs>
              <w:tab w:val="right" w:leader="dot" w:pos="8296"/>
            </w:tabs>
            <w:rPr>
              <w:rFonts w:cstheme="minorBidi" w:hint="eastAsia"/>
              <w:noProof/>
              <w:kern w:val="2"/>
              <w:szCs w:val="24"/>
              <w14:ligatures w14:val="standardContextual"/>
            </w:rPr>
          </w:pPr>
          <w:hyperlink w:anchor="_Toc228444796" w:history="1">
            <w:r w:rsidRPr="002C0E84">
              <w:rPr>
                <w:rStyle w:val="af3"/>
                <w:rFonts w:ascii="楷体" w:eastAsia="楷体" w:hAnsi="楷体"/>
                <w:noProof/>
              </w:rPr>
              <w:t>4.3.3 社会接受度与监管风险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7342F6E" w14:textId="206FCD5F" w:rsidR="00DA25C8" w:rsidRDefault="00DA25C8">
          <w:pPr>
            <w:pStyle w:val="TOC3"/>
            <w:tabs>
              <w:tab w:val="right" w:leader="dot" w:pos="8296"/>
            </w:tabs>
            <w:rPr>
              <w:rFonts w:cstheme="minorBidi" w:hint="eastAsia"/>
              <w:noProof/>
              <w:kern w:val="2"/>
              <w:szCs w:val="24"/>
              <w14:ligatures w14:val="standardContextual"/>
            </w:rPr>
          </w:pPr>
          <w:hyperlink w:anchor="_Toc228444797" w:history="1">
            <w:r w:rsidRPr="002C0E84">
              <w:rPr>
                <w:rStyle w:val="af3"/>
                <w:rFonts w:ascii="楷体" w:eastAsia="楷体" w:hAnsi="楷体"/>
                <w:noProof/>
              </w:rPr>
              <w:t>4.3.4 地缘政治与供应链风险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80C443B" w14:textId="6DA9C920" w:rsidR="00DA25C8" w:rsidRDefault="00DA25C8">
          <w:pPr>
            <w:pStyle w:val="TOC3"/>
            <w:tabs>
              <w:tab w:val="right" w:leader="dot" w:pos="8296"/>
            </w:tabs>
            <w:rPr>
              <w:rFonts w:cstheme="minorBidi" w:hint="eastAsia"/>
              <w:noProof/>
              <w:kern w:val="2"/>
              <w:szCs w:val="24"/>
              <w14:ligatures w14:val="standardContextual"/>
            </w:rPr>
          </w:pPr>
          <w:hyperlink w:anchor="_Toc228444798" w:history="1">
            <w:r w:rsidRPr="002C0E84">
              <w:rPr>
                <w:rStyle w:val="af3"/>
                <w:rFonts w:ascii="楷体" w:eastAsia="楷体" w:hAnsi="楷体"/>
                <w:noProof/>
              </w:rPr>
              <w:t>4.3.5 竞争失焦风险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9A29142" w14:textId="7C3D4C01" w:rsidR="00DA25C8" w:rsidRDefault="00DA25C8">
          <w:pPr>
            <w:pStyle w:val="TOC3"/>
            <w:tabs>
              <w:tab w:val="right" w:leader="dot" w:pos="8296"/>
            </w:tabs>
            <w:rPr>
              <w:rFonts w:cstheme="minorBidi" w:hint="eastAsia"/>
              <w:noProof/>
              <w:kern w:val="2"/>
              <w:szCs w:val="24"/>
              <w14:ligatures w14:val="standardContextual"/>
            </w:rPr>
          </w:pPr>
          <w:hyperlink w:anchor="_Toc228444799" w:history="1">
            <w:r w:rsidRPr="002C0E84">
              <w:rPr>
                <w:rStyle w:val="af3"/>
                <w:rFonts w:ascii="楷体" w:eastAsia="楷体" w:hAnsi="楷体"/>
                <w:noProof/>
              </w:rPr>
              <w:t>4.3.6 远期技术路线错误的可能性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CAB5456" w14:textId="64681F62" w:rsidR="00DA25C8" w:rsidRDefault="00DA25C8">
          <w:pPr>
            <w:pStyle w:val="TOC1"/>
            <w:tabs>
              <w:tab w:val="right" w:leader="dot" w:pos="8296"/>
            </w:tabs>
            <w:rPr>
              <w:rFonts w:cstheme="minorBidi" w:hint="eastAsia"/>
              <w:noProof/>
              <w:kern w:val="2"/>
              <w:szCs w:val="24"/>
              <w14:ligatures w14:val="standardContextual"/>
            </w:rPr>
          </w:pPr>
          <w:hyperlink w:anchor="_Toc228444800" w:history="1">
            <w:r w:rsidRPr="002C0E84">
              <w:rPr>
                <w:rStyle w:val="af3"/>
                <w:rFonts w:ascii="楷体" w:eastAsia="楷体" w:hAnsi="楷体"/>
                <w:noProof/>
              </w:rPr>
              <w:t>5.附录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3CF4C66" w14:textId="62A45F5D" w:rsidR="00DA25C8" w:rsidRDefault="00DA25C8">
          <w:pPr>
            <w:pStyle w:val="TOC2"/>
            <w:tabs>
              <w:tab w:val="right" w:leader="dot" w:pos="8296"/>
            </w:tabs>
            <w:rPr>
              <w:rFonts w:cstheme="minorBidi" w:hint="eastAsia"/>
              <w:noProof/>
              <w:kern w:val="2"/>
              <w:szCs w:val="24"/>
              <w14:ligatures w14:val="standardContextual"/>
            </w:rPr>
          </w:pPr>
          <w:hyperlink w:anchor="_Toc228444801" w:history="1">
            <w:r w:rsidRPr="002C0E84">
              <w:rPr>
                <w:rStyle w:val="af3"/>
                <w:rFonts w:ascii="楷体" w:eastAsia="楷体" w:hAnsi="楷体"/>
                <w:noProof/>
              </w:rPr>
              <w:t>5.1 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2B2A0C7" w14:textId="1F5F9FD6" w:rsidR="00DA25C8" w:rsidRDefault="00DA25C8">
          <w:pPr>
            <w:pStyle w:val="TOC2"/>
            <w:tabs>
              <w:tab w:val="right" w:leader="dot" w:pos="8296"/>
            </w:tabs>
            <w:rPr>
              <w:rFonts w:cstheme="minorBidi" w:hint="eastAsia"/>
              <w:noProof/>
              <w:kern w:val="2"/>
              <w:szCs w:val="24"/>
              <w14:ligatures w14:val="standardContextual"/>
            </w:rPr>
          </w:pPr>
          <w:hyperlink w:anchor="_Toc228444802" w:history="1">
            <w:r w:rsidRPr="002C0E84">
              <w:rPr>
                <w:rStyle w:val="af3"/>
                <w:rFonts w:ascii="楷体" w:eastAsia="楷体" w:hAnsi="楷体"/>
                <w:noProof/>
              </w:rPr>
              <w:t>5.2 技术历史与突破过程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_Toc228444802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BD085BD" w14:textId="69CE9CDA" w:rsidR="00BF345B" w:rsidRDefault="00BF345B" w:rsidP="00392D61">
          <w:pPr>
            <w:jc w:val="both"/>
            <w:rPr>
              <w:rFonts w:hint="eastAsia"/>
            </w:rPr>
          </w:pPr>
          <w:r>
            <w:rPr>
              <w:b/>
              <w:bCs/>
              <w:lang w:val="zh-CN"/>
            </w:rPr>
            <w:fldChar w:fldCharType="end"/>
          </w:r>
        </w:p>
      </w:sdtContent>
    </w:sdt>
    <w:p w14:paraId="293094B4" w14:textId="77777777" w:rsidR="00007D41" w:rsidRDefault="00007D41" w:rsidP="00392D61">
      <w:pPr>
        <w:jc w:val="both"/>
        <w:rPr>
          <w:rFonts w:hint="eastAsia"/>
        </w:rPr>
        <w:sectPr w:rsidR="00007D41">
          <w:pgSz w:w="11906" w:h="16838"/>
          <w:pgMar w:top="1440" w:right="1800" w:bottom="1440" w:left="1800" w:header="851" w:footer="992" w:gutter="0"/>
          <w:cols w:space="425"/>
          <w:docGrid w:type="lines" w:linePitch="312"/>
        </w:sectPr>
      </w:pPr>
    </w:p>
    <w:p w14:paraId="6DAE3BBE" w14:textId="77777777" w:rsidR="001B6851" w:rsidRPr="00BF345B" w:rsidRDefault="001B6851" w:rsidP="00392D61">
      <w:pPr>
        <w:jc w:val="both"/>
        <w:rPr>
          <w:rFonts w:hint="eastAsia"/>
        </w:rPr>
      </w:pPr>
    </w:p>
    <w:p w14:paraId="437CCC9E" w14:textId="58649020" w:rsidR="00E92071" w:rsidRPr="00E92071" w:rsidRDefault="00E92071" w:rsidP="00392D61">
      <w:pPr>
        <w:spacing w:after="0" w:line="360" w:lineRule="auto"/>
        <w:ind w:firstLine="964"/>
        <w:jc w:val="both"/>
        <w:rPr>
          <w:rFonts w:ascii="Times New Roman" w:eastAsia="楷体" w:hAnsi="Times New Roman" w:cs="Times New Roman"/>
          <w:b/>
          <w:bCs/>
          <w:sz w:val="48"/>
          <w:szCs w:val="48"/>
          <w14:ligatures w14:val="none"/>
        </w:rPr>
      </w:pPr>
      <w:r>
        <w:rPr>
          <w:rFonts w:ascii="Times New Roman" w:eastAsia="楷体" w:hAnsi="Times New Roman" w:cs="Times New Roman" w:hint="eastAsia"/>
          <w:b/>
          <w:bCs/>
          <w:sz w:val="48"/>
          <w:szCs w:val="48"/>
          <w14:ligatures w14:val="none"/>
        </w:rPr>
        <w:t>基础大模型行业深度研究报告</w:t>
      </w:r>
    </w:p>
    <w:p w14:paraId="357B3FA7" w14:textId="1E0F7FE6" w:rsidR="004F7E65" w:rsidRPr="00660147" w:rsidRDefault="009A28A3" w:rsidP="00392D61">
      <w:pPr>
        <w:pStyle w:val="1"/>
        <w:jc w:val="both"/>
        <w:rPr>
          <w:rFonts w:ascii="楷体" w:eastAsia="楷体" w:hAnsi="楷体" w:hint="eastAsia"/>
          <w:color w:val="000000" w:themeColor="text1"/>
          <w:sz w:val="36"/>
          <w:szCs w:val="36"/>
        </w:rPr>
      </w:pPr>
      <w:bookmarkStart w:id="0" w:name="_Toc228444751"/>
      <w:r w:rsidRPr="00660147">
        <w:rPr>
          <w:rFonts w:ascii="楷体" w:eastAsia="楷体" w:hAnsi="楷体" w:hint="eastAsia"/>
          <w:color w:val="000000" w:themeColor="text1"/>
          <w:sz w:val="36"/>
          <w:szCs w:val="36"/>
        </w:rPr>
        <w:t>1</w:t>
      </w:r>
      <w:r w:rsidR="0003199B" w:rsidRPr="00660147">
        <w:rPr>
          <w:rFonts w:ascii="楷体" w:eastAsia="楷体" w:hAnsi="楷体" w:hint="eastAsia"/>
          <w:color w:val="000000" w:themeColor="text1"/>
          <w:sz w:val="36"/>
          <w:szCs w:val="36"/>
        </w:rPr>
        <w:t>.行业概</w:t>
      </w:r>
      <w:r w:rsidR="00000513">
        <w:rPr>
          <w:rFonts w:ascii="楷体" w:eastAsia="楷体" w:hAnsi="楷体" w:hint="eastAsia"/>
          <w:color w:val="000000" w:themeColor="text1"/>
          <w:sz w:val="36"/>
          <w:szCs w:val="36"/>
        </w:rPr>
        <w:t>览</w:t>
      </w:r>
      <w:bookmarkEnd w:id="0"/>
    </w:p>
    <w:p w14:paraId="5445B605" w14:textId="4037120F" w:rsidR="004F7E65" w:rsidRPr="00342124" w:rsidRDefault="009A28A3" w:rsidP="00392D61">
      <w:pPr>
        <w:pStyle w:val="2"/>
        <w:jc w:val="both"/>
        <w:rPr>
          <w:rFonts w:ascii="楷体" w:eastAsia="楷体" w:hAnsi="楷体" w:hint="eastAsia"/>
          <w:color w:val="000000" w:themeColor="text1"/>
          <w:sz w:val="32"/>
          <w:szCs w:val="32"/>
        </w:rPr>
      </w:pPr>
      <w:bookmarkStart w:id="1" w:name="_Toc228444752"/>
      <w:r w:rsidRPr="00342124">
        <w:rPr>
          <w:rFonts w:ascii="楷体" w:eastAsia="楷体" w:hAnsi="楷体" w:hint="eastAsia"/>
          <w:color w:val="000000" w:themeColor="text1"/>
          <w:sz w:val="32"/>
          <w:szCs w:val="32"/>
        </w:rPr>
        <w:t>1</w:t>
      </w:r>
      <w:r w:rsidR="00C22F0C" w:rsidRPr="00342124">
        <w:rPr>
          <w:rFonts w:ascii="楷体" w:eastAsia="楷体" w:hAnsi="楷体" w:hint="eastAsia"/>
          <w:color w:val="000000" w:themeColor="text1"/>
          <w:sz w:val="32"/>
          <w:szCs w:val="32"/>
        </w:rPr>
        <w:t>.1定义与分类</w:t>
      </w:r>
      <w:bookmarkEnd w:id="1"/>
    </w:p>
    <w:p w14:paraId="1164BB2E" w14:textId="605F230D" w:rsidR="004F7E65" w:rsidRPr="00342124" w:rsidRDefault="009A28A3" w:rsidP="00392D61">
      <w:pPr>
        <w:pStyle w:val="3"/>
        <w:jc w:val="both"/>
        <w:rPr>
          <w:rFonts w:ascii="楷体" w:eastAsia="楷体" w:hAnsi="楷体" w:hint="eastAsia"/>
          <w:color w:val="000000" w:themeColor="text1"/>
          <w:sz w:val="30"/>
          <w:szCs w:val="30"/>
        </w:rPr>
      </w:pPr>
      <w:bookmarkStart w:id="2" w:name="_Toc228444753"/>
      <w:r w:rsidRPr="00342124">
        <w:rPr>
          <w:rFonts w:ascii="楷体" w:eastAsia="楷体" w:hAnsi="楷体" w:hint="eastAsia"/>
          <w:color w:val="000000" w:themeColor="text1"/>
          <w:sz w:val="30"/>
          <w:szCs w:val="30"/>
        </w:rPr>
        <w:t>1.1.1</w:t>
      </w:r>
      <w:r w:rsidR="005870B1" w:rsidRPr="00342124">
        <w:rPr>
          <w:rFonts w:ascii="楷体" w:eastAsia="楷体" w:hAnsi="楷体" w:hint="eastAsia"/>
          <w:color w:val="000000" w:themeColor="text1"/>
          <w:sz w:val="30"/>
          <w:szCs w:val="30"/>
        </w:rPr>
        <w:t>定义</w:t>
      </w:r>
      <w:bookmarkEnd w:id="2"/>
    </w:p>
    <w:p w14:paraId="606D93A0" w14:textId="2E5C8A77" w:rsidR="004F7E65" w:rsidRPr="00D357CC" w:rsidRDefault="005A4D99" w:rsidP="00D747D7">
      <w:pPr>
        <w:ind w:firstLine="420"/>
        <w:jc w:val="both"/>
        <w:rPr>
          <w:rFonts w:ascii="楷体" w:eastAsia="楷体" w:hAnsi="楷体" w:hint="eastAsia"/>
          <w:color w:val="000000" w:themeColor="text1"/>
        </w:rPr>
      </w:pPr>
      <w:r w:rsidRPr="00D357CC">
        <w:rPr>
          <w:rFonts w:ascii="楷体" w:eastAsia="楷体" w:hAnsi="楷体" w:hint="eastAsia"/>
          <w:color w:val="000000" w:themeColor="text1"/>
          <w:szCs w:val="22"/>
        </w:rPr>
        <w:t>基础大模型，通常指通过海量多源数据训练、具备强大泛化能力的预训练模型（Pre-trained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至能够原生处理并关联文本、图像、音频、视频等信息的多模态大语言模型（MLLM）</w:t>
      </w:r>
      <w:r w:rsidR="00D75EE9">
        <w:rPr>
          <w:rFonts w:ascii="楷体" w:eastAsia="楷体" w:hAnsi="楷体" w:hint="eastAsia"/>
          <w:color w:val="000000" w:themeColor="text1"/>
          <w:szCs w:val="22"/>
        </w:rPr>
        <w:t>。</w:t>
      </w:r>
    </w:p>
    <w:p w14:paraId="66C538A4" w14:textId="77777777" w:rsidR="004F7E65" w:rsidRPr="00D357CC" w:rsidRDefault="005A4D99" w:rsidP="00D747D7">
      <w:pPr>
        <w:ind w:firstLine="420"/>
        <w:jc w:val="both"/>
        <w:rPr>
          <w:rFonts w:ascii="楷体" w:eastAsia="楷体" w:hAnsi="楷体" w:hint="eastAsia"/>
          <w:color w:val="000000" w:themeColor="text1"/>
        </w:rPr>
      </w:pPr>
      <w:r w:rsidRPr="00D357CC">
        <w:rPr>
          <w:rFonts w:ascii="楷体" w:eastAsia="楷体" w:hAnsi="楷体" w:hint="eastAsia"/>
          <w:color w:val="000000" w:themeColor="text1"/>
          <w:szCs w:val="22"/>
        </w:rPr>
        <w:t>大模型的核心创新在于将模型参数规模扩展至数十亿（B级）甚至万亿（TB）级别，配合海量无标注文本数据的预训练，使模型能够捕捉语言中的深层统计规律与语义关联。这种规模化的预训练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371ACB6A" w14:textId="77777777" w:rsidR="004F7E65" w:rsidRPr="00D357CC" w:rsidRDefault="005A4D99" w:rsidP="00D747D7">
      <w:pPr>
        <w:pStyle w:val="FirstParagraph"/>
        <w:ind w:firstLine="420"/>
        <w:jc w:val="both"/>
        <w:rPr>
          <w:rFonts w:ascii="楷体" w:eastAsia="楷体" w:hAnsi="楷体" w:hint="eastAsia"/>
          <w:color w:val="000000" w:themeColor="text1"/>
          <w:sz w:val="22"/>
          <w:szCs w:val="22"/>
          <w:lang w:eastAsia="zh-CN"/>
        </w:rPr>
      </w:pPr>
      <w:r w:rsidRPr="00D357CC">
        <w:rPr>
          <w:rFonts w:ascii="楷体" w:eastAsia="楷体" w:hAnsi="楷体" w:hint="eastAsia"/>
          <w:color w:val="000000" w:themeColor="text1"/>
          <w:sz w:val="22"/>
          <w:szCs w:val="22"/>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rsidR="004F7E65" w:rsidRPr="00660147" w14:paraId="03CE3595" w14:textId="77777777" w:rsidTr="004F7E65">
        <w:trPr>
          <w:cnfStyle w:val="100000000000" w:firstRow="1" w:lastRow="0" w:firstColumn="0" w:lastColumn="0" w:oddVBand="0" w:evenVBand="0" w:oddHBand="0" w:evenHBand="0" w:firstRowFirstColumn="0" w:firstRowLastColumn="0" w:lastRowFirstColumn="0" w:lastRowLastColumn="0"/>
          <w:tblHeader/>
        </w:trPr>
        <w:tc>
          <w:tcPr>
            <w:tcW w:w="2074" w:type="dxa"/>
            <w:tcBorders>
              <w:bottom w:val="nil"/>
            </w:tcBorders>
          </w:tcPr>
          <w:p w14:paraId="19FA6133"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核心能力</w:t>
            </w:r>
          </w:p>
        </w:tc>
        <w:tc>
          <w:tcPr>
            <w:tcW w:w="2074" w:type="dxa"/>
            <w:tcBorders>
              <w:bottom w:val="nil"/>
            </w:tcBorders>
          </w:tcPr>
          <w:p w14:paraId="356FA424"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技术内涵</w:t>
            </w:r>
          </w:p>
        </w:tc>
        <w:tc>
          <w:tcPr>
            <w:tcW w:w="2074" w:type="dxa"/>
            <w:tcBorders>
              <w:bottom w:val="nil"/>
            </w:tcBorders>
          </w:tcPr>
          <w:p w14:paraId="16F8BEEA"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典型表现</w:t>
            </w:r>
          </w:p>
        </w:tc>
        <w:tc>
          <w:tcPr>
            <w:tcW w:w="2074" w:type="dxa"/>
            <w:tcBorders>
              <w:bottom w:val="nil"/>
            </w:tcBorders>
          </w:tcPr>
          <w:p w14:paraId="5FC0D592"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关键突破节点</w:t>
            </w:r>
          </w:p>
        </w:tc>
      </w:tr>
      <w:tr w:rsidR="004F7E65" w:rsidRPr="00660147" w14:paraId="54998516" w14:textId="77777777" w:rsidTr="004F7E65">
        <w:tc>
          <w:tcPr>
            <w:tcW w:w="2074" w:type="dxa"/>
          </w:tcPr>
          <w:p w14:paraId="18EA4C0E"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涌现能力</w:t>
            </w:r>
          </w:p>
        </w:tc>
        <w:tc>
          <w:tcPr>
            <w:tcW w:w="2074" w:type="dxa"/>
          </w:tcPr>
          <w:p w14:paraId="6F746E07"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规模达到临界点后自发出现的新能力</w:t>
            </w:r>
          </w:p>
        </w:tc>
        <w:tc>
          <w:tcPr>
            <w:tcW w:w="2074" w:type="dxa"/>
          </w:tcPr>
          <w:p w14:paraId="60AE048B"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链式思维推理、少样本学习、复杂规划</w:t>
            </w:r>
          </w:p>
        </w:tc>
        <w:tc>
          <w:tcPr>
            <w:tcW w:w="2074" w:type="dxa"/>
          </w:tcPr>
          <w:p w14:paraId="0EF12808"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GPT-3（1750亿参数）首次显著展现</w:t>
            </w:r>
          </w:p>
        </w:tc>
      </w:tr>
      <w:tr w:rsidR="004F7E65" w:rsidRPr="00660147" w14:paraId="761C4E61" w14:textId="77777777" w:rsidTr="004F7E65">
        <w:tc>
          <w:tcPr>
            <w:tcW w:w="2074" w:type="dxa"/>
          </w:tcPr>
          <w:p w14:paraId="20937017"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2"/>
              </w:rPr>
              <w:lastRenderedPageBreak/>
              <w:t>上下文学习</w:t>
            </w:r>
          </w:p>
        </w:tc>
        <w:tc>
          <w:tcPr>
            <w:tcW w:w="2074" w:type="dxa"/>
          </w:tcPr>
          <w:p w14:paraId="533FE6B0"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无需参数更新，通过提示示例快速适应新任务</w:t>
            </w:r>
          </w:p>
        </w:tc>
        <w:tc>
          <w:tcPr>
            <w:tcW w:w="2074" w:type="dxa"/>
          </w:tcPr>
          <w:p w14:paraId="5581E0F4"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给定几个示例即可完成分类、翻译、摘要等</w:t>
            </w:r>
          </w:p>
        </w:tc>
        <w:tc>
          <w:tcPr>
            <w:tcW w:w="2074" w:type="dxa"/>
          </w:tcPr>
          <w:p w14:paraId="729FC382"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GPT-3的In-Context Learning机制</w:t>
            </w:r>
          </w:p>
        </w:tc>
      </w:tr>
      <w:tr w:rsidR="004F7E65" w:rsidRPr="00660147" w14:paraId="3B3C1777" w14:textId="77777777" w:rsidTr="004F7E65">
        <w:tc>
          <w:tcPr>
            <w:tcW w:w="2074" w:type="dxa"/>
          </w:tcPr>
          <w:p w14:paraId="36F7DEB1"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指令遵循</w:t>
            </w:r>
          </w:p>
        </w:tc>
        <w:tc>
          <w:tcPr>
            <w:tcW w:w="2074" w:type="dxa"/>
          </w:tcPr>
          <w:p w14:paraId="5E270517"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准确理解自然语言指令并按期望格式输出</w:t>
            </w:r>
          </w:p>
        </w:tc>
        <w:tc>
          <w:tcPr>
            <w:tcW w:w="2074" w:type="dxa"/>
          </w:tcPr>
          <w:p w14:paraId="19FB2690"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多轮对话、复杂任务分解、格式控制</w:t>
            </w:r>
          </w:p>
        </w:tc>
        <w:tc>
          <w:tcPr>
            <w:tcW w:w="2074" w:type="dxa"/>
          </w:tcPr>
          <w:p w14:paraId="530328AB"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ChatGPT的RLHF对齐技术</w:t>
            </w:r>
          </w:p>
        </w:tc>
      </w:tr>
      <w:tr w:rsidR="004F7E65" w:rsidRPr="00660147" w14:paraId="3B336FE5" w14:textId="77777777" w:rsidTr="004F7E65">
        <w:tc>
          <w:tcPr>
            <w:tcW w:w="2074" w:type="dxa"/>
          </w:tcPr>
          <w:p w14:paraId="0B5D06ED" w14:textId="77777777" w:rsidR="004F7E65" w:rsidRPr="00660147" w:rsidRDefault="005A4D99" w:rsidP="00392D61">
            <w:pPr>
              <w:pStyle w:val="Compact"/>
              <w:jc w:val="both"/>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多任务泛化</w:t>
            </w:r>
          </w:p>
        </w:tc>
        <w:tc>
          <w:tcPr>
            <w:tcW w:w="2074" w:type="dxa"/>
          </w:tcPr>
          <w:p w14:paraId="0ADF6BA5"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单一模型处理多样化任务的能力</w:t>
            </w:r>
          </w:p>
        </w:tc>
        <w:tc>
          <w:tcPr>
            <w:tcW w:w="2074" w:type="dxa"/>
          </w:tcPr>
          <w:p w14:paraId="38315F99"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文本生成、代码编写、逻辑推理、创意写作</w:t>
            </w:r>
          </w:p>
        </w:tc>
        <w:tc>
          <w:tcPr>
            <w:tcW w:w="2074" w:type="dxa"/>
          </w:tcPr>
          <w:p w14:paraId="592D556F" w14:textId="77777777" w:rsidR="004F7E65" w:rsidRPr="00660147" w:rsidRDefault="005A4D99" w:rsidP="00392D61">
            <w:pPr>
              <w:pStyle w:val="Compact"/>
              <w:jc w:val="both"/>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GPT-4的专业考试人类水平表现</w:t>
            </w:r>
          </w:p>
        </w:tc>
      </w:tr>
    </w:tbl>
    <w:p w14:paraId="3F588599" w14:textId="77777777" w:rsidR="004F7E65" w:rsidRPr="00660147" w:rsidRDefault="005A4D99" w:rsidP="00392D61">
      <w:pPr>
        <w:ind w:firstLine="420"/>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2024年底至2026年初，LLM领域经历了从规模扩展到多维度深化的范式转变，MoE架构主流化解决了参数规模与计算成本的矛盾，测试时推理扩展为专业任务提供了新的能力上限。</w:t>
      </w:r>
    </w:p>
    <w:p w14:paraId="420A1D84" w14:textId="03BA531A" w:rsidR="004F7E65" w:rsidRPr="00660147" w:rsidRDefault="005A4D99" w:rsidP="00392D61">
      <w:pPr>
        <w:ind w:firstLine="420"/>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上下文学习能力尤其值得关注，因为它极大地降低了模型适应新任务的门槛。用户无需具备深度学习专业知识，即可通过自然语言指令引导模型完成特定任务。这一能力的基础在于预训练过程中模型对海量文本中隐含模式的学习——互联网文本中天然包含了大量</w:t>
      </w:r>
      <w:r w:rsidR="00BE4BF4">
        <w:rPr>
          <w:rFonts w:ascii="楷体" w:eastAsia="楷体" w:hAnsi="楷体" w:hint="eastAsia"/>
          <w:color w:val="000000" w:themeColor="text1"/>
          <w:szCs w:val="22"/>
        </w:rPr>
        <w:t>“</w:t>
      </w:r>
      <w:r w:rsidRPr="00660147">
        <w:rPr>
          <w:rFonts w:ascii="楷体" w:eastAsia="楷体" w:hAnsi="楷体" w:hint="eastAsia"/>
          <w:color w:val="000000" w:themeColor="text1"/>
          <w:szCs w:val="22"/>
        </w:rPr>
        <w:t>问题-答案”、“指令-响应”等形式的配对数据。</w:t>
      </w:r>
    </w:p>
    <w:p w14:paraId="191B301D" w14:textId="0AB16092" w:rsidR="004F7E65" w:rsidRPr="00660147" w:rsidRDefault="005A4D99" w:rsidP="00392D61">
      <w:pPr>
        <w:ind w:firstLine="420"/>
        <w:jc w:val="both"/>
        <w:rPr>
          <w:rFonts w:ascii="楷体" w:eastAsia="楷体" w:hAnsi="楷体" w:hint="eastAsia"/>
          <w:color w:val="000000" w:themeColor="text1"/>
          <w:szCs w:val="22"/>
        </w:rPr>
      </w:pPr>
      <w:r w:rsidRPr="00660147">
        <w:rPr>
          <w:rFonts w:ascii="楷体" w:eastAsia="楷体" w:hAnsi="楷体"/>
          <w:color w:val="000000" w:themeColor="text1"/>
          <w:szCs w:val="22"/>
        </w:rPr>
        <w:t>指令遵循能力的提升则得益于有监督微调（SFT）和基于人类反馈的强化学习（RLHF）等对齐技术。这一系列技术显著提升了大模型的实用性和安全性，使其从</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文本补全工具</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转变为</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有用、诚实、无害”的智能助手</w:t>
      </w:r>
    </w:p>
    <w:p w14:paraId="4311963C" w14:textId="428A4F28" w:rsidR="004F7E65" w:rsidRPr="00660147" w:rsidRDefault="005A4D99" w:rsidP="00392D61">
      <w:pPr>
        <w:ind w:firstLine="420"/>
        <w:jc w:val="both"/>
        <w:rPr>
          <w:rFonts w:ascii="楷体" w:eastAsia="楷体" w:hAnsi="楷体" w:hint="eastAsia"/>
          <w:color w:val="000000" w:themeColor="text1"/>
          <w:szCs w:val="22"/>
        </w:rPr>
      </w:pPr>
      <w:r w:rsidRPr="00660147">
        <w:rPr>
          <w:rFonts w:ascii="楷体" w:eastAsia="楷体" w:hAnsi="楷体"/>
          <w:color w:val="000000" w:themeColor="text1"/>
          <w:szCs w:val="22"/>
        </w:rPr>
        <w:t>多任务泛化能力尤其值得关注，因为它打破了</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一任务一模型</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的传统壁垒，使单一模型得以同时处理分类、生成、推理、翻译与代码等异构任务。这一能力的基础在于预训练阶段对海量异构数据中跨域统计规律的学习——互联网文本天然融合了代码、对话、论文与表格等多种任务形式，模型在压缩这些复杂分布的过程中习得可迁移的抽象表征与通用推理框架。其显性化则得益于统一的 next-token prediction 预训练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14:paraId="154DCFE1" w14:textId="1E072436" w:rsidR="004F7E65" w:rsidRPr="00342124" w:rsidRDefault="009A28A3" w:rsidP="00392D61">
      <w:pPr>
        <w:pStyle w:val="3"/>
        <w:jc w:val="both"/>
        <w:rPr>
          <w:rFonts w:ascii="楷体" w:eastAsia="楷体" w:hAnsi="楷体" w:hint="eastAsia"/>
          <w:color w:val="000000" w:themeColor="text1"/>
          <w:sz w:val="30"/>
          <w:szCs w:val="30"/>
        </w:rPr>
      </w:pPr>
      <w:bookmarkStart w:id="3" w:name="_Toc228444754"/>
      <w:r w:rsidRPr="00342124">
        <w:rPr>
          <w:rFonts w:ascii="楷体" w:eastAsia="楷体" w:hAnsi="楷体" w:hint="eastAsia"/>
          <w:color w:val="000000" w:themeColor="text1"/>
          <w:sz w:val="30"/>
          <w:szCs w:val="30"/>
        </w:rPr>
        <w:lastRenderedPageBreak/>
        <w:t>1.1</w:t>
      </w:r>
      <w:r w:rsidR="009B0704" w:rsidRPr="00342124">
        <w:rPr>
          <w:rFonts w:ascii="楷体" w:eastAsia="楷体" w:hAnsi="楷体" w:hint="eastAsia"/>
          <w:color w:val="000000" w:themeColor="text1"/>
          <w:sz w:val="30"/>
          <w:szCs w:val="30"/>
        </w:rPr>
        <w:t>.2</w:t>
      </w:r>
      <w:r w:rsidRPr="00342124">
        <w:rPr>
          <w:rFonts w:ascii="楷体" w:eastAsia="楷体" w:hAnsi="楷体" w:hint="eastAsia"/>
          <w:color w:val="000000" w:themeColor="text1"/>
          <w:sz w:val="30"/>
          <w:szCs w:val="30"/>
        </w:rPr>
        <w:t>产业特性</w:t>
      </w:r>
      <w:bookmarkEnd w:id="3"/>
    </w:p>
    <w:p w14:paraId="652CB225"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基础大模型具备明确的数据-算力-模型飞轮特性。这一飞轮的启动，依赖于电力向智能的全球转化：国家以电力指标支撑算力网络，基础大模型将算力转化为可全球贸易的认知服务，而全球市场的每一次调用，又反向为飞轮注入新的数据燃料与商业能量。</w:t>
      </w:r>
    </w:p>
    <w:p w14:paraId="7EBB1340" w14:textId="40A56C09"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14:paraId="69DE67F9" w14:textId="77777777" w:rsidR="004F7E65" w:rsidRPr="00660147" w:rsidRDefault="005A4D99" w:rsidP="00392D61">
      <w:pPr>
        <w:jc w:val="both"/>
        <w:rPr>
          <w:rFonts w:ascii="楷体" w:eastAsia="楷体" w:hAnsi="楷体" w:hint="eastAsia"/>
          <w:color w:val="000000" w:themeColor="text1"/>
        </w:rPr>
      </w:pPr>
      <w:r w:rsidRPr="00660147">
        <w:rPr>
          <w:rFonts w:ascii="楷体" w:eastAsia="楷体" w:hAnsi="楷体" w:hint="eastAsia"/>
          <w:noProof/>
          <w:color w:val="000000" w:themeColor="text1"/>
        </w:rPr>
        <w:drawing>
          <wp:inline distT="0" distB="0" distL="0" distR="0" wp14:anchorId="44B628BC" wp14:editId="1B459375">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1447A0B0"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基础大模型的单位算力成本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产生稳定推理收入，新场景（如长文档分析、多模态生成、自主Agent）打开增量定价空间。</w:t>
      </w:r>
    </w:p>
    <w:p w14:paraId="1AEC42A0"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更为关键的是，这一飞轮并非封闭于单一企业或单一市场的内部循环，而是开环于全球API经济。中国廉价的电力与集约化的算力网络构成飞轮的输入端，基础大模型的算法创新与工程优化构成转化端，而全球范围内的SaaS厂商、金融机构、制造企业、内容平台的AI化需求构成输出端。每一次海外API调用不仅带来美元收入，更带来跨语言、跨文化、跨行业的</w:t>
      </w:r>
      <w:r w:rsidRPr="00660147">
        <w:rPr>
          <w:rFonts w:ascii="楷体" w:eastAsia="楷体" w:hAnsi="楷体" w:cs="Times New Roman (正文 CS 字体)" w:hint="eastAsia"/>
          <w:color w:val="000000" w:themeColor="text1"/>
        </w:rPr>
        <w:t>异构数据</w:t>
      </w:r>
      <w:r w:rsidRPr="00660147">
        <w:rPr>
          <w:rFonts w:ascii="楷体" w:eastAsia="楷体" w:hAnsi="楷体" w:hint="eastAsia"/>
          <w:color w:val="000000" w:themeColor="text1"/>
          <w:szCs w:val="22"/>
        </w:rPr>
        <w:t>，这些数据回流后训练出的模型，其全球适用性远超仅依赖中文语料的版本。飞轮因此脱离了本地市场规模的硬约束，其转速取决于全球智能服务贸易的扩张速度，这是一个比国内政策周期更宏大的增长坐标系。</w:t>
      </w:r>
    </w:p>
    <w:p w14:paraId="74C4C0EC"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在这一坐标系中，基础大模型的重要定位得以确立。算力可以由国家基建规模化供给，数据可以由行业场景分散产生，但将原始算力与碎片化数据转化为可泛化、可迭代、可全球分发的通用认知能力，需要预训练架构、对齐技术、工程优化、多模态融合的长期积累。这本质上是将存量转化为增量，将全球信息技术革命的成果转换为AI技术革命的基石。</w:t>
      </w:r>
    </w:p>
    <w:p w14:paraId="77A4B624" w14:textId="252E6EA9"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基础大模型不是算力的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14:paraId="7292BC98" w14:textId="1579A8E6" w:rsidR="004F7E65" w:rsidRPr="00342124" w:rsidRDefault="009A28A3" w:rsidP="00392D61">
      <w:pPr>
        <w:pStyle w:val="2"/>
        <w:jc w:val="both"/>
        <w:rPr>
          <w:rFonts w:ascii="楷体" w:eastAsia="楷体" w:hAnsi="楷体" w:hint="eastAsia"/>
          <w:color w:val="000000" w:themeColor="text1"/>
          <w:sz w:val="32"/>
          <w:szCs w:val="32"/>
        </w:rPr>
      </w:pPr>
      <w:bookmarkStart w:id="4" w:name="_Toc228444755"/>
      <w:r w:rsidRPr="00342124">
        <w:rPr>
          <w:rFonts w:ascii="楷体" w:eastAsia="楷体" w:hAnsi="楷体" w:hint="eastAsia"/>
          <w:color w:val="000000" w:themeColor="text1"/>
          <w:sz w:val="32"/>
          <w:szCs w:val="32"/>
        </w:rPr>
        <w:t>1</w:t>
      </w:r>
      <w:r w:rsidR="001C0E59" w:rsidRPr="00342124">
        <w:rPr>
          <w:rFonts w:ascii="楷体" w:eastAsia="楷体" w:hAnsi="楷体" w:hint="eastAsia"/>
          <w:color w:val="000000" w:themeColor="text1"/>
          <w:sz w:val="32"/>
          <w:szCs w:val="32"/>
        </w:rPr>
        <w:t>.2发展背景</w:t>
      </w:r>
      <w:bookmarkEnd w:id="4"/>
    </w:p>
    <w:p w14:paraId="025A0C9B" w14:textId="751B701B" w:rsidR="004F7E65" w:rsidRPr="00342124" w:rsidRDefault="009A28A3" w:rsidP="00392D61">
      <w:pPr>
        <w:pStyle w:val="3"/>
        <w:jc w:val="both"/>
        <w:rPr>
          <w:rFonts w:ascii="楷体" w:eastAsia="楷体" w:hAnsi="楷体" w:hint="eastAsia"/>
          <w:color w:val="000000" w:themeColor="text1"/>
          <w:sz w:val="30"/>
          <w:szCs w:val="30"/>
        </w:rPr>
      </w:pPr>
      <w:bookmarkStart w:id="5" w:name="_Toc228444756"/>
      <w:r w:rsidRPr="00342124">
        <w:rPr>
          <w:rFonts w:ascii="楷体" w:eastAsia="楷体" w:hAnsi="楷体" w:hint="eastAsia"/>
          <w:color w:val="000000" w:themeColor="text1"/>
          <w:sz w:val="30"/>
          <w:szCs w:val="30"/>
        </w:rPr>
        <w:t>1.2.1</w:t>
      </w:r>
      <w:r w:rsidR="009C4AF1" w:rsidRPr="00342124">
        <w:rPr>
          <w:rFonts w:ascii="楷体" w:eastAsia="楷体" w:hAnsi="楷体" w:hint="eastAsia"/>
          <w:color w:val="000000" w:themeColor="text1"/>
          <w:sz w:val="30"/>
          <w:szCs w:val="30"/>
        </w:rPr>
        <w:t>政策环境</w:t>
      </w:r>
      <w:bookmarkEnd w:id="5"/>
    </w:p>
    <w:p w14:paraId="53A253AD"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人工智能的基础设施化，不是产业界的自我标榜，而是国家顶层设计的主动确认。从"新基建"到"新质生产力"，从"东数西算"到"十五五"规划单独成篇，算力基础设施的战略地位经历了三级跳：它最初数字经济的支撑要素，继而成为科技竞争的必争之地，如今已被定义为重塑生产方式的底座工程。这一升格过程，为基础大模型的投资逻辑提供了坚硬的政策锚——当国家将AI算力视为与铁路、电网同等重要的公共品时，基础大模型作为算力转化为认知，推理能力的核心环节，其发展不再是市场自发的商业冒险，而是国家战略的延伸。</w:t>
      </w:r>
    </w:p>
    <w:p w14:paraId="1570E4A0"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足算力需求"。这一政策脉络的密度与连续性，在近年产业规划中极为罕见，表明AI基础设施已从</w:t>
      </w:r>
      <w:r w:rsidRPr="00660147">
        <w:rPr>
          <w:rFonts w:ascii="楷体" w:eastAsia="楷体" w:hAnsi="楷体" w:hint="eastAsia"/>
          <w:color w:val="000000" w:themeColor="text1"/>
          <w:szCs w:val="22"/>
        </w:rPr>
        <w:lastRenderedPageBreak/>
        <w:t>"部门议题"升级为"国家意志"。</w:t>
      </w:r>
    </w:p>
    <w:p w14:paraId="26FF9143"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14:paraId="35748797" w14:textId="5CD68BE6"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 xml:space="preserve">资本跟进的速度与结构，验证了政策向市场的传导效率。 </w:t>
      </w:r>
      <w:r w:rsidR="007677B3" w:rsidRPr="007677B3">
        <w:rPr>
          <w:rFonts w:ascii="楷体" w:eastAsia="楷体" w:hAnsi="楷体" w:hint="eastAsia"/>
          <w:color w:val="000000" w:themeColor="text1"/>
          <w:szCs w:val="22"/>
        </w:rPr>
        <w:t>在政策驱动下，国内主要电信运营商2026年资本开支显著向算力赛道倾斜，算力相关投资占比普遍超过35%，部分运营商明确提出‘十五五’期末算力服务收入翻番的目标。</w:t>
      </w:r>
      <w:r w:rsidRPr="00660147">
        <w:rPr>
          <w:rFonts w:ascii="楷体" w:eastAsia="楷体" w:hAnsi="楷体" w:hint="eastAsia"/>
          <w:color w:val="000000" w:themeColor="text1"/>
          <w:szCs w:val="22"/>
        </w:rPr>
        <w:t>地方层面，深圳2025年多渠道募集45亿元资金专项用于算力、模型、语料、场景补贴，为初创企业提供最高60%</w:t>
      </w:r>
      <w:proofErr w:type="gramStart"/>
      <w:r w:rsidRPr="00660147">
        <w:rPr>
          <w:rFonts w:ascii="楷体" w:eastAsia="楷体" w:hAnsi="楷体" w:hint="eastAsia"/>
          <w:color w:val="000000" w:themeColor="text1"/>
          <w:szCs w:val="22"/>
        </w:rPr>
        <w:t>的算力资助</w:t>
      </w:r>
      <w:proofErr w:type="gramEnd"/>
      <w:r w:rsidRPr="00660147">
        <w:rPr>
          <w:rFonts w:ascii="楷体" w:eastAsia="楷体" w:hAnsi="楷体" w:hint="eastAsia"/>
          <w:color w:val="000000" w:themeColor="text1"/>
          <w:szCs w:val="22"/>
        </w:rPr>
        <w:t>，并实施"</w:t>
      </w:r>
      <w:proofErr w:type="gramStart"/>
      <w:r w:rsidRPr="00660147">
        <w:rPr>
          <w:rFonts w:ascii="楷体" w:eastAsia="楷体" w:hAnsi="楷体" w:hint="eastAsia"/>
          <w:color w:val="000000" w:themeColor="text1"/>
          <w:szCs w:val="22"/>
        </w:rPr>
        <w:t>算力飞地</w:t>
      </w:r>
      <w:proofErr w:type="gramEnd"/>
      <w:r w:rsidRPr="00660147">
        <w:rPr>
          <w:rFonts w:ascii="楷体" w:eastAsia="楷体" w:hAnsi="楷体" w:hint="eastAsia"/>
          <w:color w:val="000000" w:themeColor="text1"/>
          <w:szCs w:val="22"/>
        </w:rPr>
        <w:t>"战略，构建1ms城市</w:t>
      </w:r>
      <w:proofErr w:type="gramStart"/>
      <w:r w:rsidRPr="00660147">
        <w:rPr>
          <w:rFonts w:ascii="楷体" w:eastAsia="楷体" w:hAnsi="楷体" w:hint="eastAsia"/>
          <w:color w:val="000000" w:themeColor="text1"/>
          <w:szCs w:val="22"/>
        </w:rPr>
        <w:t>算力网</w:t>
      </w:r>
      <w:proofErr w:type="gramEnd"/>
      <w:r w:rsidRPr="00660147">
        <w:rPr>
          <w:rFonts w:ascii="楷体" w:eastAsia="楷体" w:hAnsi="楷体" w:hint="eastAsia"/>
          <w:color w:val="000000" w:themeColor="text1"/>
          <w:szCs w:val="22"/>
        </w:rPr>
        <w:t>、3ms韶关</w:t>
      </w:r>
      <w:proofErr w:type="gramStart"/>
      <w:r w:rsidRPr="00660147">
        <w:rPr>
          <w:rFonts w:ascii="楷体" w:eastAsia="楷体" w:hAnsi="楷体" w:hint="eastAsia"/>
          <w:color w:val="000000" w:themeColor="text1"/>
          <w:szCs w:val="22"/>
        </w:rPr>
        <w:t>算力网</w:t>
      </w:r>
      <w:proofErr w:type="gramEnd"/>
      <w:r w:rsidRPr="00660147">
        <w:rPr>
          <w:rFonts w:ascii="楷体" w:eastAsia="楷体" w:hAnsi="楷体" w:hint="eastAsia"/>
          <w:color w:val="000000" w:themeColor="text1"/>
          <w:szCs w:val="22"/>
        </w:rPr>
        <w:t>、10ms贵</w:t>
      </w:r>
      <w:proofErr w:type="gramStart"/>
      <w:r w:rsidRPr="00660147">
        <w:rPr>
          <w:rFonts w:ascii="楷体" w:eastAsia="楷体" w:hAnsi="楷体" w:hint="eastAsia"/>
          <w:color w:val="000000" w:themeColor="text1"/>
          <w:szCs w:val="22"/>
        </w:rPr>
        <w:t>安算力网</w:t>
      </w:r>
      <w:proofErr w:type="gramEnd"/>
      <w:r w:rsidRPr="00660147">
        <w:rPr>
          <w:rFonts w:ascii="楷体" w:eastAsia="楷体" w:hAnsi="楷体" w:hint="eastAsia"/>
          <w:color w:val="000000" w:themeColor="text1"/>
          <w:szCs w:val="22"/>
        </w:rPr>
        <w:t>的梯度布局。甘肃庆阳2025年智算规模突破10万P，成为全国算力增速最快的标杆集群</w:t>
      </w:r>
      <w:r w:rsidR="007677B3">
        <w:rPr>
          <w:rFonts w:ascii="楷体" w:eastAsia="楷体" w:hAnsi="楷体" w:hint="eastAsia"/>
          <w:color w:val="000000" w:themeColor="text1"/>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94"/>
        <w:gridCol w:w="2088"/>
        <w:gridCol w:w="4328"/>
        <w:gridCol w:w="1086"/>
      </w:tblGrid>
      <w:tr w:rsidR="004F7E65" w:rsidRPr="00660147" w14:paraId="1D06B092" w14:textId="77777777">
        <w:trPr>
          <w:tblHeader/>
        </w:trPr>
        <w:tc>
          <w:tcPr>
            <w:tcW w:w="786" w:type="auto"/>
            <w:tcMar>
              <w:top w:w="150" w:type="dxa"/>
              <w:left w:w="150" w:type="dxa"/>
              <w:bottom w:w="150" w:type="dxa"/>
              <w:right w:w="150" w:type="dxa"/>
            </w:tcMar>
            <w:hideMark/>
          </w:tcPr>
          <w:p w14:paraId="528273F0"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政策层级</w:t>
            </w:r>
          </w:p>
        </w:tc>
        <w:tc>
          <w:tcPr>
            <w:tcW w:w="2040" w:type="auto"/>
            <w:tcMar>
              <w:top w:w="150" w:type="dxa"/>
              <w:left w:w="150" w:type="dxa"/>
              <w:bottom w:w="150" w:type="dxa"/>
              <w:right w:w="150" w:type="dxa"/>
            </w:tcMar>
            <w:hideMark/>
          </w:tcPr>
          <w:p w14:paraId="71A68DFC"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关键文件/行动</w:t>
            </w:r>
          </w:p>
        </w:tc>
        <w:tc>
          <w:tcPr>
            <w:tcW w:w="4342" w:type="auto"/>
            <w:tcMar>
              <w:top w:w="150" w:type="dxa"/>
              <w:left w:w="150" w:type="dxa"/>
              <w:bottom w:w="150" w:type="dxa"/>
              <w:right w:w="150" w:type="dxa"/>
            </w:tcMar>
            <w:hideMark/>
          </w:tcPr>
          <w:p w14:paraId="1DA1E78C"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核心要点</w:t>
            </w:r>
          </w:p>
        </w:tc>
        <w:tc>
          <w:tcPr>
            <w:tcW w:w="1128" w:type="auto"/>
            <w:tcMar>
              <w:top w:w="150" w:type="dxa"/>
              <w:left w:w="150" w:type="dxa"/>
              <w:bottom w:w="150" w:type="dxa"/>
              <w:right w:w="150" w:type="dxa"/>
            </w:tcMar>
            <w:hideMark/>
          </w:tcPr>
          <w:p w14:paraId="673CA805"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时间</w:t>
            </w:r>
          </w:p>
        </w:tc>
      </w:tr>
      <w:tr w:rsidR="004F7E65" w:rsidRPr="00660147" w14:paraId="6AE4FFEA" w14:textId="77777777">
        <w:tc>
          <w:tcPr>
            <w:tcW w:w="786" w:type="auto"/>
            <w:tcMar>
              <w:top w:w="150" w:type="dxa"/>
              <w:left w:w="150" w:type="dxa"/>
              <w:bottom w:w="150" w:type="dxa"/>
              <w:right w:w="150" w:type="dxa"/>
            </w:tcMar>
            <w:hideMark/>
          </w:tcPr>
          <w:p w14:paraId="24B081F8"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国家战略</w:t>
            </w:r>
          </w:p>
        </w:tc>
        <w:tc>
          <w:tcPr>
            <w:tcW w:w="2040" w:type="auto"/>
            <w:tcMar>
              <w:top w:w="150" w:type="dxa"/>
              <w:left w:w="150" w:type="dxa"/>
              <w:bottom w:w="150" w:type="dxa"/>
              <w:right w:w="150" w:type="dxa"/>
            </w:tcMar>
            <w:hideMark/>
          </w:tcPr>
          <w:p w14:paraId="2276D206"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"十五五"规划纲要</w:t>
            </w:r>
          </w:p>
        </w:tc>
        <w:tc>
          <w:tcPr>
            <w:tcW w:w="4342" w:type="auto"/>
            <w:tcMar>
              <w:top w:w="150" w:type="dxa"/>
              <w:left w:w="150" w:type="dxa"/>
              <w:bottom w:w="150" w:type="dxa"/>
              <w:right w:w="150" w:type="dxa"/>
            </w:tcMar>
            <w:hideMark/>
          </w:tcPr>
          <w:p w14:paraId="4363FC3B"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"提升数智化发展水平"单独成篇；论证建设超大规模智算集群；政府购买算力服务</w:t>
            </w:r>
          </w:p>
        </w:tc>
        <w:tc>
          <w:tcPr>
            <w:tcW w:w="1128" w:type="auto"/>
            <w:tcMar>
              <w:top w:w="150" w:type="dxa"/>
              <w:left w:w="150" w:type="dxa"/>
              <w:bottom w:w="150" w:type="dxa"/>
              <w:right w:w="150" w:type="dxa"/>
            </w:tcMar>
            <w:hideMark/>
          </w:tcPr>
          <w:p w14:paraId="6DD04B48"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2026年3月</w:t>
            </w:r>
          </w:p>
        </w:tc>
      </w:tr>
      <w:tr w:rsidR="004F7E65" w:rsidRPr="00660147" w14:paraId="14ABD26E" w14:textId="77777777">
        <w:tc>
          <w:tcPr>
            <w:tcW w:w="786" w:type="auto"/>
            <w:tcMar>
              <w:top w:w="150" w:type="dxa"/>
              <w:left w:w="150" w:type="dxa"/>
              <w:bottom w:w="150" w:type="dxa"/>
              <w:right w:w="150" w:type="dxa"/>
            </w:tcMar>
            <w:hideMark/>
          </w:tcPr>
          <w:p w14:paraId="6E3AB076"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专项工程</w:t>
            </w:r>
          </w:p>
        </w:tc>
        <w:tc>
          <w:tcPr>
            <w:tcW w:w="2040" w:type="auto"/>
            <w:tcMar>
              <w:top w:w="150" w:type="dxa"/>
              <w:left w:w="150" w:type="dxa"/>
              <w:bottom w:w="150" w:type="dxa"/>
              <w:right w:w="150" w:type="dxa"/>
            </w:tcMar>
            <w:hideMark/>
          </w:tcPr>
          <w:p w14:paraId="5C9093D4"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"东数西算"工程</w:t>
            </w:r>
          </w:p>
        </w:tc>
        <w:tc>
          <w:tcPr>
            <w:tcW w:w="4342" w:type="auto"/>
            <w:tcMar>
              <w:top w:w="150" w:type="dxa"/>
              <w:left w:w="150" w:type="dxa"/>
              <w:bottom w:w="150" w:type="dxa"/>
              <w:right w:w="150" w:type="dxa"/>
            </w:tcMar>
            <w:hideMark/>
          </w:tcPr>
          <w:p w14:paraId="31841AB0"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八大枢纽、十大集群；引导数据中心集约化、绿色化发展</w:t>
            </w:r>
          </w:p>
        </w:tc>
        <w:tc>
          <w:tcPr>
            <w:tcW w:w="1128" w:type="auto"/>
            <w:tcMar>
              <w:top w:w="150" w:type="dxa"/>
              <w:left w:w="150" w:type="dxa"/>
              <w:bottom w:w="150" w:type="dxa"/>
              <w:right w:w="150" w:type="dxa"/>
            </w:tcMar>
            <w:hideMark/>
          </w:tcPr>
          <w:p w14:paraId="34009047"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2021年启动</w:t>
            </w:r>
          </w:p>
        </w:tc>
      </w:tr>
      <w:tr w:rsidR="004F7E65" w:rsidRPr="00660147" w14:paraId="2B1905FF" w14:textId="77777777">
        <w:tc>
          <w:tcPr>
            <w:tcW w:w="786" w:type="auto"/>
            <w:tcMar>
              <w:top w:w="150" w:type="dxa"/>
              <w:left w:w="150" w:type="dxa"/>
              <w:bottom w:w="150" w:type="dxa"/>
              <w:right w:w="150" w:type="dxa"/>
            </w:tcMar>
            <w:hideMark/>
          </w:tcPr>
          <w:p w14:paraId="1EB48940"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行动计划</w:t>
            </w:r>
          </w:p>
        </w:tc>
        <w:tc>
          <w:tcPr>
            <w:tcW w:w="2040" w:type="auto"/>
            <w:tcMar>
              <w:top w:w="150" w:type="dxa"/>
              <w:left w:w="150" w:type="dxa"/>
              <w:bottom w:w="150" w:type="dxa"/>
              <w:right w:w="150" w:type="dxa"/>
            </w:tcMar>
            <w:hideMark/>
          </w:tcPr>
          <w:p w14:paraId="0F021413"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《算力基础设施高质量发展行动计划》</w:t>
            </w:r>
          </w:p>
        </w:tc>
        <w:tc>
          <w:tcPr>
            <w:tcW w:w="4342" w:type="auto"/>
            <w:tcMar>
              <w:top w:w="150" w:type="dxa"/>
              <w:left w:w="150" w:type="dxa"/>
              <w:bottom w:w="150" w:type="dxa"/>
              <w:right w:w="150" w:type="dxa"/>
            </w:tcMar>
            <w:hideMark/>
          </w:tcPr>
          <w:p w14:paraId="5DC8DCBD"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2025年算力规模超300 EFLOPS，智能算力占比35%</w:t>
            </w:r>
          </w:p>
        </w:tc>
        <w:tc>
          <w:tcPr>
            <w:tcW w:w="1128" w:type="auto"/>
            <w:tcMar>
              <w:top w:w="150" w:type="dxa"/>
              <w:left w:w="150" w:type="dxa"/>
              <w:bottom w:w="150" w:type="dxa"/>
              <w:right w:w="150" w:type="dxa"/>
            </w:tcMar>
            <w:hideMark/>
          </w:tcPr>
          <w:p w14:paraId="7DC93591"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2023年10月</w:t>
            </w:r>
          </w:p>
        </w:tc>
      </w:tr>
      <w:tr w:rsidR="004F7E65" w:rsidRPr="00660147" w14:paraId="08202B59" w14:textId="77777777">
        <w:tc>
          <w:tcPr>
            <w:tcW w:w="786" w:type="auto"/>
            <w:tcMar>
              <w:top w:w="150" w:type="dxa"/>
              <w:left w:w="150" w:type="dxa"/>
              <w:bottom w:w="150" w:type="dxa"/>
              <w:right w:w="150" w:type="dxa"/>
            </w:tcMar>
            <w:hideMark/>
          </w:tcPr>
          <w:p w14:paraId="7A07C719"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互联互通</w:t>
            </w:r>
          </w:p>
        </w:tc>
        <w:tc>
          <w:tcPr>
            <w:tcW w:w="2040" w:type="auto"/>
            <w:tcMar>
              <w:top w:w="150" w:type="dxa"/>
              <w:left w:w="150" w:type="dxa"/>
              <w:bottom w:w="150" w:type="dxa"/>
              <w:right w:w="150" w:type="dxa"/>
            </w:tcMar>
            <w:hideMark/>
          </w:tcPr>
          <w:p w14:paraId="176E0485"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《算力互联互通行动计划》</w:t>
            </w:r>
          </w:p>
        </w:tc>
        <w:tc>
          <w:tcPr>
            <w:tcW w:w="4342" w:type="auto"/>
            <w:tcMar>
              <w:top w:w="150" w:type="dxa"/>
              <w:left w:w="150" w:type="dxa"/>
              <w:bottom w:w="150" w:type="dxa"/>
              <w:right w:w="150" w:type="dxa"/>
            </w:tcMar>
            <w:hideMark/>
          </w:tcPr>
          <w:p w14:paraId="72B00E4C"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2026年建立标准体系，2028年实现全国公共算力标准化互联</w:t>
            </w:r>
          </w:p>
        </w:tc>
        <w:tc>
          <w:tcPr>
            <w:tcW w:w="1128" w:type="auto"/>
            <w:tcMar>
              <w:top w:w="150" w:type="dxa"/>
              <w:left w:w="150" w:type="dxa"/>
              <w:bottom w:w="150" w:type="dxa"/>
              <w:right w:w="150" w:type="dxa"/>
            </w:tcMar>
            <w:hideMark/>
          </w:tcPr>
          <w:p w14:paraId="67216B59"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2025年5月</w:t>
            </w:r>
          </w:p>
        </w:tc>
      </w:tr>
      <w:tr w:rsidR="004F7E65" w:rsidRPr="00660147" w14:paraId="404895A3" w14:textId="77777777">
        <w:tc>
          <w:tcPr>
            <w:tcW w:w="786" w:type="auto"/>
            <w:tcMar>
              <w:top w:w="150" w:type="dxa"/>
              <w:left w:w="150" w:type="dxa"/>
              <w:bottom w:w="150" w:type="dxa"/>
              <w:right w:w="150" w:type="dxa"/>
            </w:tcMar>
            <w:hideMark/>
          </w:tcPr>
          <w:p w14:paraId="552BAC07"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能源协同</w:t>
            </w:r>
          </w:p>
        </w:tc>
        <w:tc>
          <w:tcPr>
            <w:tcW w:w="2040" w:type="auto"/>
            <w:tcMar>
              <w:top w:w="150" w:type="dxa"/>
              <w:left w:w="150" w:type="dxa"/>
              <w:bottom w:w="150" w:type="dxa"/>
              <w:right w:w="150" w:type="dxa"/>
            </w:tcMar>
            <w:hideMark/>
          </w:tcPr>
          <w:p w14:paraId="07737950"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"算电协同"写入政府工作报告</w:t>
            </w:r>
          </w:p>
        </w:tc>
        <w:tc>
          <w:tcPr>
            <w:tcW w:w="4342" w:type="auto"/>
            <w:tcMar>
              <w:top w:w="150" w:type="dxa"/>
              <w:left w:w="150" w:type="dxa"/>
              <w:bottom w:w="150" w:type="dxa"/>
              <w:right w:w="150" w:type="dxa"/>
            </w:tcMar>
            <w:hideMark/>
          </w:tcPr>
          <w:p w14:paraId="7401B3B2"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算力与电力系统深度融合；应对AI算力能耗挑战</w:t>
            </w:r>
          </w:p>
        </w:tc>
        <w:tc>
          <w:tcPr>
            <w:tcW w:w="1128" w:type="auto"/>
            <w:tcMar>
              <w:top w:w="150" w:type="dxa"/>
              <w:left w:w="150" w:type="dxa"/>
              <w:bottom w:w="150" w:type="dxa"/>
              <w:right w:w="150" w:type="dxa"/>
            </w:tcMar>
            <w:hideMark/>
          </w:tcPr>
          <w:p w14:paraId="0057B85E"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2026年3月</w:t>
            </w:r>
          </w:p>
        </w:tc>
      </w:tr>
      <w:tr w:rsidR="004F7E65" w:rsidRPr="00660147" w14:paraId="6B5D6C1A" w14:textId="77777777">
        <w:tc>
          <w:tcPr>
            <w:tcW w:w="786" w:type="auto"/>
            <w:tcMar>
              <w:top w:w="150" w:type="dxa"/>
              <w:left w:w="150" w:type="dxa"/>
              <w:bottom w:w="150" w:type="dxa"/>
              <w:right w:w="150" w:type="dxa"/>
            </w:tcMar>
            <w:hideMark/>
          </w:tcPr>
          <w:p w14:paraId="3BA15D7E"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普惠服务</w:t>
            </w:r>
          </w:p>
        </w:tc>
        <w:tc>
          <w:tcPr>
            <w:tcW w:w="2040" w:type="auto"/>
            <w:tcMar>
              <w:top w:w="150" w:type="dxa"/>
              <w:left w:w="150" w:type="dxa"/>
              <w:bottom w:w="150" w:type="dxa"/>
              <w:right w:w="150" w:type="dxa"/>
            </w:tcMar>
            <w:hideMark/>
          </w:tcPr>
          <w:p w14:paraId="388C7361"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普惠算力赋能中小企业专项行动</w:t>
            </w:r>
          </w:p>
        </w:tc>
        <w:tc>
          <w:tcPr>
            <w:tcW w:w="4342" w:type="auto"/>
            <w:tcMar>
              <w:top w:w="150" w:type="dxa"/>
              <w:left w:w="150" w:type="dxa"/>
              <w:bottom w:w="150" w:type="dxa"/>
              <w:right w:w="150" w:type="dxa"/>
            </w:tcMar>
            <w:hideMark/>
          </w:tcPr>
          <w:p w14:paraId="7F332A73"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降低中小企业用算成本，推动算力即取即用</w:t>
            </w:r>
          </w:p>
        </w:tc>
        <w:tc>
          <w:tcPr>
            <w:tcW w:w="1128" w:type="auto"/>
            <w:tcMar>
              <w:top w:w="150" w:type="dxa"/>
              <w:left w:w="150" w:type="dxa"/>
              <w:bottom w:w="150" w:type="dxa"/>
              <w:right w:w="150" w:type="dxa"/>
            </w:tcMar>
            <w:hideMark/>
          </w:tcPr>
          <w:p w14:paraId="68F0724A"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w:t>
            </w:r>
          </w:p>
        </w:tc>
      </w:tr>
      <w:tr w:rsidR="004F7E65" w:rsidRPr="00660147" w14:paraId="05B27ADE" w14:textId="77777777">
        <w:tc>
          <w:tcPr>
            <w:tcW w:w="786" w:type="auto"/>
            <w:tcMar>
              <w:top w:w="150" w:type="dxa"/>
              <w:left w:w="150" w:type="dxa"/>
              <w:bottom w:w="150" w:type="dxa"/>
              <w:right w:w="150" w:type="dxa"/>
            </w:tcMar>
            <w:hideMark/>
          </w:tcPr>
          <w:p w14:paraId="7A091EDF"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lastRenderedPageBreak/>
              <w:t>地方落地</w:t>
            </w:r>
          </w:p>
        </w:tc>
        <w:tc>
          <w:tcPr>
            <w:tcW w:w="2040" w:type="auto"/>
            <w:tcMar>
              <w:top w:w="150" w:type="dxa"/>
              <w:left w:w="150" w:type="dxa"/>
              <w:bottom w:w="150" w:type="dxa"/>
              <w:right w:w="150" w:type="dxa"/>
            </w:tcMar>
            <w:hideMark/>
          </w:tcPr>
          <w:p w14:paraId="4AF253E9"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深圳"算力飞地"战略</w:t>
            </w:r>
          </w:p>
        </w:tc>
        <w:tc>
          <w:tcPr>
            <w:tcW w:w="4342" w:type="auto"/>
            <w:tcMar>
              <w:top w:w="150" w:type="dxa"/>
              <w:left w:w="150" w:type="dxa"/>
              <w:bottom w:w="150" w:type="dxa"/>
              <w:right w:w="150" w:type="dxa"/>
            </w:tcMar>
            <w:hideMark/>
          </w:tcPr>
          <w:p w14:paraId="4D89F812"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45亿元专项资金；1ms/3ms/10ms梯度算力网</w:t>
            </w:r>
          </w:p>
        </w:tc>
        <w:tc>
          <w:tcPr>
            <w:tcW w:w="1128" w:type="auto"/>
            <w:tcMar>
              <w:top w:w="150" w:type="dxa"/>
              <w:left w:w="150" w:type="dxa"/>
              <w:bottom w:w="150" w:type="dxa"/>
              <w:right w:w="150" w:type="dxa"/>
            </w:tcMar>
            <w:hideMark/>
          </w:tcPr>
          <w:p w14:paraId="40FEAFFE" w14:textId="77777777" w:rsidR="004F7E65" w:rsidRPr="00660147" w:rsidRDefault="005A4D99" w:rsidP="00392D61">
            <w:pPr>
              <w:widowControl/>
              <w:spacing w:after="0" w:line="330" w:lineRule="atLeast"/>
              <w:jc w:val="both"/>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w:t>
            </w:r>
          </w:p>
        </w:tc>
      </w:tr>
    </w:tbl>
    <w:p w14:paraId="12B9C8ED" w14:textId="11532732"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国家算力网络的建设目标是"普惠易用、经济高效"，而普惠化的前提是模型能力的标准化输出——没有基础大模型将 raw compute 转化为可调用、可微调、可迭代的认知推理服务，算力网络只是空转的电力设施。运营商的"Token经营"战略、政府的"</w:t>
      </w:r>
      <w:proofErr w:type="gramStart"/>
      <w:r w:rsidRPr="00660147">
        <w:rPr>
          <w:rFonts w:ascii="楷体" w:eastAsia="楷体" w:hAnsi="楷体" w:hint="eastAsia"/>
          <w:color w:val="000000" w:themeColor="text1"/>
          <w:szCs w:val="22"/>
        </w:rPr>
        <w:t>算力租赁</w:t>
      </w:r>
      <w:proofErr w:type="gramEnd"/>
      <w:r w:rsidRPr="00660147">
        <w:rPr>
          <w:rFonts w:ascii="楷体" w:eastAsia="楷体" w:hAnsi="楷体" w:hint="eastAsia"/>
          <w:color w:val="000000" w:themeColor="text1"/>
          <w:szCs w:val="22"/>
        </w:rPr>
        <w:t>"模式，其商业闭环均指向基础大模型作为</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的"认知转化层"。</w:t>
      </w:r>
    </w:p>
    <w:p w14:paraId="7C5DEF15" w14:textId="0317DEA9" w:rsidR="004F7E65" w:rsidRPr="00342124" w:rsidRDefault="00F405DF" w:rsidP="00392D61">
      <w:pPr>
        <w:pStyle w:val="3"/>
        <w:jc w:val="both"/>
        <w:rPr>
          <w:rFonts w:ascii="楷体" w:eastAsia="楷体" w:hAnsi="楷体" w:hint="eastAsia"/>
          <w:color w:val="000000" w:themeColor="text1"/>
          <w:sz w:val="30"/>
          <w:szCs w:val="30"/>
        </w:rPr>
      </w:pPr>
      <w:bookmarkStart w:id="6" w:name="_Toc228444757"/>
      <w:r w:rsidRPr="00342124">
        <w:rPr>
          <w:rFonts w:ascii="楷体" w:eastAsia="楷体" w:hAnsi="楷体" w:hint="eastAsia"/>
          <w:color w:val="000000" w:themeColor="text1"/>
          <w:sz w:val="30"/>
          <w:szCs w:val="30"/>
        </w:rPr>
        <w:t>1.2.2</w:t>
      </w:r>
      <w:r w:rsidR="00B54E1E" w:rsidRPr="00342124">
        <w:rPr>
          <w:rFonts w:ascii="楷体" w:eastAsia="楷体" w:hAnsi="楷体" w:hint="eastAsia"/>
          <w:color w:val="000000" w:themeColor="text1"/>
          <w:sz w:val="30"/>
          <w:szCs w:val="30"/>
        </w:rPr>
        <w:t>市场规模与产业阶段</w:t>
      </w:r>
      <w:bookmarkEnd w:id="6"/>
    </w:p>
    <w:p w14:paraId="3AA9E14E" w14:textId="6BD17939" w:rsidR="004F7E65" w:rsidRPr="00660147" w:rsidRDefault="00F405DF" w:rsidP="00392D61">
      <w:pPr>
        <w:pStyle w:val="4"/>
        <w:jc w:val="both"/>
        <w:rPr>
          <w:rFonts w:ascii="楷体" w:eastAsia="楷体" w:hAnsi="楷体" w:hint="eastAsia"/>
          <w:color w:val="000000" w:themeColor="text1"/>
        </w:rPr>
      </w:pPr>
      <w:r w:rsidRPr="00660147">
        <w:rPr>
          <w:rFonts w:ascii="楷体" w:eastAsia="楷体" w:hAnsi="楷体" w:hint="eastAsia"/>
          <w:color w:val="000000" w:themeColor="text1"/>
        </w:rPr>
        <w:t>1.2.2.1市场规模</w:t>
      </w:r>
    </w:p>
    <w:p w14:paraId="22353DBC"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当前大模型技术仍处于快速迭代阶段。根据灼识咨询研究数据显示，伴随技术成熟度提升与付费意愿持续释放，全球大模型市场规模预计将由 2024年的107 亿美元，快速增长至 2029 年的 2,065 亿美元，2024-2029 五年复合增长率将达 80.7%。另据IDC《2026全球企业级大模型服务市场白皮书》，2026年全球大模型服务相关市场支出已突破 1,800 亿美元，同比增长 63%，其中企业级大模型服务平台需求占比超 75%，市场扩张速度超出此前预期。</w:t>
      </w:r>
    </w:p>
    <w:p w14:paraId="6F8E2B50"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表：2023-2029E全球大模型市场规模</w:t>
      </w:r>
    </w:p>
    <w:p w14:paraId="475A4E01" w14:textId="2B8EFA84"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324FAAE" wp14:editId="0CB19FF5">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9"/>
                    <a:stretch>
                      <a:fillRect/>
                    </a:stretch>
                  </pic:blipFill>
                  <pic:spPr>
                    <a:xfrm>
                      <a:off x="0" y="0"/>
                      <a:ext cx="4214065" cy="2455583"/>
                    </a:xfrm>
                    <a:prstGeom prst="rect">
                      <a:avLst/>
                    </a:prstGeom>
                  </pic:spPr>
                </pic:pic>
              </a:graphicData>
            </a:graphic>
          </wp:inline>
        </w:drawing>
      </w:r>
    </w:p>
    <w:p w14:paraId="6E6F64D0"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w:t>
      </w:r>
      <w:r w:rsidRPr="00660147">
        <w:rPr>
          <w:rFonts w:ascii="楷体" w:eastAsia="楷体" w:hAnsi="楷体" w:hint="eastAsia"/>
          <w:color w:val="000000" w:themeColor="text1"/>
          <w:szCs w:val="22"/>
        </w:rPr>
        <w:lastRenderedPageBreak/>
        <w:t>应用场景持续拓宽，商业模式逐步清晰。据艾媒咨询数据，2024 年中国大模型市场规模已达到人民币 294.16亿元，预计到 2026 年将增至人民币 738.57 亿元，2024 年至 2026 年预计复合年增长率为 58.5%。另据IDC预测，在信创政策持续深化与行业AI落地加速的双重赋能下，中国市场规模预计 2028 年将突破 1,600 亿元，企业级大模型服务平台已成为金融、政务、互联网、制造等关键领域的核心数字化基础设施。</w:t>
      </w:r>
    </w:p>
    <w:p w14:paraId="427B6158"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表：2020-2026E中国大模型市场规模</w:t>
      </w:r>
    </w:p>
    <w:p w14:paraId="503311FF" w14:textId="272D65EF"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5523D11" wp14:editId="0EFD7E75">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10"/>
                    <a:stretch>
                      <a:fillRect/>
                    </a:stretch>
                  </pic:blipFill>
                  <pic:spPr>
                    <a:xfrm>
                      <a:off x="0" y="0"/>
                      <a:ext cx="4179062" cy="2655561"/>
                    </a:xfrm>
                    <a:prstGeom prst="rect">
                      <a:avLst/>
                    </a:prstGeom>
                  </pic:spPr>
                </pic:pic>
              </a:graphicData>
            </a:graphic>
          </wp:inline>
        </w:drawing>
      </w:r>
    </w:p>
    <w:p w14:paraId="52463A2E" w14:textId="3D401877" w:rsidR="004F7E65" w:rsidRPr="00660147" w:rsidRDefault="00F405DF" w:rsidP="00392D61">
      <w:pPr>
        <w:pStyle w:val="4"/>
        <w:jc w:val="both"/>
        <w:rPr>
          <w:rFonts w:ascii="楷体" w:eastAsia="楷体" w:hAnsi="楷体" w:hint="eastAsia"/>
          <w:color w:val="000000" w:themeColor="text1"/>
        </w:rPr>
      </w:pPr>
      <w:r w:rsidRPr="00660147">
        <w:rPr>
          <w:rFonts w:ascii="楷体" w:eastAsia="楷体" w:hAnsi="楷体" w:hint="eastAsia"/>
          <w:color w:val="000000" w:themeColor="text1"/>
        </w:rPr>
        <w:t>1.2.2.2产业阶段：</w:t>
      </w:r>
    </w:p>
    <w:p w14:paraId="6B32C8AE" w14:textId="05EBE78E" w:rsidR="004F7E65" w:rsidRPr="00660147" w:rsidRDefault="00F405DF" w:rsidP="00392D61">
      <w:pPr>
        <w:pStyle w:val="5"/>
        <w:jc w:val="both"/>
        <w:rPr>
          <w:rFonts w:ascii="楷体" w:eastAsia="楷体" w:hAnsi="楷体" w:hint="eastAsia"/>
          <w:color w:val="000000" w:themeColor="text1"/>
        </w:rPr>
      </w:pPr>
      <w:r w:rsidRPr="00660147">
        <w:rPr>
          <w:rFonts w:ascii="楷体" w:eastAsia="楷体" w:hAnsi="楷体" w:hint="eastAsia"/>
          <w:color w:val="000000" w:themeColor="text1"/>
        </w:rPr>
        <w:t>I．产业属性界定</w:t>
      </w:r>
    </w:p>
    <w:p w14:paraId="1649B07A"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基础大模型产业具备典型的新兴成长行业特征，其驱动力源于颠覆性技术创新而非传统经济周期。</w:t>
      </w:r>
    </w:p>
    <w:p w14:paraId="2403F623" w14:textId="156FE568"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首先，市场规模预测数据揭示了其高成长潜力。不止上文对于国内外大模型市场CAGR的乐观估计，多家大型机构也对其进行了预估。Bloomberg Intelligence给出2023-2032E期间CAGR 37%的预估，沙利文给出CAGR 50%的预估。此类高增长已有市场验证，根据智</w:t>
      </w:r>
      <w:r w:rsidR="00EE7B17" w:rsidRPr="00660147">
        <w:rPr>
          <w:rFonts w:ascii="楷体" w:eastAsia="楷体" w:hAnsi="楷体" w:hint="eastAsia"/>
          <w:color w:val="000000" w:themeColor="text1"/>
          <w:szCs w:val="22"/>
        </w:rPr>
        <w:t>研</w:t>
      </w:r>
      <w:r w:rsidRPr="00660147">
        <w:rPr>
          <w:rFonts w:ascii="楷体" w:eastAsia="楷体" w:hAnsi="楷体" w:hint="eastAsia"/>
          <w:color w:val="000000" w:themeColor="text1"/>
          <w:szCs w:val="22"/>
        </w:rPr>
        <w:t>咨询研究，MaaS（模型即服务）作为大模型落地的核心载体，在2024年中国市场呈现爆发式增长，全年规模达7.1亿元，较2023年同比激增215.7%。</w:t>
      </w:r>
    </w:p>
    <w:p w14:paraId="470670EF"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这种指数级增长预期，和商业化早期陡峭的增长斜率，是成长期企业的特征。其产业波动主要受技术迭代节奏、监管政策及自身商业化进展影响，与传统的库存、产能周期关联性弱。尽管发展中可能因预期与现实的差距出现估值波动，但这本质上是成长过程中的修正，而非由宏观经济决定的周期性进退。</w:t>
      </w:r>
    </w:p>
    <w:p w14:paraId="5D2760F5" w14:textId="16BB6A56" w:rsidR="004F7E65" w:rsidRPr="00660147" w:rsidRDefault="00F405DF" w:rsidP="00392D61">
      <w:pPr>
        <w:pStyle w:val="5"/>
        <w:jc w:val="both"/>
        <w:rPr>
          <w:rFonts w:ascii="楷体" w:eastAsia="楷体" w:hAnsi="楷体" w:hint="eastAsia"/>
          <w:color w:val="000000" w:themeColor="text1"/>
        </w:rPr>
      </w:pPr>
      <w:r w:rsidRPr="00660147">
        <w:rPr>
          <w:rFonts w:ascii="楷体" w:eastAsia="楷体" w:hAnsi="楷体" w:hint="eastAsia"/>
          <w:color w:val="000000" w:themeColor="text1"/>
        </w:rPr>
        <w:t>II. 成长阶段定位</w:t>
      </w:r>
    </w:p>
    <w:p w14:paraId="4ABF7291"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依据新兴产业从“0-1”（技术萌芽）到“1-10”（期望膨胀/规模化）再到“10-100”</w:t>
      </w:r>
      <w:r w:rsidRPr="00660147">
        <w:rPr>
          <w:rFonts w:ascii="楷体" w:eastAsia="楷体" w:hAnsi="楷体" w:hint="eastAsia"/>
          <w:color w:val="000000" w:themeColor="text1"/>
          <w:szCs w:val="22"/>
        </w:rPr>
        <w:lastRenderedPageBreak/>
        <w:t>（稳步爬升）的发展框架分析，基础大模型产业已明确越过“0-1”的纯粹探索期，正处于“1-10”阶段的中期。这一判断基于技术、商业化、竞争格局等多重信号。</w:t>
      </w:r>
    </w:p>
    <w:p w14:paraId="2D9AFD2B" w14:textId="6AD252A8"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技术演进：从突破“可用”到追求“好用”与“普惠” 技术发展已跨越最初的“iPhone时刻”，进入“DeepSeek时刻”。 技术的成本等瓶颈被打破，从稀缺、昂贵、小众，转向普惠、易用，真正具备面向千行百业大规模普及的基础条件。应用场景进一步快速渗透，商业化空间开始打开</w:t>
      </w:r>
      <w:r w:rsidR="007677B3">
        <w:rPr>
          <w:rFonts w:ascii="楷体" w:eastAsia="楷体" w:hAnsi="楷体" w:hint="eastAsia"/>
          <w:color w:val="000000" w:themeColor="text1"/>
          <w:szCs w:val="22"/>
        </w:rPr>
        <w:t>。</w:t>
      </w:r>
    </w:p>
    <w:p w14:paraId="2DEF21F4"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20178B73" wp14:editId="424D7658">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1"/>
                    <a:stretch>
                      <a:fillRect/>
                    </a:stretch>
                  </pic:blipFill>
                  <pic:spPr>
                    <a:xfrm>
                      <a:off x="0" y="0"/>
                      <a:ext cx="3360362" cy="2388230"/>
                    </a:xfrm>
                    <a:prstGeom prst="rect">
                      <a:avLst/>
                    </a:prstGeom>
                  </pic:spPr>
                </pic:pic>
              </a:graphicData>
            </a:graphic>
          </wp:inline>
        </w:drawing>
      </w:r>
    </w:p>
    <w:p w14:paraId="49F6647B"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行业早期通过Transformer架构等突破证明了技术的“可用性”。当前，标志性事件是高性能开源模型（如DeepSeek R1）的出现，它大幅降低了模型使用成本与技术门槛。根据API聚合平台OpenRouter数据，平台大模型Tokens处理量从2025年1月第二周的0.48TB，快速攀升至2026年1月第二周的7.68TB，规模增长16倍，这标志着算力需求和应用普及进入高速通道。</w:t>
      </w:r>
    </w:p>
    <w:p w14:paraId="0C79B088"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从当前基础大模型所展现出的巨大需求弹性，我们认为大模型行业的杰文斯悖论下的最优化还远未实现。根据杰文斯悖论，““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33760FD3"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图：杰文斯最优示意图</w:t>
      </w:r>
    </w:p>
    <w:p w14:paraId="5349D0E4"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30C1F752" wp14:editId="1C39C71A">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2"/>
                    <a:stretch>
                      <a:fillRect/>
                    </a:stretch>
                  </pic:blipFill>
                  <pic:spPr>
                    <a:xfrm>
                      <a:off x="0" y="0"/>
                      <a:ext cx="4123809" cy="3009524"/>
                    </a:xfrm>
                    <a:prstGeom prst="rect">
                      <a:avLst/>
                    </a:prstGeom>
                  </pic:spPr>
                </pic:pic>
              </a:graphicData>
            </a:graphic>
          </wp:inline>
        </w:drawing>
      </w:r>
    </w:p>
    <w:p w14:paraId="51DFA05B"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以 DeepSeek 为例，其发布后算力用量大幅提升。其推动了 AI 应用真正走向普及，算力需求进入高速增长通道，也标志着大模型产业正式迈入规模化落地、普惠化应用的新阶段。</w:t>
      </w:r>
    </w:p>
    <w:p w14:paraId="0B17A19F"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图：2024年以来算力变化情况一览</w:t>
      </w:r>
    </w:p>
    <w:p w14:paraId="24A00D15" w14:textId="77777777" w:rsidR="004F7E65" w:rsidRPr="00660147" w:rsidRDefault="005A4D99" w:rsidP="00392D61">
      <w:pPr>
        <w:jc w:val="both"/>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6F9800C4" wp14:editId="3562549E">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3"/>
                    <a:stretch>
                      <a:fillRect/>
                    </a:stretch>
                  </pic:blipFill>
                  <pic:spPr>
                    <a:xfrm>
                      <a:off x="0" y="0"/>
                      <a:ext cx="5274310" cy="2657475"/>
                    </a:xfrm>
                    <a:prstGeom prst="rect">
                      <a:avLst/>
                    </a:prstGeom>
                  </pic:spPr>
                </pic:pic>
              </a:graphicData>
            </a:graphic>
          </wp:inline>
        </w:drawing>
      </w:r>
    </w:p>
    <w:p w14:paraId="2B229A93" w14:textId="6FF69B79" w:rsidR="004F7E65" w:rsidRPr="00660147" w:rsidRDefault="005A4D99" w:rsidP="00392D61">
      <w:pPr>
        <w:jc w:val="both"/>
        <w:rPr>
          <w:rFonts w:ascii="楷体" w:eastAsia="楷体" w:hAnsi="楷体" w:hint="eastAsia"/>
          <w:color w:val="000000" w:themeColor="text1"/>
        </w:rPr>
      </w:pPr>
      <w:r w:rsidRPr="00660147">
        <w:rPr>
          <w:rFonts w:ascii="楷体" w:eastAsia="楷体" w:hAnsi="楷体" w:hint="eastAsia"/>
          <w:color w:val="000000" w:themeColor="text1"/>
          <w:szCs w:val="22"/>
        </w:rPr>
        <w:t>注：不同颜色为不同大模型所占比例</w:t>
      </w:r>
      <w:r w:rsidR="00A90954" w:rsidRPr="00660147">
        <w:rPr>
          <w:rFonts w:ascii="楷体" w:eastAsia="楷体" w:hAnsi="楷体" w:hint="eastAsia"/>
          <w:color w:val="000000" w:themeColor="text1"/>
          <w:szCs w:val="22"/>
        </w:rPr>
        <w:t>，此处略</w:t>
      </w:r>
    </w:p>
    <w:p w14:paraId="6990B8DD" w14:textId="77777777" w:rsidR="004F7E65" w:rsidRPr="00660147" w:rsidRDefault="005A4D99" w:rsidP="007677B3">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图：近期开源模型引用一览</w:t>
      </w:r>
    </w:p>
    <w:p w14:paraId="7010F0B7" w14:textId="77777777" w:rsidR="004F7E65" w:rsidRPr="00660147" w:rsidRDefault="005A4D99" w:rsidP="00392D61">
      <w:pPr>
        <w:jc w:val="both"/>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1854FD27" wp14:editId="0F808D26">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4"/>
                    <a:stretch>
                      <a:fillRect/>
                    </a:stretch>
                  </pic:blipFill>
                  <pic:spPr>
                    <a:xfrm>
                      <a:off x="0" y="0"/>
                      <a:ext cx="5274310" cy="4053205"/>
                    </a:xfrm>
                    <a:prstGeom prst="rect">
                      <a:avLst/>
                    </a:prstGeom>
                  </pic:spPr>
                </pic:pic>
              </a:graphicData>
            </a:graphic>
          </wp:inline>
        </w:drawing>
      </w:r>
    </w:p>
    <w:p w14:paraId="54EF950A" w14:textId="77777777" w:rsidR="004F7E65" w:rsidRPr="00660147" w:rsidRDefault="005A4D99" w:rsidP="00392D61">
      <w:pPr>
        <w:jc w:val="both"/>
        <w:rPr>
          <w:rFonts w:ascii="楷体" w:eastAsia="楷体" w:hAnsi="楷体" w:hint="eastAsia"/>
          <w:color w:val="000000" w:themeColor="text1"/>
        </w:rPr>
      </w:pPr>
      <w:r w:rsidRPr="00660147">
        <w:rPr>
          <w:rFonts w:ascii="楷体" w:eastAsia="楷体" w:hAnsi="楷体" w:hint="eastAsia"/>
          <w:color w:val="000000" w:themeColor="text1"/>
          <w:szCs w:val="22"/>
        </w:rPr>
        <w:t>数据来源：openrouter</w:t>
      </w:r>
    </w:p>
    <w:p w14:paraId="4E29744C" w14:textId="00C09576" w:rsidR="004F7E65" w:rsidRPr="00660147" w:rsidRDefault="005A4D99" w:rsidP="00392D61">
      <w:pPr>
        <w:jc w:val="both"/>
        <w:rPr>
          <w:rFonts w:ascii="楷体" w:eastAsia="楷体" w:hAnsi="楷体" w:hint="eastAsia"/>
          <w:color w:val="000000" w:themeColor="text1"/>
        </w:rPr>
      </w:pPr>
      <w:r w:rsidRPr="00660147">
        <w:rPr>
          <w:rFonts w:ascii="楷体" w:eastAsia="楷体" w:hAnsi="楷体" w:hint="eastAsia"/>
          <w:color w:val="000000" w:themeColor="text1"/>
          <w:szCs w:val="22"/>
        </w:rPr>
        <w:t>注：moonshot，即月之暗面，kimi母公司；z-ai，即智谱。</w:t>
      </w:r>
    </w:p>
    <w:p w14:paraId="275F783A" w14:textId="19E02B90"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同时，技术竞争焦点已从通用能力追赶转向推理能力强化、多模态融合以及Agent（智能体）等成为模型基础标配，标志着技术向“好用”和“能干实事”演进。中美技术差距已压缩至3-6个月，中国前沿模型综合智能分数逼近海外顶级模型的87%。</w:t>
      </w:r>
    </w:p>
    <w:p w14:paraId="14942323" w14:textId="0EE61C93" w:rsidR="004F7E65" w:rsidRPr="00660147" w:rsidRDefault="00F405DF" w:rsidP="00392D61">
      <w:pPr>
        <w:pStyle w:val="1"/>
        <w:jc w:val="both"/>
        <w:rPr>
          <w:rFonts w:ascii="楷体" w:eastAsia="楷体" w:hAnsi="楷体" w:hint="eastAsia"/>
          <w:color w:val="000000" w:themeColor="text1"/>
          <w:sz w:val="36"/>
          <w:szCs w:val="36"/>
        </w:rPr>
      </w:pPr>
      <w:bookmarkStart w:id="7" w:name="_Toc228444758"/>
      <w:r w:rsidRPr="00660147">
        <w:rPr>
          <w:rFonts w:ascii="楷体" w:eastAsia="楷体" w:hAnsi="楷体" w:hint="eastAsia"/>
          <w:color w:val="000000" w:themeColor="text1"/>
          <w:sz w:val="36"/>
          <w:szCs w:val="36"/>
        </w:rPr>
        <w:t>2</w:t>
      </w:r>
      <w:r w:rsidR="00043F4A" w:rsidRPr="00660147">
        <w:rPr>
          <w:rFonts w:ascii="楷体" w:eastAsia="楷体" w:hAnsi="楷体" w:hint="eastAsia"/>
          <w:color w:val="000000" w:themeColor="text1"/>
          <w:sz w:val="36"/>
          <w:szCs w:val="36"/>
        </w:rPr>
        <w:t>.产业链与商业模式深度解析</w:t>
      </w:r>
      <w:bookmarkEnd w:id="7"/>
    </w:p>
    <w:p w14:paraId="1214B5EE" w14:textId="1D655110" w:rsidR="004F7E65" w:rsidRPr="00D357CC" w:rsidRDefault="00F405DF" w:rsidP="00392D61">
      <w:pPr>
        <w:pStyle w:val="2"/>
        <w:jc w:val="both"/>
        <w:rPr>
          <w:rFonts w:ascii="楷体" w:eastAsia="楷体" w:hAnsi="楷体" w:hint="eastAsia"/>
          <w:color w:val="000000" w:themeColor="text1"/>
          <w:sz w:val="32"/>
          <w:szCs w:val="32"/>
        </w:rPr>
      </w:pPr>
      <w:bookmarkStart w:id="8" w:name="_Toc228444759"/>
      <w:r w:rsidRPr="00D357CC">
        <w:rPr>
          <w:rFonts w:ascii="楷体" w:eastAsia="楷体" w:hAnsi="楷体" w:hint="eastAsia"/>
          <w:color w:val="000000" w:themeColor="text1"/>
          <w:sz w:val="32"/>
          <w:szCs w:val="32"/>
        </w:rPr>
        <w:t>2.1上中下游产业链图谱</w:t>
      </w:r>
      <w:bookmarkEnd w:id="8"/>
    </w:p>
    <w:p w14:paraId="3F94387D"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当前，大模型产业已形成层次分明、联动紧密的产业链结构。上游是支撑产业发展的算力与数据基石，中游是决定产业高度的模型与平台核心，下游则是实现商业价值的多元化应用场景。三者共同构成了从硬件基础设施到智能应用服务的完整价值链条。</w:t>
      </w:r>
    </w:p>
    <w:p w14:paraId="3447E2C3" w14:textId="5893CFE4" w:rsidR="004F7E65" w:rsidRPr="00D357CC" w:rsidRDefault="00F405DF" w:rsidP="00392D61">
      <w:pPr>
        <w:pStyle w:val="3"/>
        <w:jc w:val="both"/>
        <w:rPr>
          <w:rFonts w:ascii="楷体" w:eastAsia="楷体" w:hAnsi="楷体" w:hint="eastAsia"/>
          <w:color w:val="000000" w:themeColor="text1"/>
          <w:sz w:val="30"/>
          <w:szCs w:val="30"/>
        </w:rPr>
      </w:pPr>
      <w:bookmarkStart w:id="9" w:name="_Toc228444760"/>
      <w:r w:rsidRPr="00D357CC">
        <w:rPr>
          <w:rFonts w:ascii="楷体" w:eastAsia="楷体" w:hAnsi="楷体" w:hint="eastAsia"/>
          <w:color w:val="000000" w:themeColor="text1"/>
          <w:sz w:val="30"/>
          <w:szCs w:val="30"/>
        </w:rPr>
        <w:t>2.1.1上游：算力与数据基石</w:t>
      </w:r>
      <w:bookmarkEnd w:id="9"/>
    </w:p>
    <w:p w14:paraId="44D31407"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上游产业链是整个人工智能与大模型产业的物理和数字基础，其核心是提供模型训练与推理所必需的算力硬件、云计算服务以及高质量数据。这一层的稳定性和先进性直</w:t>
      </w:r>
      <w:r w:rsidRPr="00660147">
        <w:rPr>
          <w:rFonts w:ascii="楷体" w:eastAsia="楷体" w:hAnsi="楷体" w:hint="eastAsia"/>
          <w:color w:val="000000" w:themeColor="text1"/>
          <w:szCs w:val="22"/>
        </w:rPr>
        <w:lastRenderedPageBreak/>
        <w:t>接决定了中游模型研发的效率和成本，是产业发展的先决条件。</w:t>
      </w:r>
    </w:p>
    <w:p w14:paraId="70B42B6E" w14:textId="3562D7D2" w:rsidR="004F7E65" w:rsidRPr="00660147" w:rsidRDefault="00F405DF" w:rsidP="00392D61">
      <w:pPr>
        <w:pStyle w:val="4"/>
        <w:jc w:val="both"/>
        <w:rPr>
          <w:rFonts w:ascii="楷体" w:eastAsia="楷体" w:hAnsi="楷体" w:hint="eastAsia"/>
          <w:color w:val="000000" w:themeColor="text1"/>
        </w:rPr>
      </w:pPr>
      <w:r w:rsidRPr="00660147">
        <w:rPr>
          <w:rFonts w:ascii="楷体" w:eastAsia="楷体" w:hAnsi="楷体" w:hint="eastAsia"/>
          <w:color w:val="000000" w:themeColor="text1"/>
        </w:rPr>
        <w:t>2.1.1.1 核心构成与竞争格局</w:t>
      </w:r>
    </w:p>
    <w:p w14:paraId="4AF30176" w14:textId="77777777"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上游产业链呈现高度技术密集和资本密集的特征，主要由以下几个关键环节构成：</w:t>
      </w:r>
    </w:p>
    <w:p w14:paraId="678BF849" w14:textId="18C41424"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算力芯片与硬件：这是最核心的环节，包括GPU、AI专用芯片（ASIC）、高带宽内存（HBM）、光模块、交换设备以及液冷、电力等数据中心基础设施。</w:t>
      </w:r>
      <w:r w:rsidR="003A6B8F" w:rsidRPr="00660147">
        <w:rPr>
          <w:rFonts w:ascii="楷体" w:eastAsia="楷体" w:hAnsi="楷体" w:hint="eastAsia"/>
          <w:color w:val="000000" w:themeColor="text1"/>
          <w:szCs w:val="22"/>
        </w:rPr>
        <w:t>封装市场目前由台积电主导，</w:t>
      </w:r>
      <w:r w:rsidR="004F5379" w:rsidRPr="00660147">
        <w:rPr>
          <w:rFonts w:ascii="楷体" w:eastAsia="楷体" w:hAnsi="楷体" w:hint="eastAsia"/>
          <w:color w:val="000000" w:themeColor="text1"/>
          <w:szCs w:val="22"/>
        </w:rPr>
        <w:t>其</w:t>
      </w:r>
      <w:r w:rsidR="004F5379" w:rsidRPr="00660147">
        <w:rPr>
          <w:rFonts w:ascii="楷体" w:eastAsia="楷体" w:hAnsi="楷体"/>
          <w:color w:val="000000" w:themeColor="text1"/>
          <w:szCs w:val="22"/>
        </w:rPr>
        <w:t>CoWoS（Chip on Wafer on Substrate）等2.5D/3D封装技术是HBM与GPU逻辑芯片集成的物理基础，也是当前全球AI算力供应的最刚性瓶颈之一</w:t>
      </w:r>
      <w:r w:rsidR="004F5379" w:rsidRPr="00660147">
        <w:rPr>
          <w:rFonts w:ascii="楷体" w:eastAsia="楷体" w:hAnsi="楷体" w:hint="eastAsia"/>
          <w:color w:val="000000" w:themeColor="text1"/>
          <w:szCs w:val="22"/>
        </w:rPr>
        <w:t>。</w:t>
      </w:r>
      <w:r w:rsidR="00ED3460" w:rsidRPr="00660147">
        <w:rPr>
          <w:rFonts w:ascii="楷体" w:eastAsia="楷体" w:hAnsi="楷体" w:hint="eastAsia"/>
          <w:color w:val="000000" w:themeColor="text1"/>
          <w:szCs w:val="22"/>
        </w:rPr>
        <w:t>互联领域则分为上游光电芯片和下游光模块，上游光电芯片方面，</w:t>
      </w:r>
      <w:r w:rsidR="00BD1B9F" w:rsidRPr="00660147">
        <w:rPr>
          <w:rFonts w:ascii="楷体" w:eastAsia="楷体" w:hAnsi="楷体" w:hint="eastAsia"/>
          <w:color w:val="000000" w:themeColor="text1"/>
          <w:szCs w:val="22"/>
        </w:rPr>
        <w:t>高端光电芯片</w:t>
      </w:r>
      <w:proofErr w:type="gramStart"/>
      <w:r w:rsidR="00BD1B9F" w:rsidRPr="00660147">
        <w:rPr>
          <w:rFonts w:ascii="楷体" w:eastAsia="楷体" w:hAnsi="楷体" w:hint="eastAsia"/>
          <w:color w:val="000000" w:themeColor="text1"/>
          <w:szCs w:val="22"/>
        </w:rPr>
        <w:t>现严重</w:t>
      </w:r>
      <w:proofErr w:type="gramEnd"/>
      <w:r w:rsidR="00BD1B9F" w:rsidRPr="00660147">
        <w:rPr>
          <w:rFonts w:ascii="楷体" w:eastAsia="楷体" w:hAnsi="楷体" w:hint="eastAsia"/>
          <w:color w:val="000000" w:themeColor="text1"/>
          <w:szCs w:val="22"/>
        </w:rPr>
        <w:t>依赖进口，低端芯片已实现国产化替代。下游光模块封装上，</w:t>
      </w:r>
      <w:r w:rsidR="007677B3">
        <w:rPr>
          <w:rFonts w:ascii="楷体" w:eastAsia="楷体" w:hAnsi="楷体" w:hint="eastAsia"/>
          <w:color w:val="000000" w:themeColor="text1"/>
          <w:szCs w:val="22"/>
        </w:rPr>
        <w:t>国内多家企业</w:t>
      </w:r>
      <w:r w:rsidR="009609A0" w:rsidRPr="00660147">
        <w:rPr>
          <w:rFonts w:ascii="楷体" w:eastAsia="楷体" w:hAnsi="楷体" w:hint="eastAsia"/>
          <w:color w:val="000000" w:themeColor="text1"/>
          <w:szCs w:val="22"/>
        </w:rPr>
        <w:t>技术突破迅速，高性能高带宽产能在2026年持续放量。</w:t>
      </w:r>
      <w:r w:rsidR="003A6B8F" w:rsidRPr="00660147">
        <w:rPr>
          <w:rFonts w:ascii="楷体" w:eastAsia="楷体" w:hAnsi="楷体" w:hint="eastAsia"/>
          <w:color w:val="000000" w:themeColor="text1"/>
          <w:szCs w:val="22"/>
        </w:rPr>
        <w:t>算力单元</w:t>
      </w:r>
      <w:r w:rsidRPr="00660147">
        <w:rPr>
          <w:rFonts w:ascii="楷体" w:eastAsia="楷体" w:hAnsi="楷体" w:hint="eastAsia"/>
          <w:color w:val="000000" w:themeColor="text1"/>
          <w:szCs w:val="22"/>
        </w:rPr>
        <w:t>全球市场由英伟达主导，其凭借CUDA生态占据了超过80%的高性能AI芯片市场份额。国内</w:t>
      </w:r>
      <w:r w:rsidR="005A7DD3">
        <w:rPr>
          <w:rFonts w:ascii="楷体" w:eastAsia="楷体" w:hAnsi="楷体" w:hint="eastAsia"/>
          <w:color w:val="000000" w:themeColor="text1"/>
          <w:szCs w:val="22"/>
        </w:rPr>
        <w:t>芯片</w:t>
      </w:r>
      <w:r w:rsidRPr="00660147">
        <w:rPr>
          <w:rFonts w:ascii="楷体" w:eastAsia="楷体" w:hAnsi="楷体" w:hint="eastAsia"/>
          <w:color w:val="000000" w:themeColor="text1"/>
          <w:szCs w:val="22"/>
        </w:rPr>
        <w:t>厂商正加快自</w:t>
      </w:r>
      <w:proofErr w:type="gramStart"/>
      <w:r w:rsidRPr="00660147">
        <w:rPr>
          <w:rFonts w:ascii="楷体" w:eastAsia="楷体" w:hAnsi="楷体" w:hint="eastAsia"/>
          <w:color w:val="000000" w:themeColor="text1"/>
          <w:szCs w:val="22"/>
        </w:rPr>
        <w:t>研</w:t>
      </w:r>
      <w:proofErr w:type="gramEnd"/>
      <w:r w:rsidRPr="00660147">
        <w:rPr>
          <w:rFonts w:ascii="楷体" w:eastAsia="楷体" w:hAnsi="楷体" w:hint="eastAsia"/>
          <w:color w:val="000000" w:themeColor="text1"/>
          <w:szCs w:val="22"/>
        </w:rPr>
        <w:t>步伐，致力于构建自主可控</w:t>
      </w:r>
      <w:proofErr w:type="gramStart"/>
      <w:r w:rsidRPr="00660147">
        <w:rPr>
          <w:rFonts w:ascii="楷体" w:eastAsia="楷体" w:hAnsi="楷体" w:hint="eastAsia"/>
          <w:color w:val="000000" w:themeColor="text1"/>
          <w:szCs w:val="22"/>
        </w:rPr>
        <w:t>的算力底座</w:t>
      </w:r>
      <w:proofErr w:type="gramEnd"/>
      <w:r w:rsidRPr="00660147">
        <w:rPr>
          <w:rFonts w:ascii="楷体" w:eastAsia="楷体" w:hAnsi="楷体" w:hint="eastAsia"/>
          <w:color w:val="000000" w:themeColor="text1"/>
          <w:szCs w:val="22"/>
        </w:rPr>
        <w:t>。</w:t>
      </w:r>
    </w:p>
    <w:p w14:paraId="7FC10259" w14:textId="4A3F799D"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云计算平台：为模型训练和部署提供弹性算力服务。全球市场由</w:t>
      </w:r>
      <w:r w:rsidR="005A7DD3">
        <w:rPr>
          <w:rFonts w:ascii="楷体" w:eastAsia="楷体" w:hAnsi="楷体" w:hint="eastAsia"/>
          <w:color w:val="000000" w:themeColor="text1"/>
          <w:szCs w:val="22"/>
        </w:rPr>
        <w:t>海外头部企业</w:t>
      </w:r>
      <w:r w:rsidRPr="00660147">
        <w:rPr>
          <w:rFonts w:ascii="楷体" w:eastAsia="楷体" w:hAnsi="楷体" w:hint="eastAsia"/>
          <w:color w:val="000000" w:themeColor="text1"/>
          <w:szCs w:val="22"/>
        </w:rPr>
        <w:t>主导，合计占据超70%份额。国内</w:t>
      </w:r>
      <w:r w:rsidR="005A7DD3">
        <w:rPr>
          <w:rFonts w:ascii="楷体" w:eastAsia="楷体" w:hAnsi="楷体" w:hint="eastAsia"/>
          <w:color w:val="000000" w:themeColor="text1"/>
          <w:szCs w:val="22"/>
        </w:rPr>
        <w:t>主要云厂商</w:t>
      </w:r>
      <w:r w:rsidRPr="00660147">
        <w:rPr>
          <w:rFonts w:ascii="楷体" w:eastAsia="楷体" w:hAnsi="楷体" w:hint="eastAsia"/>
          <w:color w:val="000000" w:themeColor="text1"/>
          <w:szCs w:val="22"/>
        </w:rPr>
        <w:t>正持续加大AI</w:t>
      </w:r>
      <w:proofErr w:type="gramStart"/>
      <w:r w:rsidRPr="00660147">
        <w:rPr>
          <w:rFonts w:ascii="楷体" w:eastAsia="楷体" w:hAnsi="楷体" w:hint="eastAsia"/>
          <w:color w:val="000000" w:themeColor="text1"/>
          <w:szCs w:val="22"/>
        </w:rPr>
        <w:t>算力投入</w:t>
      </w:r>
      <w:proofErr w:type="gramEnd"/>
      <w:r w:rsidRPr="00660147">
        <w:rPr>
          <w:rFonts w:ascii="楷体" w:eastAsia="楷体" w:hAnsi="楷体" w:hint="eastAsia"/>
          <w:color w:val="000000" w:themeColor="text1"/>
          <w:szCs w:val="22"/>
        </w:rPr>
        <w:t>。</w:t>
      </w:r>
      <w:r w:rsidR="0061323D" w:rsidRPr="00660147">
        <w:rPr>
          <w:rFonts w:ascii="楷体" w:eastAsia="楷体" w:hAnsi="楷体" w:hint="eastAsia"/>
          <w:color w:val="000000" w:themeColor="text1"/>
          <w:szCs w:val="22"/>
        </w:rPr>
        <w:t>同时国家也在这一领域进行加码，</w:t>
      </w:r>
      <w:r w:rsidR="0061323D" w:rsidRPr="00660147">
        <w:rPr>
          <w:rFonts w:ascii="楷体" w:eastAsia="楷体" w:hAnsi="楷体"/>
          <w:color w:val="000000" w:themeColor="text1"/>
          <w:szCs w:val="22"/>
        </w:rPr>
        <w:t>国内"东数西算"工程下的智算中心</w:t>
      </w:r>
      <w:r w:rsidR="0061323D" w:rsidRPr="00660147">
        <w:rPr>
          <w:rFonts w:ascii="楷体" w:eastAsia="楷体" w:hAnsi="楷体" w:hint="eastAsia"/>
          <w:color w:val="000000" w:themeColor="text1"/>
          <w:szCs w:val="22"/>
        </w:rPr>
        <w:t>正逐渐完成建设与投入运营，其</w:t>
      </w:r>
      <w:r w:rsidR="0061323D" w:rsidRPr="00660147">
        <w:rPr>
          <w:rFonts w:ascii="楷体" w:eastAsia="楷体" w:hAnsi="楷体"/>
          <w:color w:val="000000" w:themeColor="text1"/>
          <w:szCs w:val="22"/>
        </w:rPr>
        <w:t>与传统云计算在计费模式（裸金属租赁、算力券）、网络拓扑（无损以太网/InfiniBand）和能耗密度（液冷渗透率）上差异显著。</w:t>
      </w:r>
      <w:r w:rsidR="003A6B8F" w:rsidRPr="00660147">
        <w:rPr>
          <w:rFonts w:ascii="楷体" w:eastAsia="楷体" w:hAnsi="楷体" w:hint="eastAsia"/>
          <w:color w:val="000000" w:themeColor="text1"/>
          <w:szCs w:val="22"/>
        </w:rPr>
        <w:t>在此</w:t>
      </w:r>
      <w:r w:rsidR="0061323D" w:rsidRPr="00660147">
        <w:rPr>
          <w:rFonts w:ascii="楷体" w:eastAsia="楷体" w:hAnsi="楷体"/>
          <w:color w:val="000000" w:themeColor="text1"/>
          <w:szCs w:val="22"/>
        </w:rPr>
        <w:t>之外，地方国资智算平台（如各地算力集团）也是上游的重要参与者。</w:t>
      </w:r>
    </w:p>
    <w:p w14:paraId="2A841DE0" w14:textId="5918FA54" w:rsidR="004F7E65" w:rsidRPr="00660147" w:rsidRDefault="005A4D99" w:rsidP="00392D61">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数据服务：涵盖数据采集、清洗、标注及治理。高质量、大规模、多模态的数据是训练高性能模型的“燃料”。</w:t>
      </w:r>
      <w:r w:rsidR="000A0741" w:rsidRPr="00660147">
        <w:rPr>
          <w:rFonts w:ascii="楷体" w:eastAsia="楷体" w:hAnsi="楷体" w:hint="eastAsia"/>
          <w:color w:val="000000" w:themeColor="text1"/>
          <w:szCs w:val="22"/>
        </w:rPr>
        <w:t>在数据科学领域，</w:t>
      </w:r>
      <w:r w:rsidRPr="00660147">
        <w:rPr>
          <w:rFonts w:ascii="楷体" w:eastAsia="楷体" w:hAnsi="楷体" w:hint="eastAsia"/>
          <w:color w:val="000000" w:themeColor="text1"/>
          <w:szCs w:val="22"/>
        </w:rPr>
        <w:t>数据质量直接决定模型效果，研究表明约90%的模型问题源于数据而非架构。</w:t>
      </w:r>
    </w:p>
    <w:p w14:paraId="297AD27F" w14:textId="3F16D926" w:rsidR="004F7E65" w:rsidRPr="00660147" w:rsidRDefault="006C2E81" w:rsidP="0034690D">
      <w:pPr>
        <w:pStyle w:val="4"/>
        <w:jc w:val="both"/>
        <w:rPr>
          <w:rFonts w:ascii="楷体" w:eastAsia="楷体" w:hAnsi="楷体" w:hint="eastAsia"/>
          <w:color w:val="000000" w:themeColor="text1"/>
        </w:rPr>
      </w:pPr>
      <w:r w:rsidRPr="00660147">
        <w:rPr>
          <w:rFonts w:ascii="楷体" w:eastAsia="楷体" w:hAnsi="楷体" w:hint="eastAsia"/>
          <w:color w:val="000000" w:themeColor="text1"/>
        </w:rPr>
        <w:t>2.1.1.2 发展趋势</w:t>
      </w:r>
    </w:p>
    <w:p w14:paraId="67EA2DD9" w14:textId="0964ABCE" w:rsidR="004F7E65" w:rsidRPr="00660147" w:rsidRDefault="005A4D99" w:rsidP="0034690D">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上游产业正经历深刻变革</w:t>
      </w:r>
      <w:r w:rsidR="0034690D">
        <w:rPr>
          <w:rFonts w:ascii="楷体" w:eastAsia="楷体" w:hAnsi="楷体" w:hint="eastAsia"/>
          <w:color w:val="000000" w:themeColor="text1"/>
          <w:szCs w:val="22"/>
        </w:rPr>
        <w:t>，投资逻辑向</w:t>
      </w:r>
      <w:proofErr w:type="gramStart"/>
      <w:r w:rsidR="0034690D">
        <w:rPr>
          <w:rFonts w:ascii="楷体" w:eastAsia="楷体" w:hAnsi="楷体" w:hint="eastAsia"/>
          <w:color w:val="000000" w:themeColor="text1"/>
          <w:szCs w:val="22"/>
        </w:rPr>
        <w:t>追求</w:t>
      </w:r>
      <w:r w:rsidR="003D4DA5">
        <w:rPr>
          <w:rFonts w:ascii="楷体" w:eastAsia="楷体" w:hAnsi="楷体" w:hint="eastAsia"/>
          <w:color w:val="000000" w:themeColor="text1"/>
          <w:szCs w:val="22"/>
        </w:rPr>
        <w:t>智价比</w:t>
      </w:r>
      <w:proofErr w:type="gramEnd"/>
      <w:r w:rsidR="003D4DA5">
        <w:rPr>
          <w:rFonts w:ascii="楷体" w:eastAsia="楷体" w:hAnsi="楷体" w:hint="eastAsia"/>
          <w:color w:val="000000" w:themeColor="text1"/>
          <w:szCs w:val="22"/>
        </w:rPr>
        <w:t>演进</w:t>
      </w:r>
      <w:r w:rsidRPr="00660147">
        <w:rPr>
          <w:rFonts w:ascii="楷体" w:eastAsia="楷体" w:hAnsi="楷体" w:hint="eastAsia"/>
          <w:color w:val="000000" w:themeColor="text1"/>
          <w:szCs w:val="22"/>
        </w:rPr>
        <w:t>。</w:t>
      </w:r>
    </w:p>
    <w:p w14:paraId="1DEDC443" w14:textId="77777777" w:rsidR="004F7E65" w:rsidRPr="00660147" w:rsidRDefault="005A4D99" w:rsidP="0034690D">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需求结构转变上，随着大模型进入规模化应用阶段，推理算力需求正历史性地超越训练算力。根据行业预测，2026年推理型AI服务器在整体出货结构中的比重有望提升至44%。推理任务更关注能耗、稳定性和总拥有成本（TCO），这为在能效比上有优势的国产芯片提供了切入窗口。</w:t>
      </w:r>
    </w:p>
    <w:p w14:paraId="458EFD6E" w14:textId="77777777" w:rsidR="004F7E65" w:rsidRPr="00660147" w:rsidRDefault="005A4D99" w:rsidP="0034690D">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采购标准变化上，客户不再只追求单卡算力峰值，而是开始计算“每元投入能换取多少Token吞吐量”、“每瓦电能处理多少Token”。这种转变使得具备性价比和供应安全优势的国产算力方案吸引力增强。</w:t>
      </w:r>
    </w:p>
    <w:p w14:paraId="0880885F" w14:textId="2291CA76" w:rsidR="004F7E65" w:rsidRPr="00660147" w:rsidRDefault="005A4D99" w:rsidP="0034690D">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技术迭代驱动上，稀疏化、模型蒸馏、量化等模型压缩技术能有效降低训练和推理成本，缓解算力压力。同时，AI自动数据优化与标注技术也在发展，以降低数据准备阶</w:t>
      </w:r>
      <w:r w:rsidRPr="00660147">
        <w:rPr>
          <w:rFonts w:ascii="楷体" w:eastAsia="楷体" w:hAnsi="楷体" w:hint="eastAsia"/>
          <w:color w:val="000000" w:themeColor="text1"/>
          <w:szCs w:val="22"/>
        </w:rPr>
        <w:lastRenderedPageBreak/>
        <w:t>段的人工成本。</w:t>
      </w:r>
    </w:p>
    <w:p w14:paraId="45FC633A" w14:textId="311C357C" w:rsidR="004F7E65" w:rsidRPr="00D357CC" w:rsidRDefault="006C2E81" w:rsidP="003D4DA5">
      <w:pPr>
        <w:pStyle w:val="3"/>
        <w:jc w:val="both"/>
        <w:rPr>
          <w:rFonts w:ascii="楷体" w:eastAsia="楷体" w:hAnsi="楷体" w:hint="eastAsia"/>
          <w:color w:val="000000" w:themeColor="text1"/>
          <w:sz w:val="30"/>
          <w:szCs w:val="30"/>
        </w:rPr>
      </w:pPr>
      <w:bookmarkStart w:id="10" w:name="_Toc228444761"/>
      <w:r w:rsidRPr="00D357CC">
        <w:rPr>
          <w:rFonts w:ascii="楷体" w:eastAsia="楷体" w:hAnsi="楷体" w:hint="eastAsia"/>
          <w:color w:val="000000" w:themeColor="text1"/>
          <w:sz w:val="30"/>
          <w:szCs w:val="30"/>
        </w:rPr>
        <w:t>2.1.2中游：模型与平台核心</w:t>
      </w:r>
      <w:bookmarkEnd w:id="10"/>
    </w:p>
    <w:p w14:paraId="7E77832E" w14:textId="095B3768"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中游产业链聚焦于基础大模型的研发、训练、优化以及将其能力标准化输出的平台服务。</w:t>
      </w:r>
    </w:p>
    <w:p w14:paraId="49F0771E" w14:textId="7FC57B37" w:rsidR="004F7E65" w:rsidRPr="00660147" w:rsidRDefault="00C06109" w:rsidP="003D4DA5">
      <w:pPr>
        <w:pStyle w:val="4"/>
        <w:jc w:val="both"/>
        <w:rPr>
          <w:rFonts w:ascii="楷体" w:eastAsia="楷体" w:hAnsi="楷体" w:hint="eastAsia"/>
          <w:color w:val="000000" w:themeColor="text1"/>
        </w:rPr>
      </w:pPr>
      <w:r w:rsidRPr="00660147">
        <w:rPr>
          <w:rFonts w:ascii="楷体" w:eastAsia="楷体" w:hAnsi="楷体" w:hint="eastAsia"/>
          <w:color w:val="000000" w:themeColor="text1"/>
        </w:rPr>
        <w:t>2.1.2.1 核心构成与竞争格局</w:t>
      </w:r>
    </w:p>
    <w:p w14:paraId="29169A08" w14:textId="37656DC4"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中游已形成多元化的竞争生态，参与者主要包括独立大模型厂商、互联网科技巨头以及开源社区</w:t>
      </w:r>
      <w:r w:rsidR="00CE7213" w:rsidRPr="00660147">
        <w:rPr>
          <w:rFonts w:ascii="楷体" w:eastAsia="楷体" w:hAnsi="楷体" w:hint="eastAsia"/>
          <w:color w:val="000000" w:themeColor="text1"/>
          <w:szCs w:val="22"/>
        </w:rPr>
        <w:t>，细节将在3.2参与者类型中进行讨论</w:t>
      </w:r>
      <w:r w:rsidRPr="00660147">
        <w:rPr>
          <w:rFonts w:ascii="楷体" w:eastAsia="楷体" w:hAnsi="楷体" w:hint="eastAsia"/>
          <w:color w:val="000000" w:themeColor="text1"/>
          <w:szCs w:val="22"/>
        </w:rPr>
        <w:t>。</w:t>
      </w:r>
    </w:p>
    <w:p w14:paraId="63200078" w14:textId="4C9A181D"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模型层（核心引擎）致力于研发通用或垂直领域的大模型。全球范围内，</w:t>
      </w:r>
      <w:r w:rsidR="007F6AB9" w:rsidRPr="00660147">
        <w:rPr>
          <w:rFonts w:ascii="楷体" w:eastAsia="楷体" w:hAnsi="楷体" w:hint="eastAsia"/>
          <w:color w:val="000000" w:themeColor="text1"/>
          <w:szCs w:val="22"/>
        </w:rPr>
        <w:t>产业整体以闭源为主。</w:t>
      </w:r>
      <w:r w:rsidR="005A7DD3">
        <w:rPr>
          <w:rFonts w:ascii="楷体" w:eastAsia="楷体" w:hAnsi="楷体" w:hint="eastAsia"/>
          <w:color w:val="000000" w:themeColor="text1"/>
          <w:szCs w:val="22"/>
        </w:rPr>
        <w:t>海外厂商</w:t>
      </w:r>
      <w:r w:rsidRPr="00660147">
        <w:rPr>
          <w:rFonts w:ascii="楷体" w:eastAsia="楷体" w:hAnsi="楷体" w:hint="eastAsia"/>
          <w:color w:val="000000" w:themeColor="text1"/>
          <w:szCs w:val="22"/>
        </w:rPr>
        <w:t>等</w:t>
      </w:r>
      <w:proofErr w:type="gramStart"/>
      <w:r w:rsidRPr="00660147">
        <w:rPr>
          <w:rFonts w:ascii="楷体" w:eastAsia="楷体" w:hAnsi="楷体" w:hint="eastAsia"/>
          <w:color w:val="000000" w:themeColor="text1"/>
          <w:szCs w:val="22"/>
        </w:rPr>
        <w:t>处于闭源模型</w:t>
      </w:r>
      <w:proofErr w:type="gramEnd"/>
      <w:r w:rsidRPr="00660147">
        <w:rPr>
          <w:rFonts w:ascii="楷体" w:eastAsia="楷体" w:hAnsi="楷体" w:hint="eastAsia"/>
          <w:color w:val="000000" w:themeColor="text1"/>
          <w:szCs w:val="22"/>
        </w:rPr>
        <w:t>领先地位。中国</w:t>
      </w:r>
      <w:r w:rsidR="009C17F5" w:rsidRPr="00660147">
        <w:rPr>
          <w:rFonts w:ascii="楷体" w:eastAsia="楷体" w:hAnsi="楷体" w:hint="eastAsia"/>
          <w:color w:val="000000" w:themeColor="text1"/>
          <w:szCs w:val="22"/>
        </w:rPr>
        <w:t>也</w:t>
      </w:r>
      <w:r w:rsidRPr="00660147">
        <w:rPr>
          <w:rFonts w:ascii="楷体" w:eastAsia="楷体" w:hAnsi="楷体" w:hint="eastAsia"/>
          <w:color w:val="000000" w:themeColor="text1"/>
          <w:szCs w:val="22"/>
        </w:rPr>
        <w:t>形成</w:t>
      </w:r>
      <w:proofErr w:type="gramStart"/>
      <w:r w:rsidR="009C17F5" w:rsidRPr="00660147">
        <w:rPr>
          <w:rFonts w:ascii="楷体" w:eastAsia="楷体" w:hAnsi="楷体" w:hint="eastAsia"/>
          <w:color w:val="000000" w:themeColor="text1"/>
          <w:szCs w:val="22"/>
        </w:rPr>
        <w:t>类似</w:t>
      </w:r>
      <w:r w:rsidRPr="00660147">
        <w:rPr>
          <w:rFonts w:ascii="楷体" w:eastAsia="楷体" w:hAnsi="楷体" w:hint="eastAsia"/>
          <w:color w:val="000000" w:themeColor="text1"/>
          <w:szCs w:val="22"/>
        </w:rPr>
        <w:t>发展</w:t>
      </w:r>
      <w:proofErr w:type="gramEnd"/>
      <w:r w:rsidRPr="00660147">
        <w:rPr>
          <w:rFonts w:ascii="楷体" w:eastAsia="楷体" w:hAnsi="楷体" w:hint="eastAsia"/>
          <w:color w:val="000000" w:themeColor="text1"/>
          <w:szCs w:val="22"/>
        </w:rPr>
        <w:t>路径，</w:t>
      </w:r>
      <w:r w:rsidR="00FB78B9" w:rsidRPr="00660147">
        <w:rPr>
          <w:rFonts w:ascii="楷体" w:eastAsia="楷体" w:hAnsi="楷体" w:hint="eastAsia"/>
          <w:color w:val="000000" w:themeColor="text1"/>
          <w:szCs w:val="22"/>
        </w:rPr>
        <w:t>整体</w:t>
      </w:r>
      <w:proofErr w:type="gramStart"/>
      <w:r w:rsidR="00FB78B9" w:rsidRPr="00660147">
        <w:rPr>
          <w:rFonts w:ascii="楷体" w:eastAsia="楷体" w:hAnsi="楷体" w:hint="eastAsia"/>
          <w:color w:val="000000" w:themeColor="text1"/>
          <w:szCs w:val="22"/>
        </w:rPr>
        <w:t>以闭源为</w:t>
      </w:r>
      <w:r w:rsidR="009C17F5" w:rsidRPr="00660147">
        <w:rPr>
          <w:rFonts w:ascii="楷体" w:eastAsia="楷体" w:hAnsi="楷体" w:hint="eastAsia"/>
          <w:color w:val="000000" w:themeColor="text1"/>
          <w:szCs w:val="22"/>
        </w:rPr>
        <w:t>主</w:t>
      </w:r>
      <w:proofErr w:type="gramEnd"/>
      <w:r w:rsidR="009C17F5" w:rsidRPr="00660147">
        <w:rPr>
          <w:rFonts w:ascii="楷体" w:eastAsia="楷体" w:hAnsi="楷体" w:hint="eastAsia"/>
          <w:color w:val="000000" w:themeColor="text1"/>
          <w:szCs w:val="22"/>
        </w:rPr>
        <w:t>，开源为辅</w:t>
      </w:r>
      <w:r w:rsidR="00FB78B9"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头部厂商在文本和多模态理解与生成、深度推理等核心能力上已</w:t>
      </w:r>
      <w:r w:rsidR="00FB78B9" w:rsidRPr="00660147">
        <w:rPr>
          <w:rFonts w:ascii="楷体" w:eastAsia="楷体" w:hAnsi="楷体" w:hint="eastAsia"/>
          <w:color w:val="000000" w:themeColor="text1"/>
          <w:szCs w:val="22"/>
        </w:rPr>
        <w:t>和</w:t>
      </w:r>
      <w:r w:rsidRPr="00660147">
        <w:rPr>
          <w:rFonts w:ascii="楷体" w:eastAsia="楷体" w:hAnsi="楷体" w:hint="eastAsia"/>
          <w:color w:val="000000" w:themeColor="text1"/>
          <w:szCs w:val="22"/>
        </w:rPr>
        <w:t>国际顶尖</w:t>
      </w:r>
      <w:r w:rsidR="00FB78B9" w:rsidRPr="00660147">
        <w:rPr>
          <w:rFonts w:ascii="楷体" w:eastAsia="楷体" w:hAnsi="楷体" w:hint="eastAsia"/>
          <w:color w:val="000000" w:themeColor="text1"/>
          <w:szCs w:val="22"/>
        </w:rPr>
        <w:t>模型拉近距离</w:t>
      </w:r>
      <w:r w:rsidRPr="00660147">
        <w:rPr>
          <w:rFonts w:ascii="楷体" w:eastAsia="楷体" w:hAnsi="楷体" w:hint="eastAsia"/>
          <w:color w:val="000000" w:themeColor="text1"/>
          <w:szCs w:val="22"/>
        </w:rPr>
        <w:t>，形成了技术演进与场景协同并进的局面。当前，高性能模型研发已收敛至少数厂商，技术迭代呈现非线性跃升态势。</w:t>
      </w:r>
    </w:p>
    <w:p w14:paraId="5DBED415" w14:textId="6EE79371" w:rsidR="004F7E65" w:rsidRPr="00660147" w:rsidRDefault="005A4D99" w:rsidP="003D4DA5">
      <w:pPr>
        <w:ind w:firstLine="420"/>
        <w:rPr>
          <w:rFonts w:ascii="楷体" w:eastAsia="楷体" w:hAnsi="楷体" w:hint="eastAsia"/>
          <w:color w:val="000000" w:themeColor="text1"/>
          <w:szCs w:val="22"/>
        </w:rPr>
      </w:pPr>
      <w:r w:rsidRPr="00660147">
        <w:rPr>
          <w:rFonts w:ascii="楷体" w:eastAsia="楷体" w:hAnsi="楷体" w:hint="eastAsia"/>
          <w:color w:val="000000" w:themeColor="text1"/>
          <w:szCs w:val="22"/>
        </w:rPr>
        <w:t>平台/服务层提供模型即服务（</w:t>
      </w:r>
      <w:proofErr w:type="spellStart"/>
      <w:r w:rsidRPr="00660147">
        <w:rPr>
          <w:rFonts w:ascii="楷体" w:eastAsia="楷体" w:hAnsi="楷体" w:hint="eastAsia"/>
          <w:color w:val="000000" w:themeColor="text1"/>
          <w:szCs w:val="22"/>
        </w:rPr>
        <w:t>MaaS</w:t>
      </w:r>
      <w:proofErr w:type="spellEnd"/>
      <w:r w:rsidRPr="00660147">
        <w:rPr>
          <w:rFonts w:ascii="楷体" w:eastAsia="楷体" w:hAnsi="楷体" w:hint="eastAsia"/>
          <w:color w:val="000000" w:themeColor="text1"/>
          <w:szCs w:val="22"/>
        </w:rPr>
        <w:t>）、API接口、私有化部署工具及开发者生态。这一层降低了应用开发门槛，是连接底层模型与上层应用的关键桥梁。</w:t>
      </w:r>
      <w:r w:rsidR="005A7DD3">
        <w:rPr>
          <w:rFonts w:ascii="楷体" w:eastAsia="楷体" w:hAnsi="楷体" w:hint="eastAsia"/>
          <w:color w:val="000000" w:themeColor="text1"/>
          <w:szCs w:val="22"/>
        </w:rPr>
        <w:t>国内多家模型厂商</w:t>
      </w:r>
      <w:r w:rsidRPr="00660147">
        <w:rPr>
          <w:rFonts w:ascii="楷体" w:eastAsia="楷体" w:hAnsi="楷体" w:hint="eastAsia"/>
          <w:color w:val="000000" w:themeColor="text1"/>
          <w:szCs w:val="22"/>
        </w:rPr>
        <w:t>均通过API、订阅、私有化部署等多种形式向客户输出大模型技术服务。</w:t>
      </w:r>
    </w:p>
    <w:p w14:paraId="1DF6D399" w14:textId="21205985" w:rsidR="00F65D79" w:rsidRPr="00660147" w:rsidRDefault="00F65D79" w:rsidP="005A7DD3">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表：国内主流大模型开闭源状态一览</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119"/>
        <w:gridCol w:w="4417"/>
      </w:tblGrid>
      <w:tr w:rsidR="00F65D79" w:rsidRPr="00660147" w14:paraId="5D2E4AF1" w14:textId="77777777" w:rsidTr="00F65D79">
        <w:trPr>
          <w:trHeight w:val="300"/>
          <w:jc w:val="center"/>
        </w:trPr>
        <w:tc>
          <w:tcPr>
            <w:tcW w:w="1696" w:type="dxa"/>
            <w:vAlign w:val="center"/>
            <w:hideMark/>
          </w:tcPr>
          <w:p w14:paraId="3DB69F9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厂商</w:t>
            </w:r>
          </w:p>
        </w:tc>
        <w:tc>
          <w:tcPr>
            <w:tcW w:w="3119" w:type="dxa"/>
            <w:vAlign w:val="center"/>
            <w:hideMark/>
          </w:tcPr>
          <w:p w14:paraId="221597D6"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主力商业模型（闭源）</w:t>
            </w:r>
          </w:p>
        </w:tc>
        <w:tc>
          <w:tcPr>
            <w:tcW w:w="4417" w:type="dxa"/>
            <w:vAlign w:val="center"/>
            <w:hideMark/>
          </w:tcPr>
          <w:p w14:paraId="316EB73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开源模型系列</w:t>
            </w:r>
          </w:p>
        </w:tc>
      </w:tr>
      <w:tr w:rsidR="00F65D79" w:rsidRPr="00660147" w14:paraId="054205F9" w14:textId="77777777" w:rsidTr="00F65D79">
        <w:trPr>
          <w:trHeight w:val="585"/>
          <w:jc w:val="center"/>
        </w:trPr>
        <w:tc>
          <w:tcPr>
            <w:tcW w:w="1696" w:type="dxa"/>
            <w:vAlign w:val="center"/>
            <w:hideMark/>
          </w:tcPr>
          <w:p w14:paraId="53FDEAB3"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DeepSeek</w:t>
            </w:r>
          </w:p>
        </w:tc>
        <w:tc>
          <w:tcPr>
            <w:tcW w:w="3119" w:type="dxa"/>
            <w:vAlign w:val="center"/>
            <w:hideMark/>
          </w:tcPr>
          <w:p w14:paraId="4F21A520"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无严格区分，API服务基于开源模型提供</w:t>
            </w:r>
          </w:p>
        </w:tc>
        <w:tc>
          <w:tcPr>
            <w:tcW w:w="4417" w:type="dxa"/>
            <w:vAlign w:val="center"/>
            <w:hideMark/>
          </w:tcPr>
          <w:p w14:paraId="58C89D22"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V3、R1、V3.2、V3.1 等全系列</w:t>
            </w:r>
          </w:p>
        </w:tc>
      </w:tr>
      <w:tr w:rsidR="00F65D79" w:rsidRPr="00660147" w14:paraId="682D8B17" w14:textId="77777777" w:rsidTr="00F65D79">
        <w:trPr>
          <w:trHeight w:val="1155"/>
          <w:jc w:val="center"/>
        </w:trPr>
        <w:tc>
          <w:tcPr>
            <w:tcW w:w="1696" w:type="dxa"/>
            <w:vAlign w:val="center"/>
            <w:hideMark/>
          </w:tcPr>
          <w:p w14:paraId="50EBE6B1"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阿里</w:t>
            </w:r>
          </w:p>
        </w:tc>
        <w:tc>
          <w:tcPr>
            <w:tcW w:w="3119" w:type="dxa"/>
            <w:vAlign w:val="center"/>
            <w:hideMark/>
          </w:tcPr>
          <w:p w14:paraId="04FDE7DA"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通义千问-Max、Qwen3.5-Plus、Qwen3-Max</w:t>
            </w:r>
          </w:p>
        </w:tc>
        <w:tc>
          <w:tcPr>
            <w:tcW w:w="4417" w:type="dxa"/>
            <w:vAlign w:val="center"/>
            <w:hideMark/>
          </w:tcPr>
          <w:p w14:paraId="1BB4379E"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Qwen2.5 系列、Qwen3 系列（0.5B–235B）、Qwen3.5-397B、Qwen3-Coder、Qwen3-TTS</w:t>
            </w:r>
          </w:p>
        </w:tc>
      </w:tr>
      <w:tr w:rsidR="00F65D79" w:rsidRPr="00660147" w14:paraId="3870B73D" w14:textId="77777777" w:rsidTr="00F65D79">
        <w:trPr>
          <w:trHeight w:val="870"/>
          <w:jc w:val="center"/>
        </w:trPr>
        <w:tc>
          <w:tcPr>
            <w:tcW w:w="1696" w:type="dxa"/>
            <w:vAlign w:val="center"/>
            <w:hideMark/>
          </w:tcPr>
          <w:p w14:paraId="363DE831"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字节</w:t>
            </w:r>
          </w:p>
        </w:tc>
        <w:tc>
          <w:tcPr>
            <w:tcW w:w="3119" w:type="dxa"/>
            <w:vAlign w:val="center"/>
            <w:hideMark/>
          </w:tcPr>
          <w:p w14:paraId="00017CCB"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豆包-Pro、Doubao-Seed-2.0-pro、豆包-Lite</w:t>
            </w:r>
          </w:p>
        </w:tc>
        <w:tc>
          <w:tcPr>
            <w:tcW w:w="4417" w:type="dxa"/>
            <w:vAlign w:val="center"/>
            <w:hideMark/>
          </w:tcPr>
          <w:p w14:paraId="541D14D1"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部分研究模型（如 Seed-TTS）通过 HuggingFace 开源</w:t>
            </w:r>
          </w:p>
        </w:tc>
      </w:tr>
      <w:tr w:rsidR="00F65D79" w:rsidRPr="00660147" w14:paraId="29506F32" w14:textId="77777777" w:rsidTr="00F65D79">
        <w:trPr>
          <w:trHeight w:val="585"/>
          <w:jc w:val="center"/>
        </w:trPr>
        <w:tc>
          <w:tcPr>
            <w:tcW w:w="1696" w:type="dxa"/>
            <w:vAlign w:val="center"/>
            <w:hideMark/>
          </w:tcPr>
          <w:p w14:paraId="5732619F"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百度</w:t>
            </w:r>
          </w:p>
        </w:tc>
        <w:tc>
          <w:tcPr>
            <w:tcW w:w="3119" w:type="dxa"/>
            <w:vAlign w:val="center"/>
            <w:hideMark/>
          </w:tcPr>
          <w:p w14:paraId="42D7EF06"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文心一言 / ERNIE 4.5、ERNIE 5.0</w:t>
            </w:r>
          </w:p>
        </w:tc>
        <w:tc>
          <w:tcPr>
            <w:tcW w:w="4417" w:type="dxa"/>
            <w:vAlign w:val="center"/>
            <w:hideMark/>
          </w:tcPr>
          <w:p w14:paraId="70F97FFC"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早期部分小模型开源，主力大模型闭源</w:t>
            </w:r>
          </w:p>
        </w:tc>
      </w:tr>
      <w:tr w:rsidR="00F65D79" w:rsidRPr="00660147" w14:paraId="25283571" w14:textId="77777777" w:rsidTr="00F65D79">
        <w:trPr>
          <w:trHeight w:val="585"/>
          <w:jc w:val="center"/>
        </w:trPr>
        <w:tc>
          <w:tcPr>
            <w:tcW w:w="1696" w:type="dxa"/>
            <w:vAlign w:val="center"/>
            <w:hideMark/>
          </w:tcPr>
          <w:p w14:paraId="0DC6A90F"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腾讯</w:t>
            </w:r>
          </w:p>
        </w:tc>
        <w:tc>
          <w:tcPr>
            <w:tcW w:w="3119" w:type="dxa"/>
            <w:vAlign w:val="center"/>
            <w:hideMark/>
          </w:tcPr>
          <w:p w14:paraId="19505A66"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混元-Pro、混元-Lite、混元-Think</w:t>
            </w:r>
          </w:p>
        </w:tc>
        <w:tc>
          <w:tcPr>
            <w:tcW w:w="4417" w:type="dxa"/>
            <w:vAlign w:val="center"/>
            <w:hideMark/>
          </w:tcPr>
          <w:p w14:paraId="3AA8CC81"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无大规模开源动作，主力模型闭源</w:t>
            </w:r>
          </w:p>
        </w:tc>
      </w:tr>
      <w:tr w:rsidR="00F65D79" w:rsidRPr="00660147" w14:paraId="2A788B67" w14:textId="77777777" w:rsidTr="00F65D79">
        <w:trPr>
          <w:trHeight w:val="585"/>
          <w:jc w:val="center"/>
        </w:trPr>
        <w:tc>
          <w:tcPr>
            <w:tcW w:w="1696" w:type="dxa"/>
            <w:vAlign w:val="center"/>
            <w:hideMark/>
          </w:tcPr>
          <w:p w14:paraId="1296E733"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智谱</w:t>
            </w:r>
          </w:p>
        </w:tc>
        <w:tc>
          <w:tcPr>
            <w:tcW w:w="3119" w:type="dxa"/>
            <w:vAlign w:val="center"/>
            <w:hideMark/>
          </w:tcPr>
          <w:p w14:paraId="42305D61"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GLM-5、ChatGLM-6</w:t>
            </w:r>
          </w:p>
        </w:tc>
        <w:tc>
          <w:tcPr>
            <w:tcW w:w="4417" w:type="dxa"/>
            <w:vAlign w:val="center"/>
            <w:hideMark/>
          </w:tcPr>
          <w:p w14:paraId="547B2183"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GLM-4.5 系列、GLM-4-9B、GLM-Edge、QwQ-32B</w:t>
            </w:r>
          </w:p>
        </w:tc>
      </w:tr>
      <w:tr w:rsidR="00F65D79" w:rsidRPr="00660147" w14:paraId="3B876B9D" w14:textId="77777777" w:rsidTr="00F65D79">
        <w:trPr>
          <w:trHeight w:val="585"/>
          <w:jc w:val="center"/>
        </w:trPr>
        <w:tc>
          <w:tcPr>
            <w:tcW w:w="1696" w:type="dxa"/>
            <w:vAlign w:val="center"/>
            <w:hideMark/>
          </w:tcPr>
          <w:p w14:paraId="6D88B7FF"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w:t>
            </w:r>
          </w:p>
        </w:tc>
        <w:tc>
          <w:tcPr>
            <w:tcW w:w="3119" w:type="dxa"/>
            <w:vAlign w:val="center"/>
            <w:hideMark/>
          </w:tcPr>
          <w:p w14:paraId="310799B7"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 K2（商业版）</w:t>
            </w:r>
          </w:p>
        </w:tc>
        <w:tc>
          <w:tcPr>
            <w:tcW w:w="4417" w:type="dxa"/>
            <w:vAlign w:val="center"/>
            <w:hideMark/>
          </w:tcPr>
          <w:p w14:paraId="0BA0C080"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Kimi-K2.5（2026年1月开源）</w:t>
            </w:r>
          </w:p>
        </w:tc>
      </w:tr>
      <w:tr w:rsidR="00F65D79" w:rsidRPr="00660147" w14:paraId="64882984" w14:textId="77777777" w:rsidTr="00F65D79">
        <w:trPr>
          <w:trHeight w:val="585"/>
          <w:jc w:val="center"/>
        </w:trPr>
        <w:tc>
          <w:tcPr>
            <w:tcW w:w="1696" w:type="dxa"/>
            <w:vAlign w:val="center"/>
            <w:hideMark/>
          </w:tcPr>
          <w:p w14:paraId="55382C8B"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MiniMax</w:t>
            </w:r>
          </w:p>
        </w:tc>
        <w:tc>
          <w:tcPr>
            <w:tcW w:w="3119" w:type="dxa"/>
            <w:vAlign w:val="center"/>
            <w:hideMark/>
          </w:tcPr>
          <w:p w14:paraId="6711A76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M2、MiniMax-Music 2.5</w:t>
            </w:r>
          </w:p>
        </w:tc>
        <w:tc>
          <w:tcPr>
            <w:tcW w:w="4417" w:type="dxa"/>
            <w:vAlign w:val="center"/>
            <w:hideMark/>
          </w:tcPr>
          <w:p w14:paraId="2B505BF6"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2025 年后部分模型开源</w:t>
            </w:r>
          </w:p>
        </w:tc>
      </w:tr>
      <w:tr w:rsidR="00F65D79" w:rsidRPr="00660147" w14:paraId="0BCF3AE0" w14:textId="77777777" w:rsidTr="00F65D79">
        <w:trPr>
          <w:trHeight w:val="585"/>
          <w:jc w:val="center"/>
        </w:trPr>
        <w:tc>
          <w:tcPr>
            <w:tcW w:w="1696" w:type="dxa"/>
            <w:vAlign w:val="center"/>
            <w:hideMark/>
          </w:tcPr>
          <w:p w14:paraId="56AD9D45"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lastRenderedPageBreak/>
              <w:t>华为</w:t>
            </w:r>
          </w:p>
        </w:tc>
        <w:tc>
          <w:tcPr>
            <w:tcW w:w="3119" w:type="dxa"/>
            <w:vAlign w:val="center"/>
            <w:hideMark/>
          </w:tcPr>
          <w:p w14:paraId="5D77449E"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盘古-5.0</w:t>
            </w:r>
          </w:p>
        </w:tc>
        <w:tc>
          <w:tcPr>
            <w:tcW w:w="4417" w:type="dxa"/>
            <w:vAlign w:val="center"/>
            <w:hideMark/>
          </w:tcPr>
          <w:p w14:paraId="43905876"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极少开源，以闭源为主</w:t>
            </w:r>
          </w:p>
        </w:tc>
      </w:tr>
      <w:tr w:rsidR="00F65D79" w:rsidRPr="00660147" w14:paraId="7DEFFADE" w14:textId="77777777" w:rsidTr="00F65D79">
        <w:trPr>
          <w:trHeight w:val="300"/>
          <w:jc w:val="center"/>
        </w:trPr>
        <w:tc>
          <w:tcPr>
            <w:tcW w:w="1696" w:type="dxa"/>
            <w:vAlign w:val="center"/>
            <w:hideMark/>
          </w:tcPr>
          <w:p w14:paraId="2812506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讯飞</w:t>
            </w:r>
          </w:p>
        </w:tc>
        <w:tc>
          <w:tcPr>
            <w:tcW w:w="3119" w:type="dxa"/>
            <w:vAlign w:val="center"/>
            <w:hideMark/>
          </w:tcPr>
          <w:p w14:paraId="61A385FD"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星火-4.0</w:t>
            </w:r>
          </w:p>
        </w:tc>
        <w:tc>
          <w:tcPr>
            <w:tcW w:w="4417" w:type="dxa"/>
            <w:vAlign w:val="center"/>
            <w:hideMark/>
          </w:tcPr>
          <w:p w14:paraId="59581D71"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极少</w:t>
            </w:r>
          </w:p>
        </w:tc>
      </w:tr>
      <w:tr w:rsidR="00F65D79" w:rsidRPr="00660147" w14:paraId="067EAF31" w14:textId="77777777" w:rsidTr="00F65D79">
        <w:trPr>
          <w:trHeight w:val="300"/>
          <w:jc w:val="center"/>
        </w:trPr>
        <w:tc>
          <w:tcPr>
            <w:tcW w:w="1696" w:type="dxa"/>
            <w:vAlign w:val="center"/>
            <w:hideMark/>
          </w:tcPr>
          <w:p w14:paraId="7A781640"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小米</w:t>
            </w:r>
          </w:p>
        </w:tc>
        <w:tc>
          <w:tcPr>
            <w:tcW w:w="3119" w:type="dxa"/>
            <w:vAlign w:val="center"/>
            <w:hideMark/>
          </w:tcPr>
          <w:p w14:paraId="6BFA7BF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MiMo-V2-Pro</w:t>
            </w:r>
          </w:p>
        </w:tc>
        <w:tc>
          <w:tcPr>
            <w:tcW w:w="4417" w:type="dxa"/>
            <w:vAlign w:val="center"/>
            <w:hideMark/>
          </w:tcPr>
          <w:p w14:paraId="037300DD"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MiMo-V2-Flash</w:t>
            </w:r>
          </w:p>
        </w:tc>
      </w:tr>
      <w:tr w:rsidR="00F65D79" w:rsidRPr="00660147" w14:paraId="4D5A8FC7" w14:textId="77777777" w:rsidTr="00F65D79">
        <w:trPr>
          <w:trHeight w:val="300"/>
          <w:jc w:val="center"/>
        </w:trPr>
        <w:tc>
          <w:tcPr>
            <w:tcW w:w="1696" w:type="dxa"/>
            <w:vAlign w:val="center"/>
            <w:hideMark/>
          </w:tcPr>
          <w:p w14:paraId="45138C85"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零一万物</w:t>
            </w:r>
          </w:p>
        </w:tc>
        <w:tc>
          <w:tcPr>
            <w:tcW w:w="3119" w:type="dxa"/>
            <w:vAlign w:val="center"/>
            <w:hideMark/>
          </w:tcPr>
          <w:p w14:paraId="1A029A1E"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Yi-Large</w:t>
            </w:r>
          </w:p>
        </w:tc>
        <w:tc>
          <w:tcPr>
            <w:tcW w:w="4417" w:type="dxa"/>
            <w:vAlign w:val="center"/>
            <w:hideMark/>
          </w:tcPr>
          <w:p w14:paraId="70DF3588"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Yi-34B、Yi-1.5 系列</w:t>
            </w:r>
          </w:p>
        </w:tc>
      </w:tr>
      <w:tr w:rsidR="00F65D79" w:rsidRPr="00660147" w14:paraId="5F79AD6B" w14:textId="77777777" w:rsidTr="00F65D79">
        <w:trPr>
          <w:trHeight w:val="585"/>
          <w:jc w:val="center"/>
        </w:trPr>
        <w:tc>
          <w:tcPr>
            <w:tcW w:w="1696" w:type="dxa"/>
            <w:vAlign w:val="center"/>
            <w:hideMark/>
          </w:tcPr>
          <w:p w14:paraId="264AB277"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百川智能</w:t>
            </w:r>
          </w:p>
        </w:tc>
        <w:tc>
          <w:tcPr>
            <w:tcW w:w="3119" w:type="dxa"/>
            <w:vAlign w:val="center"/>
            <w:hideMark/>
          </w:tcPr>
          <w:p w14:paraId="1AAD4BA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Baichuan 4</w:t>
            </w:r>
          </w:p>
        </w:tc>
        <w:tc>
          <w:tcPr>
            <w:tcW w:w="4417" w:type="dxa"/>
            <w:vAlign w:val="center"/>
            <w:hideMark/>
          </w:tcPr>
          <w:p w14:paraId="053C505D"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早期 Baichuan-7B/13B 开源，现转向闭源</w:t>
            </w:r>
          </w:p>
        </w:tc>
      </w:tr>
      <w:tr w:rsidR="00F65D79" w:rsidRPr="00660147" w14:paraId="2C294D26" w14:textId="77777777" w:rsidTr="00F65D79">
        <w:trPr>
          <w:trHeight w:val="285"/>
          <w:jc w:val="center"/>
        </w:trPr>
        <w:tc>
          <w:tcPr>
            <w:tcW w:w="1696" w:type="dxa"/>
            <w:vAlign w:val="center"/>
            <w:hideMark/>
          </w:tcPr>
          <w:p w14:paraId="59FEBA4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阶跃星辰</w:t>
            </w:r>
          </w:p>
        </w:tc>
        <w:tc>
          <w:tcPr>
            <w:tcW w:w="3119" w:type="dxa"/>
            <w:vAlign w:val="center"/>
            <w:hideMark/>
          </w:tcPr>
          <w:p w14:paraId="1C3D6940"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Step 系列</w:t>
            </w:r>
          </w:p>
        </w:tc>
        <w:tc>
          <w:tcPr>
            <w:tcW w:w="4417" w:type="dxa"/>
            <w:vAlign w:val="center"/>
            <w:hideMark/>
          </w:tcPr>
          <w:p w14:paraId="7AFB70D9" w14:textId="77777777" w:rsidR="00F65D79" w:rsidRPr="00660147" w:rsidRDefault="00F65D79" w:rsidP="003D4DA5">
            <w:pPr>
              <w:widowControl/>
              <w:spacing w:after="0" w:line="240" w:lineRule="auto"/>
              <w:jc w:val="both"/>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w:t>
            </w:r>
          </w:p>
        </w:tc>
      </w:tr>
    </w:tbl>
    <w:p w14:paraId="7CDB1752" w14:textId="11C39F41" w:rsidR="004F7E65" w:rsidRPr="00660147" w:rsidRDefault="005A4D99" w:rsidP="003D4DA5">
      <w:pPr>
        <w:pStyle w:val="4"/>
        <w:jc w:val="both"/>
        <w:rPr>
          <w:rFonts w:ascii="楷体" w:eastAsia="楷体" w:hAnsi="楷体" w:hint="eastAsia"/>
          <w:color w:val="000000" w:themeColor="text1"/>
        </w:rPr>
      </w:pPr>
      <w:r w:rsidRPr="00660147">
        <w:rPr>
          <w:rFonts w:ascii="楷体" w:eastAsia="楷体" w:hAnsi="楷体" w:hint="eastAsia"/>
          <w:color w:val="000000" w:themeColor="text1"/>
        </w:rPr>
        <w:t>2.</w:t>
      </w:r>
      <w:r w:rsidR="00C06109" w:rsidRPr="00660147">
        <w:rPr>
          <w:rFonts w:ascii="楷体" w:eastAsia="楷体" w:hAnsi="楷体" w:hint="eastAsia"/>
          <w:color w:val="000000" w:themeColor="text1"/>
        </w:rPr>
        <w:t>1.2.2</w:t>
      </w:r>
      <w:r w:rsidRPr="00660147">
        <w:rPr>
          <w:rFonts w:ascii="楷体" w:eastAsia="楷体" w:hAnsi="楷体" w:hint="eastAsia"/>
          <w:color w:val="000000" w:themeColor="text1"/>
        </w:rPr>
        <w:t xml:space="preserve"> 发展趋势</w:t>
      </w:r>
    </w:p>
    <w:p w14:paraId="7C1AA1FE"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中游产业正从早期的“参数竞赛”和“技术叙事”阶段，全面转向“商业化效率”与“落地能力”竞争阶段。</w:t>
      </w:r>
    </w:p>
    <w:p w14:paraId="24C57B32"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技术范式演进上，技术重点从单纯扩大参数规模，转向强化推理能力（思维链CoT）、多模态融合以及智能体（Agent）基础能力建设。多智能体协作、本地网关和cli工具操作能力、长记忆、长文本、自主任务执行等正在成为模型的底层标配。</w:t>
      </w:r>
    </w:p>
    <w:p w14:paraId="4713F29F" w14:textId="72C1C4E9" w:rsidR="004F7E65" w:rsidRPr="00660147" w:rsidRDefault="005A4D99" w:rsidP="003D4DA5">
      <w:pPr>
        <w:ind w:firstLine="420"/>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商业模式分化与探索</w:t>
      </w:r>
      <w:r w:rsidR="0054546B" w:rsidRPr="00660147">
        <w:rPr>
          <w:rFonts w:ascii="楷体" w:eastAsia="楷体" w:hAnsi="楷体" w:hint="eastAsia"/>
          <w:color w:val="000000" w:themeColor="text1"/>
          <w:szCs w:val="22"/>
        </w:rPr>
        <w:t>在国内</w:t>
      </w:r>
      <w:r w:rsidRPr="00660147">
        <w:rPr>
          <w:rFonts w:ascii="楷体" w:eastAsia="楷体" w:hAnsi="楷体" w:hint="eastAsia"/>
          <w:color w:val="000000" w:themeColor="text1"/>
          <w:szCs w:val="22"/>
        </w:rPr>
        <w:t>主要呈现两种路径</w:t>
      </w:r>
      <w:r w:rsidR="005C7F4D"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一是To B深度定制模式，聚焦</w:t>
      </w:r>
      <w:proofErr w:type="gramStart"/>
      <w:r w:rsidRPr="00660147">
        <w:rPr>
          <w:rFonts w:ascii="楷体" w:eastAsia="楷体" w:hAnsi="楷体" w:hint="eastAsia"/>
          <w:color w:val="000000" w:themeColor="text1"/>
          <w:szCs w:val="22"/>
        </w:rPr>
        <w:t>政企信创</w:t>
      </w:r>
      <w:proofErr w:type="gramEnd"/>
      <w:r w:rsidRPr="00660147">
        <w:rPr>
          <w:rFonts w:ascii="楷体" w:eastAsia="楷体" w:hAnsi="楷体" w:hint="eastAsia"/>
          <w:color w:val="000000" w:themeColor="text1"/>
          <w:szCs w:val="22"/>
        </w:rPr>
        <w:t>市场，通过私有化部署和行业定制获取收入，毛利率较高，但规模化难度大；二是To C产品化与全球化模式，收入超70%来自C端，全球化特征突出，通过标准化API和订阅服务实现快速扩张，但毛利率相对较低。</w:t>
      </w:r>
      <w:r w:rsidR="005C7F4D" w:rsidRPr="00660147">
        <w:rPr>
          <w:rFonts w:ascii="楷体" w:eastAsia="楷体" w:hAnsi="楷体" w:hint="eastAsia"/>
          <w:color w:val="000000" w:themeColor="text1"/>
          <w:szCs w:val="22"/>
        </w:rPr>
        <w:t>海外市场情况也与国内类似，以C端为提供</w:t>
      </w:r>
      <w:r w:rsidR="005C7F4D" w:rsidRPr="00660147">
        <w:rPr>
          <w:rFonts w:ascii="楷体" w:eastAsia="楷体" w:hAnsi="楷体"/>
          <w:color w:val="000000" w:themeColor="text1"/>
          <w:szCs w:val="22"/>
        </w:rPr>
        <w:t>稳定、可预测的现金流，支撑研发开支；B端API和企业服务则承担打开行业渗透率、建立生态壁垒</w:t>
      </w:r>
      <w:r w:rsidR="00602FC8" w:rsidRPr="00660147">
        <w:rPr>
          <w:rFonts w:ascii="楷体" w:eastAsia="楷体" w:hAnsi="楷体" w:hint="eastAsia"/>
          <w:color w:val="000000" w:themeColor="text1"/>
          <w:szCs w:val="22"/>
        </w:rPr>
        <w:t>和领导地位</w:t>
      </w:r>
      <w:r w:rsidR="005C7F4D" w:rsidRPr="00660147">
        <w:rPr>
          <w:rFonts w:ascii="楷体" w:eastAsia="楷体" w:hAnsi="楷体"/>
          <w:color w:val="000000" w:themeColor="text1"/>
          <w:szCs w:val="22"/>
        </w:rPr>
        <w:t>的战略任务。OpenAI和Anthropic都遵循这一逻辑</w:t>
      </w:r>
      <w:r w:rsidR="005C7F4D" w:rsidRPr="00660147">
        <w:rPr>
          <w:rFonts w:ascii="楷体" w:eastAsia="楷体" w:hAnsi="楷体" w:hint="eastAsia"/>
          <w:color w:val="000000" w:themeColor="text1"/>
          <w:szCs w:val="22"/>
        </w:rPr>
        <w:t>，</w:t>
      </w:r>
      <w:r w:rsidR="00602FC8" w:rsidRPr="00660147">
        <w:rPr>
          <w:rFonts w:ascii="楷体" w:eastAsia="楷体" w:hAnsi="楷体" w:hint="eastAsia"/>
          <w:color w:val="000000" w:themeColor="text1"/>
          <w:szCs w:val="22"/>
        </w:rPr>
        <w:t>海外对于B端的争夺，</w:t>
      </w:r>
      <w:r w:rsidR="005C7F4D" w:rsidRPr="00660147">
        <w:rPr>
          <w:rFonts w:ascii="楷体" w:eastAsia="楷体" w:hAnsi="楷体" w:hint="eastAsia"/>
          <w:color w:val="000000" w:themeColor="text1"/>
          <w:szCs w:val="22"/>
        </w:rPr>
        <w:t>从2026年初，OpenAI和Anthropic对于美国国防部订单，和Anthropic深度嵌入各大金融机构合作版图一事</w:t>
      </w:r>
      <w:r w:rsidR="00EF2F07" w:rsidRPr="00660147">
        <w:rPr>
          <w:rFonts w:ascii="楷体" w:eastAsia="楷体" w:hAnsi="楷体" w:hint="eastAsia"/>
          <w:color w:val="000000" w:themeColor="text1"/>
          <w:szCs w:val="22"/>
        </w:rPr>
        <w:t>就可见一斑。</w:t>
      </w:r>
    </w:p>
    <w:p w14:paraId="720E4937" w14:textId="48B6C6A2" w:rsidR="00D161A8" w:rsidRPr="00660147" w:rsidRDefault="00D161A8" w:rsidP="00657620">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表：海外三大闭源厂商战略与盈利逻辑一览</w:t>
      </w:r>
    </w:p>
    <w:tbl>
      <w:tblPr>
        <w:tblStyle w:val="af2"/>
        <w:tblW w:w="9781" w:type="dxa"/>
        <w:tblInd w:w="-714" w:type="dxa"/>
        <w:tblLook w:val="04A0" w:firstRow="1" w:lastRow="0" w:firstColumn="1" w:lastColumn="0" w:noHBand="0" w:noVBand="1"/>
      </w:tblPr>
      <w:tblGrid>
        <w:gridCol w:w="1206"/>
        <w:gridCol w:w="1401"/>
        <w:gridCol w:w="2113"/>
        <w:gridCol w:w="5061"/>
      </w:tblGrid>
      <w:tr w:rsidR="00985A4E" w:rsidRPr="00660147" w14:paraId="1BCAFD6C" w14:textId="77777777" w:rsidTr="00D161A8">
        <w:trPr>
          <w:trHeight w:val="285"/>
        </w:trPr>
        <w:tc>
          <w:tcPr>
            <w:tcW w:w="1145" w:type="dxa"/>
            <w:hideMark/>
          </w:tcPr>
          <w:p w14:paraId="458A91B5"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企业</w:t>
            </w:r>
          </w:p>
        </w:tc>
        <w:tc>
          <w:tcPr>
            <w:tcW w:w="1407" w:type="dxa"/>
            <w:hideMark/>
          </w:tcPr>
          <w:p w14:paraId="70049B0D"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代表模型</w:t>
            </w:r>
          </w:p>
        </w:tc>
        <w:tc>
          <w:tcPr>
            <w:tcW w:w="2129" w:type="dxa"/>
            <w:hideMark/>
          </w:tcPr>
          <w:p w14:paraId="7BBD3ACE"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To B &amp; To C 抉择</w:t>
            </w:r>
          </w:p>
        </w:tc>
        <w:tc>
          <w:tcPr>
            <w:tcW w:w="5100" w:type="dxa"/>
            <w:hideMark/>
          </w:tcPr>
          <w:p w14:paraId="2585DF0F"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盈利结构</w:t>
            </w:r>
          </w:p>
        </w:tc>
      </w:tr>
      <w:tr w:rsidR="00985A4E" w:rsidRPr="00660147" w14:paraId="40E3D00F" w14:textId="77777777" w:rsidTr="00D161A8">
        <w:trPr>
          <w:trHeight w:val="1140"/>
        </w:trPr>
        <w:tc>
          <w:tcPr>
            <w:tcW w:w="1145" w:type="dxa"/>
            <w:hideMark/>
          </w:tcPr>
          <w:p w14:paraId="5568C9D6"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Anthropic</w:t>
            </w:r>
          </w:p>
        </w:tc>
        <w:tc>
          <w:tcPr>
            <w:tcW w:w="1407" w:type="dxa"/>
            <w:hideMark/>
          </w:tcPr>
          <w:p w14:paraId="3013FA06"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Claude系列</w:t>
            </w:r>
          </w:p>
        </w:tc>
        <w:tc>
          <w:tcPr>
            <w:tcW w:w="2129" w:type="dxa"/>
            <w:hideMark/>
          </w:tcPr>
          <w:p w14:paraId="096B8582"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 xml:space="preserve">坚定To B </w:t>
            </w:r>
          </w:p>
        </w:tc>
        <w:tc>
          <w:tcPr>
            <w:tcW w:w="5100" w:type="dxa"/>
            <w:hideMark/>
          </w:tcPr>
          <w:p w14:paraId="7CED9115"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To B收入80%，To C收入仅占20%。2026年3月报告首次采购AI工具的企业中有73%选择了Anthropic。拳头产品企业级编码智能体Claude Code是拉动增长的核心引擎。其在企业级编码Agent市场的占有率高达54%，远超OpenAI的21%</w:t>
            </w:r>
          </w:p>
        </w:tc>
      </w:tr>
      <w:tr w:rsidR="00985A4E" w:rsidRPr="00660147" w14:paraId="13E772A5" w14:textId="77777777" w:rsidTr="00D161A8">
        <w:trPr>
          <w:trHeight w:val="1140"/>
        </w:trPr>
        <w:tc>
          <w:tcPr>
            <w:tcW w:w="1145" w:type="dxa"/>
            <w:hideMark/>
          </w:tcPr>
          <w:p w14:paraId="7EB1ABFB"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OpenAI</w:t>
            </w:r>
          </w:p>
        </w:tc>
        <w:tc>
          <w:tcPr>
            <w:tcW w:w="1407" w:type="dxa"/>
            <w:hideMark/>
          </w:tcPr>
          <w:p w14:paraId="011FC8E7"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GPT系列</w:t>
            </w:r>
          </w:p>
        </w:tc>
        <w:tc>
          <w:tcPr>
            <w:tcW w:w="2129" w:type="dxa"/>
            <w:hideMark/>
          </w:tcPr>
          <w:p w14:paraId="3B6AFE31"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早期以To C为主，正全力转向To B</w:t>
            </w:r>
          </w:p>
        </w:tc>
        <w:tc>
          <w:tcPr>
            <w:tcW w:w="5100" w:type="dxa"/>
            <w:hideMark/>
          </w:tcPr>
          <w:p w14:paraId="12A66117"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To C收入占总收入60-70%之间，但是转化率极差，UBS在三月的调研显示，gpt系列在海外C端中有94%为免费用户。即使在美国和欧洲 ，这一比例依然高达73%。C端正在对OpenAI的业务成本造成显著压力，使其不得不转向B端经营。</w:t>
            </w:r>
          </w:p>
        </w:tc>
      </w:tr>
      <w:tr w:rsidR="00985A4E" w:rsidRPr="00660147" w14:paraId="25360575" w14:textId="77777777" w:rsidTr="00D161A8">
        <w:trPr>
          <w:trHeight w:val="1710"/>
        </w:trPr>
        <w:tc>
          <w:tcPr>
            <w:tcW w:w="1145" w:type="dxa"/>
            <w:hideMark/>
          </w:tcPr>
          <w:p w14:paraId="3125DBC4"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lastRenderedPageBreak/>
              <w:t>Google</w:t>
            </w:r>
          </w:p>
        </w:tc>
        <w:tc>
          <w:tcPr>
            <w:tcW w:w="1407" w:type="dxa"/>
            <w:hideMark/>
          </w:tcPr>
          <w:p w14:paraId="146CAE0C"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gemini系列</w:t>
            </w:r>
          </w:p>
        </w:tc>
        <w:tc>
          <w:tcPr>
            <w:tcW w:w="2129" w:type="dxa"/>
            <w:hideMark/>
          </w:tcPr>
          <w:p w14:paraId="285DAC8C"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To C业务健壮，To B业务先天格局优秀，正在双规并行</w:t>
            </w:r>
          </w:p>
        </w:tc>
        <w:tc>
          <w:tcPr>
            <w:tcW w:w="5100" w:type="dxa"/>
            <w:hideMark/>
          </w:tcPr>
          <w:p w14:paraId="2CB13474" w14:textId="77777777" w:rsidR="00985A4E" w:rsidRPr="00660147" w:rsidRDefault="00985A4E" w:rsidP="003D4DA5">
            <w:pPr>
              <w:jc w:val="both"/>
              <w:rPr>
                <w:rFonts w:ascii="楷体" w:eastAsia="楷体" w:hAnsi="楷体" w:hint="eastAsia"/>
                <w:color w:val="000000" w:themeColor="text1"/>
              </w:rPr>
            </w:pPr>
            <w:r w:rsidRPr="00660147">
              <w:rPr>
                <w:rFonts w:ascii="楷体" w:eastAsia="楷体" w:hAnsi="楷体"/>
                <w:color w:val="000000" w:themeColor="text1"/>
              </w:rPr>
              <w:t>To C收入无显示披露，预测不应低于50-55%，gemini的To C客群在业内仅次于OpenAI。且由于其背靠谷歌的特殊性，并非大模型领域的pureplayer，故其业务难以通过纯粹的BC分析界定。其广告业务强大，成熟且多元，是最大的收入来源之一。云业务/工作空间业务使得其在办公领域具有强烈的引流拉新动力。目前谷歌也在积极布局大模型在B端业务，尝试双轨运行</w:t>
            </w:r>
          </w:p>
        </w:tc>
      </w:tr>
    </w:tbl>
    <w:p w14:paraId="43A9EE70" w14:textId="38D07F1C" w:rsidR="00985A4E" w:rsidRPr="00660147" w:rsidRDefault="00D161A8" w:rsidP="003D4DA5">
      <w:pPr>
        <w:jc w:val="both"/>
        <w:rPr>
          <w:rFonts w:ascii="楷体" w:eastAsia="楷体" w:hAnsi="楷体" w:hint="eastAsia"/>
          <w:color w:val="000000" w:themeColor="text1"/>
        </w:rPr>
      </w:pPr>
      <w:r w:rsidRPr="00660147">
        <w:rPr>
          <w:rFonts w:ascii="楷体" w:eastAsia="楷体" w:hAnsi="楷体" w:hint="eastAsia"/>
          <w:color w:val="000000" w:themeColor="text1"/>
        </w:rPr>
        <w:t>数据来源：UBS，Anthropic revenue 2026</w:t>
      </w:r>
    </w:p>
    <w:p w14:paraId="2FC7EF78" w14:textId="0D23D73C" w:rsidR="004F7E65" w:rsidRPr="00660147" w:rsidRDefault="00EF2F0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盈利能力和可持续性逐渐成为投资的焦点，资本市场关注点已转向收入质量、毛利率改善及清晰的盈利拐点预期。尽管行业仍普遍亏损，但头部公司已展示出强劲的收入增长。</w:t>
      </w:r>
    </w:p>
    <w:p w14:paraId="243A9927" w14:textId="3D7086A0" w:rsidR="004F7E65" w:rsidRPr="00D357CC" w:rsidRDefault="00C06109" w:rsidP="003D4DA5">
      <w:pPr>
        <w:pStyle w:val="3"/>
        <w:jc w:val="both"/>
        <w:rPr>
          <w:rFonts w:ascii="楷体" w:eastAsia="楷体" w:hAnsi="楷体" w:hint="eastAsia"/>
          <w:color w:val="000000" w:themeColor="text1"/>
          <w:sz w:val="30"/>
          <w:szCs w:val="30"/>
        </w:rPr>
      </w:pPr>
      <w:bookmarkStart w:id="11" w:name="_Toc228444762"/>
      <w:r w:rsidRPr="00D357CC">
        <w:rPr>
          <w:rFonts w:ascii="楷体" w:eastAsia="楷体" w:hAnsi="楷体" w:hint="eastAsia"/>
          <w:color w:val="000000" w:themeColor="text1"/>
          <w:sz w:val="30"/>
          <w:szCs w:val="30"/>
        </w:rPr>
        <w:t>2.1.3 下游：应用与产品落地</w:t>
      </w:r>
      <w:bookmarkEnd w:id="11"/>
    </w:p>
    <w:p w14:paraId="771221E1" w14:textId="5C861A13" w:rsidR="004F7E65" w:rsidRPr="00660147" w:rsidRDefault="00C06109" w:rsidP="003D4DA5">
      <w:pPr>
        <w:pStyle w:val="4"/>
        <w:jc w:val="both"/>
        <w:rPr>
          <w:rFonts w:ascii="楷体" w:eastAsia="楷体" w:hAnsi="楷体" w:hint="eastAsia"/>
          <w:color w:val="000000" w:themeColor="text1"/>
        </w:rPr>
      </w:pPr>
      <w:r w:rsidRPr="00660147">
        <w:rPr>
          <w:rFonts w:ascii="楷体" w:eastAsia="楷体" w:hAnsi="楷体" w:hint="eastAsia"/>
          <w:color w:val="000000" w:themeColor="text1"/>
        </w:rPr>
        <w:t>2.1.3.1 核心构成</w:t>
      </w:r>
    </w:p>
    <w:p w14:paraId="0DAA997C" w14:textId="36B72D70" w:rsidR="004F7E65" w:rsidRPr="00660147" w:rsidRDefault="005A4D99" w:rsidP="003D4DA5">
      <w:pPr>
        <w:ind w:firstLine="420"/>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大模型应用正以前所未有的速度向各行业渗透，形成从通用工具到行业专有解决方案的矩阵。</w:t>
      </w:r>
      <w:r w:rsidR="00E250DA" w:rsidRPr="00660147">
        <w:rPr>
          <w:rFonts w:ascii="楷体" w:eastAsia="楷体" w:hAnsi="楷体"/>
          <w:color w:val="000000" w:themeColor="text1"/>
          <w:szCs w:val="22"/>
        </w:rPr>
        <w:t>大模型从基础能力到行业落地的路径，本质上是"通用预训练—任务对齐—场景嵌入"的三层压缩过程。基础模型通过海量无标注语料习得语言的通用表征与推理框架，形成可迁移的"世界知识"；随后经由有监督微调与强化学习对齐，将通用能力收敛到特定任务格式（如代码生成、文档摘要、客服对话），获得指令遵循与输出规范性；最终通过RAG检索增强、LoRA轻量适配或Agent工具调用</w:t>
      </w:r>
      <w:r w:rsidR="00E250DA" w:rsidRPr="00660147">
        <w:rPr>
          <w:rFonts w:ascii="楷体" w:eastAsia="楷体" w:hAnsi="楷体" w:hint="eastAsia"/>
          <w:color w:val="000000" w:themeColor="text1"/>
          <w:szCs w:val="22"/>
        </w:rPr>
        <w:t>等I/O方案</w:t>
      </w:r>
      <w:r w:rsidR="00E250DA" w:rsidRPr="00660147">
        <w:rPr>
          <w:rFonts w:ascii="楷体" w:eastAsia="楷体" w:hAnsi="楷体"/>
          <w:color w:val="000000" w:themeColor="text1"/>
          <w:szCs w:val="22"/>
        </w:rPr>
        <w:t>，将模型嵌入企业私有数据流与业务系统（如金融投研报告生成、医疗影像辅助诊断、法律合同审查），在保留基础推理能力的同时注入领域知识、合规约束与操作权限。这一链条的终点并非模型本身，而是以模型为中枢的"人机协同工作流"——模型负责信息处理与初稿生成，人类负责价值判断与最终决策，二者在特定行业的SOP（标准作业程序）中形成闭环。</w:t>
      </w:r>
    </w:p>
    <w:p w14:paraId="43453448" w14:textId="5BB77FBB" w:rsidR="00DE1C29" w:rsidRPr="00660147" w:rsidRDefault="00DE1C29" w:rsidP="00455F9E">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图：AI下游应用百景</w:t>
      </w:r>
    </w:p>
    <w:p w14:paraId="536011B1" w14:textId="0BC0419C" w:rsidR="007D73ED" w:rsidRPr="00660147" w:rsidRDefault="007D73ED" w:rsidP="003D4DA5">
      <w:pPr>
        <w:jc w:val="both"/>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69A1A468" wp14:editId="442AB700">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15"/>
                    <a:stretch>
                      <a:fillRect/>
                    </a:stretch>
                  </pic:blipFill>
                  <pic:spPr>
                    <a:xfrm>
                      <a:off x="0" y="0"/>
                      <a:ext cx="5274310" cy="2519680"/>
                    </a:xfrm>
                    <a:prstGeom prst="rect">
                      <a:avLst/>
                    </a:prstGeom>
                  </pic:spPr>
                </pic:pic>
              </a:graphicData>
            </a:graphic>
          </wp:inline>
        </w:drawing>
      </w:r>
    </w:p>
    <w:p w14:paraId="6BDB4E7F" w14:textId="29AC179B" w:rsidR="007D73ED" w:rsidRPr="00660147" w:rsidRDefault="007D73ED" w:rsidP="003D4DA5">
      <w:pPr>
        <w:jc w:val="both"/>
        <w:rPr>
          <w:rFonts w:ascii="楷体" w:eastAsia="楷体" w:hAnsi="楷体" w:hint="eastAsia"/>
          <w:color w:val="000000" w:themeColor="text1"/>
        </w:rPr>
      </w:pPr>
      <w:r w:rsidRPr="00660147">
        <w:rPr>
          <w:rFonts w:ascii="楷体" w:eastAsia="楷体" w:hAnsi="楷体" w:hint="eastAsia"/>
          <w:color w:val="000000" w:themeColor="text1"/>
        </w:rPr>
        <w:t>来源：中欧商学院</w:t>
      </w:r>
    </w:p>
    <w:p w14:paraId="64CED2BB" w14:textId="45690281"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To B（企业服务）场景：这是当前商业化落地最稳健、确定性最强的领域。金融、政务、医疗、制造、电商等行业是主力军。应用包括智能客服、代码辅助开发、智能营销、办公自动化、辅助诊断、生产流程优化等。这些场景</w:t>
      </w:r>
      <w:r w:rsidR="00DE1C29" w:rsidRPr="00660147">
        <w:rPr>
          <w:rFonts w:ascii="楷体" w:eastAsia="楷体" w:hAnsi="楷体" w:hint="eastAsia"/>
          <w:color w:val="000000" w:themeColor="text1"/>
          <w:szCs w:val="22"/>
        </w:rPr>
        <w:t>相对确定性高，客户</w:t>
      </w:r>
      <w:r w:rsidRPr="00660147">
        <w:rPr>
          <w:rFonts w:ascii="楷体" w:eastAsia="楷体" w:hAnsi="楷体" w:hint="eastAsia"/>
          <w:color w:val="000000" w:themeColor="text1"/>
          <w:szCs w:val="22"/>
        </w:rPr>
        <w:t>付费意愿强，能够承接算力成本。</w:t>
      </w:r>
    </w:p>
    <w:p w14:paraId="6D7741F9"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To C（消费者）场景：包括AI聊天助手（如豆包、文心一言）、AIGC内容生成工具（文生图、视频生成）、AI社交、个人学习助理等。该模式想象空间大，但受巨头流量把控影响，独立厂商在国内的生存空间被压缩，出海机会更大。</w:t>
      </w:r>
    </w:p>
    <w:p w14:paraId="132AD8D5"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AI智能体（Agent）：这是下游应用演进的重要方向。智能体不再是简单的问答机器人，而是能理解复杂指令、自主规划、调用工具完成任务的“数字员工”。其应用将Token消耗量提升了一个数量级，极大地拉动了中游模型调用和上游推理算力需求。例如，开源项目OpenClaw（“龙虾”）的流行，直接带动了国产大模型调用量的激增。</w:t>
      </w:r>
    </w:p>
    <w:p w14:paraId="6DCD2217"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端侧AI：随着模型轻量化技术的发展，大模型正部署到手机、汽车、IoT设备等终端，实现低延迟、高隐私的本地化智能服务，开辟了新的市场空间。</w:t>
      </w:r>
    </w:p>
    <w:p w14:paraId="71A1CDD4" w14:textId="18C139F0" w:rsidR="004F7E65" w:rsidRPr="00660147" w:rsidRDefault="00C06109" w:rsidP="003D4DA5">
      <w:pPr>
        <w:pStyle w:val="4"/>
        <w:jc w:val="both"/>
        <w:rPr>
          <w:rFonts w:ascii="楷体" w:eastAsia="楷体" w:hAnsi="楷体" w:hint="eastAsia"/>
          <w:color w:val="000000" w:themeColor="text1"/>
        </w:rPr>
      </w:pPr>
      <w:r w:rsidRPr="00660147">
        <w:rPr>
          <w:rFonts w:ascii="楷体" w:eastAsia="楷体" w:hAnsi="楷体" w:hint="eastAsia"/>
          <w:color w:val="000000" w:themeColor="text1"/>
        </w:rPr>
        <w:t>2.1.3.2 发展趋势</w:t>
      </w:r>
    </w:p>
    <w:p w14:paraId="6762396C"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下游应用的发展正深刻改变整个产业链的价值分配和增长逻辑。</w:t>
      </w:r>
    </w:p>
    <w:p w14:paraId="3E41C45E" w14:textId="7F500F7D"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应用模式变革驱动需求暴涨：从"问答式"交互到"智能体"持续执行任务的模式转变，使得单次会话的Token消耗呈几何级数增长。这是推动2026年3月国产大模型周调用量突破 12.96 万亿Token、达到美国市场（3.03万亿）的 4.28 倍的核心原因。</w:t>
      </w:r>
    </w:p>
    <w:p w14:paraId="1F0E8F9C" w14:textId="3D6F2F96"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“应用成功反哺全产业链”逻辑验证：一个成功的下游应用（如“龙虾”智能体）会像多米诺骨牌一样，强力拉动中游模型调用和上游算力需求，验证了“应用-模型-算力”的产业增长飞轮。</w:t>
      </w:r>
    </w:p>
    <w:p w14:paraId="7B8D3E9F" w14:textId="2B44B8DA" w:rsidR="004F7E65" w:rsidRPr="00660147" w:rsidRDefault="001C0665" w:rsidP="003D4DA5">
      <w:pPr>
        <w:pStyle w:val="2"/>
        <w:jc w:val="both"/>
        <w:rPr>
          <w:rFonts w:ascii="楷体" w:eastAsia="楷体" w:hAnsi="楷体" w:hint="eastAsia"/>
          <w:color w:val="000000" w:themeColor="text1"/>
          <w:sz w:val="32"/>
          <w:szCs w:val="36"/>
        </w:rPr>
      </w:pPr>
      <w:bookmarkStart w:id="12" w:name="_Toc228444763"/>
      <w:r w:rsidRPr="00660147">
        <w:rPr>
          <w:rFonts w:ascii="楷体" w:eastAsia="楷体" w:hAnsi="楷体" w:hint="eastAsia"/>
          <w:color w:val="000000" w:themeColor="text1"/>
          <w:sz w:val="32"/>
          <w:szCs w:val="36"/>
        </w:rPr>
        <w:lastRenderedPageBreak/>
        <w:t>2.2 商业</w:t>
      </w:r>
      <w:r w:rsidR="00D85A4D" w:rsidRPr="00660147">
        <w:rPr>
          <w:rFonts w:ascii="楷体" w:eastAsia="楷体" w:hAnsi="楷体" w:hint="eastAsia"/>
          <w:color w:val="000000" w:themeColor="text1"/>
          <w:sz w:val="32"/>
          <w:szCs w:val="36"/>
        </w:rPr>
        <w:t>化情况</w:t>
      </w:r>
      <w:bookmarkEnd w:id="12"/>
    </w:p>
    <w:p w14:paraId="7E235E43" w14:textId="54DAE328" w:rsidR="00387C17" w:rsidRPr="007E3262" w:rsidRDefault="00387C17" w:rsidP="003D4DA5">
      <w:pPr>
        <w:pStyle w:val="3"/>
        <w:jc w:val="both"/>
        <w:rPr>
          <w:rFonts w:ascii="楷体" w:eastAsia="楷体" w:hAnsi="楷体" w:hint="eastAsia"/>
          <w:color w:val="000000" w:themeColor="text1"/>
          <w:sz w:val="30"/>
          <w:szCs w:val="30"/>
        </w:rPr>
      </w:pPr>
      <w:bookmarkStart w:id="13" w:name="_Toc228444764"/>
      <w:r w:rsidRPr="007E3262">
        <w:rPr>
          <w:rFonts w:ascii="楷体" w:eastAsia="楷体" w:hAnsi="楷体" w:hint="eastAsia"/>
          <w:color w:val="000000" w:themeColor="text1"/>
          <w:sz w:val="30"/>
          <w:szCs w:val="30"/>
        </w:rPr>
        <w:t>2.2.1 服务模式</w:t>
      </w:r>
      <w:bookmarkEnd w:id="13"/>
    </w:p>
    <w:p w14:paraId="2DE42501" w14:textId="77777777" w:rsidR="00387C17" w:rsidRPr="00660147" w:rsidRDefault="00387C1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大模型的部署形态是其商业化落地的核心环节，直接决定了服务模式、成本结构、客户覆盖与收入增长曲线。当前，企业级市场已形成以云端部署和本地化部署为主流的两种形态，两者并非简单替代，而是针对不同客户需求、安全等级与成本考量下的互补性选择。随着模型能力提升与市场教育深化，部署形态正呈现动态演进趋势。</w:t>
      </w:r>
    </w:p>
    <w:p w14:paraId="246C6A29" w14:textId="77777777" w:rsidR="00387C17" w:rsidRPr="00660147" w:rsidRDefault="00387C1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从市场规模结构看，本地化部署目前占据主导地位。</w:t>
      </w:r>
    </w:p>
    <w:p w14:paraId="6E3175B7" w14:textId="4268BE79" w:rsidR="00387C17" w:rsidRPr="00660147" w:rsidRDefault="00387C1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本地部署分为两种，一种是物理性本地部署，这类部署一般布设在企业或组织所属的物理机房内，此类机房由一系列为AI存算规划而特殊定制的算力机柜组成，物理部署涉及四类核心模块：算力处理单元（GPU/TPU）、调度与系统平台（CPU+OS主机）、数据存储单元、机柜间高速通讯单元（光模块及光电转化设施）。物理部署的设备成本根据大模型的参数规模和复杂度而定，大模型的参数越高，并发吞吐量越大，算法结构越复杂，物理部署设备的要求就越高。在前超节点时代，一个单机柜的成本可能在数百万到一千万之间不等。而在即将到来的超节点时代中，一个紧耦合的单机柜的成本极有可能超过数千万甚至过亿。因此一般而言，只有财力雄厚的大型企业和组织才会选择进行物理本地部署</w:t>
      </w:r>
      <w:r w:rsidR="00455F9E">
        <w:rPr>
          <w:rFonts w:ascii="楷体" w:eastAsia="楷体" w:hAnsi="楷体" w:hint="eastAsia"/>
          <w:color w:val="000000" w:themeColor="text1"/>
          <w:szCs w:val="22"/>
        </w:rPr>
        <w:t>。</w:t>
      </w:r>
    </w:p>
    <w:p w14:paraId="7A7DF0FA" w14:textId="77777777" w:rsidR="00387C17" w:rsidRPr="00660147" w:rsidRDefault="00387C1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与物理性本地部署相对的是云端私有化部署。这类部署通常向云厂商租赁GPU云服务器或裸金属实例，由客户（或模型厂商代为）将模型部署在租用的云资源上。云资源在底层仍是算力厂商自有物理机房的硬件设备，只是经虚拟化封装后，以网络服务的形态交付给客户使用，客户通过网络访问的"云实例"，在底层仍对应着物理机房中具体的机柜、服务器与加速卡。相比自建机房，云端部署无需一次性采购硬件，初始投入低、上线周期短，可根据业务负载弹性调整算力规模，但长期运行的综合成本通常比物理性本地部署更高。</w:t>
      </w:r>
    </w:p>
    <w:p w14:paraId="4C929EA1" w14:textId="77777777" w:rsidR="00387C17" w:rsidRPr="00660147" w:rsidRDefault="00387C1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除上述两种本地部署外，第三种模式是公有云API服务（亦称MaaS，模型即服务）。在这种模式下，大模型完全托管于模型厂商或云厂商的算力集群中，客户无需租赁或采购任何算力设备，也无需接触模型权重文件，仅通过标准化API接口调用模型的推理能力。服务以Token消耗量或月度订阅额度计费，客户按实际调用量付费。这种模式的本质是智能服务的消费而非资产的持有，初始门槛最低、弹性最高，但模型能力边界、数据隐私策略及定价权完全由服务提供商掌控。</w:t>
      </w:r>
    </w:p>
    <w:p w14:paraId="2FDC716A" w14:textId="77777777" w:rsidR="00387C17" w:rsidRPr="00660147" w:rsidRDefault="00387C17"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根据Frost &amp; Sullivan的数据，2024年中国企业级大语言模型市场规模为47亿元，其中本地化部署占比高达81%，公有云API服务仅占19%。这深刻反映了国内企业客户，尤其是金融、政务、大型央国企等领域，对数据主权、隐私保护和系统稳定性的极致要求。这些客户通常客单价高，合同金额可达百万甚至千万级别，且客户粘性强。</w:t>
      </w:r>
    </w:p>
    <w:p w14:paraId="514C7B4F" w14:textId="7000B876" w:rsidR="00387C17" w:rsidRPr="00660147" w:rsidRDefault="00387C17"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但，</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API服务正展现出更强的增长潜力。</w:t>
      </w:r>
    </w:p>
    <w:p w14:paraId="35F198AC" w14:textId="3C883A76" w:rsidR="00D85A4D" w:rsidRPr="007E3262" w:rsidRDefault="00D85A4D" w:rsidP="003D4DA5">
      <w:pPr>
        <w:pStyle w:val="3"/>
        <w:jc w:val="both"/>
        <w:rPr>
          <w:rFonts w:ascii="楷体" w:eastAsia="楷体" w:hAnsi="楷体" w:hint="eastAsia"/>
          <w:color w:val="000000" w:themeColor="text1"/>
          <w:sz w:val="30"/>
          <w:szCs w:val="30"/>
        </w:rPr>
      </w:pPr>
      <w:bookmarkStart w:id="14" w:name="_Toc228444765"/>
      <w:r w:rsidRPr="007E3262">
        <w:rPr>
          <w:rFonts w:ascii="楷体" w:eastAsia="楷体" w:hAnsi="楷体" w:hint="eastAsia"/>
          <w:color w:val="000000" w:themeColor="text1"/>
          <w:sz w:val="30"/>
          <w:szCs w:val="30"/>
        </w:rPr>
        <w:t>2.2.</w:t>
      </w:r>
      <w:r w:rsidR="00106375" w:rsidRPr="007E3262">
        <w:rPr>
          <w:rFonts w:ascii="楷体" w:eastAsia="楷体" w:hAnsi="楷体" w:hint="eastAsia"/>
          <w:color w:val="000000" w:themeColor="text1"/>
          <w:sz w:val="30"/>
          <w:szCs w:val="30"/>
        </w:rPr>
        <w:t>2</w:t>
      </w:r>
      <w:r w:rsidRPr="007E3262">
        <w:rPr>
          <w:rFonts w:ascii="楷体" w:eastAsia="楷体" w:hAnsi="楷体" w:hint="eastAsia"/>
          <w:color w:val="000000" w:themeColor="text1"/>
          <w:sz w:val="30"/>
          <w:szCs w:val="30"/>
        </w:rPr>
        <w:t xml:space="preserve"> 商业</w:t>
      </w:r>
      <w:r w:rsidR="00387C17" w:rsidRPr="007E3262">
        <w:rPr>
          <w:rFonts w:ascii="楷体" w:eastAsia="楷体" w:hAnsi="楷体" w:hint="eastAsia"/>
          <w:color w:val="000000" w:themeColor="text1"/>
          <w:sz w:val="30"/>
          <w:szCs w:val="30"/>
        </w:rPr>
        <w:t>模式</w:t>
      </w:r>
      <w:bookmarkEnd w:id="14"/>
    </w:p>
    <w:p w14:paraId="74A86546"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大模型商业化目前形成三条清晰路径：API调用（MaaS）、订阅制（SaaS）和私有化部署（On-Premise），各自面向不同客群和使用场景。</w:t>
      </w:r>
    </w:p>
    <w:p w14:paraId="7B423705" w14:textId="56B0683E" w:rsidR="004F7E65" w:rsidRPr="00660147" w:rsidRDefault="005A4D99" w:rsidP="003D4DA5">
      <w:pPr>
        <w:ind w:firstLine="420"/>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API调用是最核心的变现方式，按token计费，input/output分别定价。</w:t>
      </w:r>
      <w:r w:rsidR="001C0665" w:rsidRPr="00660147">
        <w:rPr>
          <w:rFonts w:ascii="楷体" w:eastAsia="楷体" w:hAnsi="楷体" w:hint="eastAsia"/>
          <w:color w:val="000000" w:themeColor="text1"/>
          <w:szCs w:val="22"/>
        </w:rPr>
        <w:t>通常</w:t>
      </w:r>
      <w:r w:rsidRPr="00660147">
        <w:rPr>
          <w:rFonts w:ascii="楷体" w:eastAsia="楷体" w:hAnsi="楷体" w:hint="eastAsia"/>
          <w:color w:val="000000" w:themeColor="text1"/>
          <w:szCs w:val="22"/>
        </w:rPr>
        <w:t>input价格为output的三分之一到十数分之一。客户包括开发者、企业应用集成商和SaaS厂商。2024年Enterprise LLM市场中，云端部署占比约49%，API调用是其中的主导形式。各厂商通过持续降价扩大采用规模：OpenAI GPT-4 Turbo在2023年末定价$10/$30（/前为输入价格，后为输出价格，下同）每百万token，而2026年GPT-5.4已降至$2.50/$15 每百万token。Epoch AI研究显示，同等性能水平的推理价格以每年约5-10倍的速度下降。</w:t>
      </w:r>
    </w:p>
    <w:p w14:paraId="78E8F944" w14:textId="32CC8CFA" w:rsidR="00327FD5" w:rsidRPr="00660147" w:rsidRDefault="00327FD5" w:rsidP="00455F9E">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w:t>
      </w:r>
      <w:r w:rsidR="00455F9E">
        <w:rPr>
          <w:rFonts w:ascii="楷体" w:eastAsia="楷体" w:hAnsi="楷体" w:hint="eastAsia"/>
          <w:color w:val="000000" w:themeColor="text1"/>
          <w:szCs w:val="22"/>
        </w:rPr>
        <w:t>部分</w:t>
      </w:r>
      <w:r w:rsidRPr="00660147">
        <w:rPr>
          <w:rFonts w:ascii="楷体" w:eastAsia="楷体" w:hAnsi="楷体" w:hint="eastAsia"/>
          <w:color w:val="000000" w:themeColor="text1"/>
          <w:szCs w:val="22"/>
        </w:rPr>
        <w:t>大模型I/O价格略</w:t>
      </w:r>
      <w:proofErr w:type="gramStart"/>
      <w:r w:rsidRPr="00660147">
        <w:rPr>
          <w:rFonts w:ascii="楷体" w:eastAsia="楷体" w:hAnsi="楷体" w:hint="eastAsia"/>
          <w:color w:val="000000" w:themeColor="text1"/>
          <w:szCs w:val="22"/>
        </w:rPr>
        <w:t>览</w:t>
      </w:r>
      <w:proofErr w:type="gramEnd"/>
    </w:p>
    <w:p w14:paraId="27FCC6D9" w14:textId="14AA9C69" w:rsidR="004D4EF4" w:rsidRPr="00660147" w:rsidRDefault="004D4EF4" w:rsidP="003D4DA5">
      <w:pPr>
        <w:jc w:val="both"/>
        <w:rPr>
          <w:rFonts w:ascii="楷体" w:eastAsia="楷体" w:hAnsi="楷体" w:hint="eastAsia"/>
          <w:color w:val="000000" w:themeColor="text1"/>
          <w:szCs w:val="22"/>
        </w:rPr>
      </w:pPr>
      <w:r w:rsidRPr="00660147">
        <w:rPr>
          <w:rFonts w:ascii="楷体" w:eastAsia="楷体" w:hAnsi="楷体"/>
          <w:noProof/>
          <w:color w:val="000000" w:themeColor="text1"/>
        </w:rPr>
        <w:drawing>
          <wp:inline distT="0" distB="0" distL="0" distR="0" wp14:anchorId="703F352B" wp14:editId="7EC82402">
            <wp:extent cx="4962525" cy="2161022"/>
            <wp:effectExtent l="0" t="0" r="0" b="0"/>
            <wp:docPr id="210962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1040" name=""/>
                    <pic:cNvPicPr/>
                  </pic:nvPicPr>
                  <pic:blipFill>
                    <a:blip r:embed="rId16"/>
                    <a:stretch>
                      <a:fillRect/>
                    </a:stretch>
                  </pic:blipFill>
                  <pic:spPr>
                    <a:xfrm>
                      <a:off x="0" y="0"/>
                      <a:ext cx="4991987" cy="2173852"/>
                    </a:xfrm>
                    <a:prstGeom prst="rect">
                      <a:avLst/>
                    </a:prstGeom>
                  </pic:spPr>
                </pic:pic>
              </a:graphicData>
            </a:graphic>
          </wp:inline>
        </w:drawing>
      </w:r>
    </w:p>
    <w:p w14:paraId="2BE1C0AD" w14:textId="25ED0B66" w:rsidR="000F43AA" w:rsidRPr="00660147" w:rsidRDefault="00327FD5" w:rsidP="003D4DA5">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数据来源：github，中泰证券</w:t>
      </w:r>
    </w:p>
    <w:p w14:paraId="1086DB04" w14:textId="1274DADB"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208CE659" w14:textId="2BB32031"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订阅制面向终端用户和企业办公场景。OpenAI的ChatGPT Plus（$20/月）、Pro（$200/月</w:t>
      </w:r>
      <w:r w:rsidR="0070608D" w:rsidRPr="00660147">
        <w:rPr>
          <w:rFonts w:ascii="楷体" w:eastAsia="楷体" w:hAnsi="楷体" w:hint="eastAsia"/>
          <w:color w:val="000000" w:themeColor="text1"/>
          <w:szCs w:val="22"/>
        </w:rPr>
        <w:t xml:space="preserve"> </w:t>
      </w:r>
      <w:proofErr w:type="gramStart"/>
      <w:r w:rsidR="0070608D" w:rsidRPr="00660147">
        <w:rPr>
          <w:rFonts w:ascii="楷体" w:eastAsia="楷体" w:hAnsi="楷体" w:hint="eastAsia"/>
          <w:color w:val="000000" w:themeColor="text1"/>
          <w:szCs w:val="22"/>
        </w:rPr>
        <w:t>由于算力紧张</w:t>
      </w:r>
      <w:proofErr w:type="gramEnd"/>
      <w:r w:rsidR="0070608D" w:rsidRPr="00660147">
        <w:rPr>
          <w:rFonts w:ascii="楷体" w:eastAsia="楷体" w:hAnsi="楷体" w:hint="eastAsia"/>
          <w:color w:val="000000" w:themeColor="text1"/>
          <w:szCs w:val="22"/>
        </w:rPr>
        <w:t>，于2026年4月已经取消</w:t>
      </w:r>
      <w:r w:rsidRPr="00660147">
        <w:rPr>
          <w:rFonts w:ascii="楷体" w:eastAsia="楷体" w:hAnsi="楷体" w:hint="eastAsia"/>
          <w:color w:val="000000" w:themeColor="text1"/>
          <w:szCs w:val="22"/>
        </w:rPr>
        <w:t>）和Team（$25/人/月）截至2025年7月拥有约3,500万付费订阅用户，付费转化率约5%。Google Gemini Advanced（$20/月）整合在Google One AI Premium中，截至2025年6月Gemini月活用户达4.5亿。</w:t>
      </w:r>
    </w:p>
    <w:p w14:paraId="586D9928" w14:textId="326F4BB3"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私有化部署主要面向金融、政府、医疗等对数据安全有强要求的行业。根据Forrester和IDC报告，PET（隐私增强技术）市场在2024年达$15.5亿，其中同态加</w:t>
      </w:r>
      <w:r w:rsidRPr="00660147">
        <w:rPr>
          <w:rFonts w:ascii="楷体" w:eastAsia="楷体" w:hAnsi="楷体" w:hint="eastAsia"/>
          <w:color w:val="000000" w:themeColor="text1"/>
          <w:szCs w:val="22"/>
        </w:rPr>
        <w:lastRenderedPageBreak/>
        <w:t>密占31.2%[AInvest, 2026]。企业选择私有化部署的核心驱动包括：数据合规（GDPR、中国《生成式AI管理办法》等）、数据主权诉求和低延迟需求。国内厂商在私有化部署方面具备先天优势</w:t>
      </w:r>
      <w:r w:rsidR="00022086">
        <w:rPr>
          <w:rFonts w:ascii="楷体" w:eastAsia="楷体" w:hAnsi="楷体" w:hint="eastAsia"/>
          <w:color w:val="000000" w:themeColor="text1"/>
          <w:szCs w:val="22"/>
        </w:rPr>
        <w:t>。</w:t>
      </w:r>
    </w:p>
    <w:p w14:paraId="7F996F8A" w14:textId="77777777" w:rsidR="004F7E65" w:rsidRPr="00660147" w:rsidRDefault="005A4D99" w:rsidP="003D4DA5">
      <w:pPr>
        <w:ind w:firstLine="420"/>
        <w:jc w:val="both"/>
        <w:rPr>
          <w:rFonts w:ascii="楷体" w:eastAsia="楷体" w:hAnsi="楷体" w:hint="eastAsia"/>
          <w:color w:val="000000" w:themeColor="text1"/>
        </w:rPr>
      </w:pPr>
      <w:r w:rsidRPr="00660147">
        <w:rPr>
          <w:rFonts w:ascii="楷体" w:eastAsia="楷体" w:hAnsi="楷体" w:hint="eastAsia"/>
          <w:color w:val="000000" w:themeColor="text1"/>
          <w:szCs w:val="22"/>
        </w:rPr>
        <w:t>三条路径并非互斥：头部厂商通常”API + 订阅 + 私有化”三线并行，并通过生态合作伙伴（如Anthropic与AWS Bedrock、Google Cloud Vertex AI的合作）扩大分发渠道。</w:t>
      </w:r>
    </w:p>
    <w:p w14:paraId="3C59036F" w14:textId="77777777" w:rsidR="004F7E65" w:rsidRPr="00660147" w:rsidRDefault="005A4D99" w:rsidP="00455F9E">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rsidRPr="00660147" w14:paraId="59F350E0" w14:textId="77777777">
        <w:trPr>
          <w:trHeight w:val="270"/>
        </w:trPr>
        <w:tc>
          <w:tcPr>
            <w:tcW w:w="1560" w:type="dxa"/>
            <w:hideMark/>
          </w:tcPr>
          <w:p w14:paraId="3DE58E5E"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模式</w:t>
            </w:r>
          </w:p>
        </w:tc>
        <w:tc>
          <w:tcPr>
            <w:tcW w:w="1985" w:type="dxa"/>
            <w:hideMark/>
          </w:tcPr>
          <w:p w14:paraId="2A938C3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说明</w:t>
            </w:r>
          </w:p>
        </w:tc>
        <w:tc>
          <w:tcPr>
            <w:tcW w:w="1984" w:type="dxa"/>
            <w:hideMark/>
          </w:tcPr>
          <w:p w14:paraId="7976A1D8"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收费方式</w:t>
            </w:r>
          </w:p>
        </w:tc>
        <w:tc>
          <w:tcPr>
            <w:tcW w:w="2126" w:type="dxa"/>
            <w:hideMark/>
          </w:tcPr>
          <w:p w14:paraId="572BDE71" w14:textId="11A8EECA" w:rsidR="004F7E65" w:rsidRPr="00660147" w:rsidRDefault="00455F9E" w:rsidP="003D4DA5">
            <w:pPr>
              <w:jc w:val="both"/>
              <w:rPr>
                <w:rFonts w:ascii="楷体" w:eastAsia="楷体" w:hAnsi="楷体" w:hint="eastAsia"/>
                <w:color w:val="000000" w:themeColor="text1"/>
              </w:rPr>
            </w:pPr>
            <w:r>
              <w:rPr>
                <w:rFonts w:ascii="楷体" w:eastAsia="楷体" w:hAnsi="楷体" w:hint="eastAsia"/>
                <w:color w:val="000000" w:themeColor="text1"/>
                <w:szCs w:val="22"/>
              </w:rPr>
              <w:t>主要公司</w:t>
            </w:r>
          </w:p>
        </w:tc>
        <w:tc>
          <w:tcPr>
            <w:tcW w:w="2268" w:type="dxa"/>
            <w:hideMark/>
          </w:tcPr>
          <w:p w14:paraId="4901825F"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盈利现状</w:t>
            </w:r>
          </w:p>
        </w:tc>
      </w:tr>
      <w:tr w:rsidR="004F7E65" w:rsidRPr="00660147" w14:paraId="7A32421D" w14:textId="77777777">
        <w:trPr>
          <w:trHeight w:val="1200"/>
        </w:trPr>
        <w:tc>
          <w:tcPr>
            <w:tcW w:w="1560" w:type="dxa"/>
            <w:hideMark/>
          </w:tcPr>
          <w:p w14:paraId="66727D76"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MaaS（模型即服务）</w:t>
            </w:r>
          </w:p>
        </w:tc>
        <w:tc>
          <w:tcPr>
            <w:tcW w:w="1985" w:type="dxa"/>
            <w:hideMark/>
          </w:tcPr>
          <w:p w14:paraId="5143FAC6"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通过API提供大模型能力，企业按需调用</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降低开发门槛，一站式模型聚合+开发+维护</w:t>
            </w:r>
          </w:p>
        </w:tc>
        <w:tc>
          <w:tcPr>
            <w:tcW w:w="1984" w:type="dxa"/>
            <w:hideMark/>
          </w:tcPr>
          <w:p w14:paraId="37F84EC7"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按Token消耗量计费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少量按内容量（文本/图像/音频）收费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分层定价（基础版免费→企业版付费）</w:t>
            </w:r>
          </w:p>
        </w:tc>
        <w:tc>
          <w:tcPr>
            <w:tcW w:w="2126" w:type="dxa"/>
            <w:hideMark/>
          </w:tcPr>
          <w:p w14:paraId="4BF301C2" w14:textId="32071776"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OpenAI API</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百度文心·千帆</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阿里通义·百炼</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字节火山方舟</w:t>
            </w:r>
          </w:p>
        </w:tc>
        <w:tc>
          <w:tcPr>
            <w:tcW w:w="2268" w:type="dxa"/>
            <w:hideMark/>
          </w:tcPr>
          <w:p w14:paraId="449744AC" w14:textId="3DEBE752"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头部厂商收入增长快</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但整体仍亏损</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毛利率受算力成本制约</w:t>
            </w:r>
          </w:p>
        </w:tc>
      </w:tr>
      <w:tr w:rsidR="004F7E65" w:rsidRPr="00660147" w14:paraId="279A7664" w14:textId="77777777">
        <w:trPr>
          <w:trHeight w:val="960"/>
        </w:trPr>
        <w:tc>
          <w:tcPr>
            <w:tcW w:w="1560" w:type="dxa"/>
            <w:hideMark/>
          </w:tcPr>
          <w:p w14:paraId="751F453F"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本地化/私有化部署</w:t>
            </w:r>
          </w:p>
        </w:tc>
        <w:tc>
          <w:tcPr>
            <w:tcW w:w="1985" w:type="dxa"/>
            <w:hideMark/>
          </w:tcPr>
          <w:p w14:paraId="4BB085AF"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模型部署在企业自有基础设施内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提供行业数据微调、数据加训等服务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注重安全性、可控性和定制化</w:t>
            </w:r>
          </w:p>
        </w:tc>
        <w:tc>
          <w:tcPr>
            <w:tcW w:w="1984" w:type="dxa"/>
            <w:hideMark/>
          </w:tcPr>
          <w:p w14:paraId="4E0577E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项目制收费（一次性+运维）</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License授权费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可能叠加算力硬件销售</w:t>
            </w:r>
          </w:p>
        </w:tc>
        <w:tc>
          <w:tcPr>
            <w:tcW w:w="2126" w:type="dxa"/>
            <w:hideMark/>
          </w:tcPr>
          <w:p w14:paraId="42D5668E" w14:textId="1039DC9A"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智谱（</w:t>
            </w:r>
            <w:r w:rsidR="00F1171C" w:rsidRPr="00660147">
              <w:rPr>
                <w:rFonts w:ascii="楷体" w:eastAsia="楷体" w:hAnsi="楷体" w:hint="eastAsia"/>
                <w:color w:val="000000" w:themeColor="text1"/>
                <w:szCs w:val="22"/>
              </w:rPr>
              <w:t>本地化</w:t>
            </w:r>
            <w:r w:rsidRPr="00660147">
              <w:rPr>
                <w:rFonts w:ascii="楷体" w:eastAsia="楷体" w:hAnsi="楷体" w:hint="eastAsia"/>
                <w:color w:val="000000" w:themeColor="text1"/>
                <w:szCs w:val="22"/>
              </w:rPr>
              <w:t>化部署收入占比高）</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科大讯飞</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百度智能云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阿里云</w:t>
            </w:r>
          </w:p>
        </w:tc>
        <w:tc>
          <w:tcPr>
            <w:tcW w:w="2268" w:type="dxa"/>
            <w:hideMark/>
          </w:tcPr>
          <w:p w14:paraId="0FCC31AD"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客单价高但交付周期长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毛利率高于api调用（本地业务60%+）</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但项目制难以规模化</w:t>
            </w:r>
          </w:p>
        </w:tc>
      </w:tr>
      <w:tr w:rsidR="004F7E65" w:rsidRPr="00660147" w14:paraId="26419873" w14:textId="77777777">
        <w:trPr>
          <w:trHeight w:val="960"/>
        </w:trPr>
        <w:tc>
          <w:tcPr>
            <w:tcW w:w="1560" w:type="dxa"/>
            <w:hideMark/>
          </w:tcPr>
          <w:p w14:paraId="6BBCAB2C"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行业解决方案</w:t>
            </w:r>
          </w:p>
        </w:tc>
        <w:tc>
          <w:tcPr>
            <w:tcW w:w="1985" w:type="dxa"/>
            <w:hideMark/>
          </w:tcPr>
          <w:p w14:paraId="3FFFB6D0"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基于大模型能力，针对垂直行业打造</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完整解决方案（金融、医疗、法律、教育等）</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包含模型+应用+数据+服务的打包方案</w:t>
            </w:r>
          </w:p>
        </w:tc>
        <w:tc>
          <w:tcPr>
            <w:tcW w:w="1984" w:type="dxa"/>
            <w:hideMark/>
          </w:tcPr>
          <w:p w14:paraId="50151EE8"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SaaS订阅费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按项目收费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按效果/结果付费（新兴）</w:t>
            </w:r>
          </w:p>
        </w:tc>
        <w:tc>
          <w:tcPr>
            <w:tcW w:w="2126" w:type="dxa"/>
            <w:hideMark/>
          </w:tcPr>
          <w:p w14:paraId="554F7FD9" w14:textId="741FE6F0"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百度（金融、政务）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阿里（医疗、零售）</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腾讯（企业智能体）</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科大讯飞（教育、医疗）</w:t>
            </w:r>
          </w:p>
        </w:tc>
        <w:tc>
          <w:tcPr>
            <w:tcW w:w="2268" w:type="dxa"/>
            <w:hideMark/>
          </w:tcPr>
          <w:p w14:paraId="65E8924E"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部分场景开始变现</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但多数仍在跑通PMF（取得用户-取得付费用户-付费用户积累）阶段</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传统行业渗透率仍低</w:t>
            </w:r>
          </w:p>
        </w:tc>
      </w:tr>
      <w:tr w:rsidR="004F7E65" w:rsidRPr="00660147" w14:paraId="6F9ED971" w14:textId="77777777">
        <w:trPr>
          <w:trHeight w:val="960"/>
        </w:trPr>
        <w:tc>
          <w:tcPr>
            <w:tcW w:w="1560" w:type="dxa"/>
            <w:hideMark/>
          </w:tcPr>
          <w:p w14:paraId="3D822CA6"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AI Agent/企业智能体</w:t>
            </w:r>
          </w:p>
        </w:tc>
        <w:tc>
          <w:tcPr>
            <w:tcW w:w="1985" w:type="dxa"/>
            <w:hideMark/>
          </w:tcPr>
          <w:p w14:paraId="45F7B0F9"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基于大模型的自主执行代理</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可完成多步骤复杂任务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替代部分人工岗位</w:t>
            </w:r>
          </w:p>
        </w:tc>
        <w:tc>
          <w:tcPr>
            <w:tcW w:w="1984" w:type="dxa"/>
            <w:hideMark/>
          </w:tcPr>
          <w:p w14:paraId="4A4D2409"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按任务/执行次数收费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SaaS订阅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按结果/ROI分成（探索中）</w:t>
            </w:r>
          </w:p>
        </w:tc>
        <w:tc>
          <w:tcPr>
            <w:tcW w:w="2126" w:type="dxa"/>
            <w:hideMark/>
          </w:tcPr>
          <w:p w14:paraId="0C6C5679"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ServiceNow</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Salesforce</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腾讯（元宝Agent）</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中关村科金PowerClaw</w:t>
            </w:r>
          </w:p>
        </w:tc>
        <w:tc>
          <w:tcPr>
            <w:tcW w:w="2268" w:type="dxa"/>
            <w:hideMark/>
          </w:tcPr>
          <w:p w14:paraId="333E145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商业化早期</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2030E TAM约1000亿美元（Goldman）</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企业付费意愿正在验证</w:t>
            </w:r>
          </w:p>
        </w:tc>
      </w:tr>
      <w:tr w:rsidR="004F7E65" w:rsidRPr="00660147" w14:paraId="3FE3F8F5" w14:textId="77777777">
        <w:trPr>
          <w:trHeight w:val="960"/>
        </w:trPr>
        <w:tc>
          <w:tcPr>
            <w:tcW w:w="1560" w:type="dxa"/>
            <w:hideMark/>
          </w:tcPr>
          <w:p w14:paraId="3C08B8B7"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算力+模型捆绑</w:t>
            </w:r>
          </w:p>
        </w:tc>
        <w:tc>
          <w:tcPr>
            <w:tcW w:w="1985" w:type="dxa"/>
            <w:hideMark/>
          </w:tcPr>
          <w:p w14:paraId="35A31747"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云厂商将大模型与云基础设施打包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通过模型需求拉动云业务增长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lastRenderedPageBreak/>
              <w:t>算力成本通过云服务收入回收</w:t>
            </w:r>
          </w:p>
        </w:tc>
        <w:tc>
          <w:tcPr>
            <w:tcW w:w="1984" w:type="dxa"/>
            <w:hideMark/>
          </w:tcPr>
          <w:p w14:paraId="4CC0CD9E"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云服务费（含算力）</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模型调用附加费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一体化定价</w:t>
            </w:r>
          </w:p>
        </w:tc>
        <w:tc>
          <w:tcPr>
            <w:tcW w:w="2126" w:type="dxa"/>
            <w:hideMark/>
          </w:tcPr>
          <w:p w14:paraId="1B9D0389"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阿里云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百度智能云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AWS/Azure/GCP</w:t>
            </w:r>
          </w:p>
        </w:tc>
        <w:tc>
          <w:tcPr>
            <w:tcW w:w="2268" w:type="dxa"/>
            <w:hideMark/>
          </w:tcPr>
          <w:p w14:paraId="719D7024"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云厂商AI相关收入高速增长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3Q25美国云厂商AI Capex +71% YoY</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lastRenderedPageBreak/>
              <w:t>但利润率受算力投入拖累</w:t>
            </w:r>
          </w:p>
        </w:tc>
      </w:tr>
      <w:tr w:rsidR="004F7E65" w:rsidRPr="00660147" w14:paraId="7E5D440C" w14:textId="77777777">
        <w:trPr>
          <w:trHeight w:val="960"/>
        </w:trPr>
        <w:tc>
          <w:tcPr>
            <w:tcW w:w="1560" w:type="dxa"/>
          </w:tcPr>
          <w:p w14:paraId="27D2ADCA"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广告</w:t>
            </w:r>
          </w:p>
        </w:tc>
        <w:tc>
          <w:tcPr>
            <w:tcW w:w="1985" w:type="dxa"/>
          </w:tcPr>
          <w:p w14:paraId="5861EF9B"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分为AI赋能广告制作和AI赋能广告投放</w:t>
            </w:r>
          </w:p>
        </w:tc>
        <w:tc>
          <w:tcPr>
            <w:tcW w:w="1984" w:type="dxa"/>
          </w:tcPr>
          <w:p w14:paraId="4031E340"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商业协议合作</w:t>
            </w:r>
          </w:p>
        </w:tc>
        <w:tc>
          <w:tcPr>
            <w:tcW w:w="2126" w:type="dxa"/>
          </w:tcPr>
          <w:p w14:paraId="54E7F533" w14:textId="0A228E53" w:rsidR="004F7E65" w:rsidRPr="00660147" w:rsidRDefault="00C74216"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Gemini，Vidu，米云等</w:t>
            </w:r>
          </w:p>
        </w:tc>
        <w:tc>
          <w:tcPr>
            <w:tcW w:w="2268" w:type="dxa"/>
          </w:tcPr>
          <w:p w14:paraId="61B6956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目前最成熟的AI变现路径之一</w:t>
            </w:r>
          </w:p>
          <w:p w14:paraId="348E24CD"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ROI可量化，广告主付费意愿强</w:t>
            </w:r>
          </w:p>
          <w:p w14:paraId="4C268F88"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AI从成本中心→利润中心</w:t>
            </w:r>
          </w:p>
        </w:tc>
      </w:tr>
    </w:tbl>
    <w:p w14:paraId="5B0872EC" w14:textId="77777777" w:rsidR="004F7E65" w:rsidRPr="00660147" w:rsidRDefault="004F7E65" w:rsidP="003D4DA5">
      <w:pPr>
        <w:jc w:val="both"/>
        <w:rPr>
          <w:rFonts w:ascii="楷体" w:eastAsia="楷体" w:hAnsi="楷体" w:hint="eastAsia"/>
          <w:color w:val="000000" w:themeColor="text1"/>
        </w:rPr>
      </w:pPr>
    </w:p>
    <w:p w14:paraId="6E2DBD98"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rsidRPr="00660147" w14:paraId="6A8B4992" w14:textId="77777777">
        <w:trPr>
          <w:trHeight w:val="270"/>
        </w:trPr>
        <w:tc>
          <w:tcPr>
            <w:tcW w:w="1560" w:type="dxa"/>
            <w:hideMark/>
          </w:tcPr>
          <w:p w14:paraId="6BCF65B4"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模式</w:t>
            </w:r>
          </w:p>
        </w:tc>
        <w:tc>
          <w:tcPr>
            <w:tcW w:w="1985" w:type="dxa"/>
            <w:hideMark/>
          </w:tcPr>
          <w:p w14:paraId="0E7DA367"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说明</w:t>
            </w:r>
          </w:p>
        </w:tc>
        <w:tc>
          <w:tcPr>
            <w:tcW w:w="1984" w:type="dxa"/>
            <w:hideMark/>
          </w:tcPr>
          <w:p w14:paraId="04F26762"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收费方式</w:t>
            </w:r>
          </w:p>
        </w:tc>
        <w:tc>
          <w:tcPr>
            <w:tcW w:w="2126" w:type="dxa"/>
            <w:hideMark/>
          </w:tcPr>
          <w:p w14:paraId="6274E09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代表玩家</w:t>
            </w:r>
          </w:p>
        </w:tc>
        <w:tc>
          <w:tcPr>
            <w:tcW w:w="2268" w:type="dxa"/>
            <w:hideMark/>
          </w:tcPr>
          <w:p w14:paraId="38D8A6FF"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盈利现状</w:t>
            </w:r>
          </w:p>
        </w:tc>
      </w:tr>
      <w:tr w:rsidR="004F7E65" w:rsidRPr="00660147" w14:paraId="008F978D" w14:textId="77777777">
        <w:trPr>
          <w:trHeight w:val="1200"/>
        </w:trPr>
        <w:tc>
          <w:tcPr>
            <w:tcW w:w="1560" w:type="dxa"/>
            <w:hideMark/>
          </w:tcPr>
          <w:p w14:paraId="7C924412"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MaaS（模型即服务）</w:t>
            </w:r>
          </w:p>
        </w:tc>
        <w:tc>
          <w:tcPr>
            <w:tcW w:w="1985" w:type="dxa"/>
            <w:hideMark/>
          </w:tcPr>
          <w:p w14:paraId="124A652C"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分为API售卖，订阅制度两部分</w:t>
            </w:r>
          </w:p>
        </w:tc>
        <w:tc>
          <w:tcPr>
            <w:tcW w:w="1984" w:type="dxa"/>
            <w:hideMark/>
          </w:tcPr>
          <w:p w14:paraId="4B17FB90"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API售卖主要按Token消耗量计费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，订阅制度一般为月包或者年包</w:t>
            </w:r>
          </w:p>
        </w:tc>
        <w:tc>
          <w:tcPr>
            <w:tcW w:w="2126" w:type="dxa"/>
            <w:hideMark/>
          </w:tcPr>
          <w:p w14:paraId="721A8E17"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几乎所有模型厂商</w:t>
            </w:r>
          </w:p>
        </w:tc>
        <w:tc>
          <w:tcPr>
            <w:tcW w:w="2268" w:type="dxa"/>
            <w:hideMark/>
          </w:tcPr>
          <w:p w14:paraId="7FC9ECD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使用量增长几块，但价格战剧烈，毛利率收到算力成本和内卷情况制约，用户量巨大但是ARPU低。</w:t>
            </w:r>
          </w:p>
        </w:tc>
      </w:tr>
      <w:tr w:rsidR="004F7E65" w:rsidRPr="00660147" w14:paraId="382B6484" w14:textId="77777777">
        <w:trPr>
          <w:trHeight w:val="960"/>
        </w:trPr>
        <w:tc>
          <w:tcPr>
            <w:tcW w:w="1560" w:type="dxa"/>
            <w:hideMark/>
          </w:tcPr>
          <w:p w14:paraId="1FB5AC8E"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AIGC（AI内容生成工具）工具</w:t>
            </w:r>
          </w:p>
        </w:tc>
        <w:tc>
          <w:tcPr>
            <w:tcW w:w="1985" w:type="dxa"/>
            <w:hideMark/>
          </w:tcPr>
          <w:p w14:paraId="17A97D23"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与MaaS有一定交叉，但是更加专业化，一般有独立的窗口</w:t>
            </w:r>
          </w:p>
        </w:tc>
        <w:tc>
          <w:tcPr>
            <w:tcW w:w="1984" w:type="dxa"/>
            <w:hideMark/>
          </w:tcPr>
          <w:p w14:paraId="5C325382"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订阅制和积分制双轨收费</w:t>
            </w:r>
          </w:p>
        </w:tc>
        <w:tc>
          <w:tcPr>
            <w:tcW w:w="2126" w:type="dxa"/>
            <w:hideMark/>
          </w:tcPr>
          <w:p w14:paraId="11BA95BB"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视频类：Sora（已被放弃），即梦，云雀</w:t>
            </w:r>
          </w:p>
          <w:p w14:paraId="3E0EED84"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音乐类：Suno，Udio</w:t>
            </w:r>
          </w:p>
          <w:p w14:paraId="5DBABED6"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笔记写作类：Notion，Obsidian</w:t>
            </w:r>
          </w:p>
          <w:p w14:paraId="6038086F"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w:t>
            </w:r>
          </w:p>
        </w:tc>
        <w:tc>
          <w:tcPr>
            <w:tcW w:w="2268" w:type="dxa"/>
            <w:hideMark/>
          </w:tcPr>
          <w:p w14:paraId="60A86B5B"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根据具体的子分类，各自的盈利情况有所不同。整体上看市场规模均有上限，且竞争激烈，独立变现难度较大。</w:t>
            </w:r>
          </w:p>
        </w:tc>
      </w:tr>
      <w:tr w:rsidR="004F7E65" w:rsidRPr="00660147" w14:paraId="338A3378" w14:textId="77777777">
        <w:trPr>
          <w:trHeight w:val="960"/>
        </w:trPr>
        <w:tc>
          <w:tcPr>
            <w:tcW w:w="1560" w:type="dxa"/>
            <w:hideMark/>
          </w:tcPr>
          <w:p w14:paraId="73BBE95A"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办公类工具</w:t>
            </w:r>
          </w:p>
        </w:tc>
        <w:tc>
          <w:tcPr>
            <w:tcW w:w="1985" w:type="dxa"/>
            <w:hideMark/>
          </w:tcPr>
          <w:p w14:paraId="0AF413E4"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包含传统办公的AI化改造板块（比如微软全家桶AI改造，会议纪要AI）以及编程辅助</w:t>
            </w:r>
          </w:p>
        </w:tc>
        <w:tc>
          <w:tcPr>
            <w:tcW w:w="1984" w:type="dxa"/>
            <w:hideMark/>
          </w:tcPr>
          <w:p w14:paraId="50ABBE69"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订阅制为主</w:t>
            </w:r>
          </w:p>
        </w:tc>
        <w:tc>
          <w:tcPr>
            <w:tcW w:w="2126" w:type="dxa"/>
            <w:hideMark/>
          </w:tcPr>
          <w:p w14:paraId="67B49EE7"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Microsoft copolit，WPS AI，Micosoft Office AI，Cursor，通义灵码，扣子，腾讯会议AI，Canva</w:t>
            </w:r>
          </w:p>
        </w:tc>
        <w:tc>
          <w:tcPr>
            <w:tcW w:w="2268" w:type="dxa"/>
            <w:hideMark/>
          </w:tcPr>
          <w:p w14:paraId="1740FF2E"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编程场景付费意愿最强，传统办公AI化仍在验证中，设计工具AI化进程较快但是竞争激烈</w:t>
            </w:r>
          </w:p>
        </w:tc>
      </w:tr>
      <w:tr w:rsidR="004F7E65" w:rsidRPr="00660147" w14:paraId="53A1BBC8" w14:textId="77777777">
        <w:trPr>
          <w:trHeight w:val="960"/>
        </w:trPr>
        <w:tc>
          <w:tcPr>
            <w:tcW w:w="1560" w:type="dxa"/>
          </w:tcPr>
          <w:p w14:paraId="57E55F6E"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AI原生应用类</w:t>
            </w:r>
          </w:p>
        </w:tc>
        <w:tc>
          <w:tcPr>
            <w:tcW w:w="1985" w:type="dxa"/>
          </w:tcPr>
          <w:p w14:paraId="158ADAD3"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目前处于百花齐放状态，情感陪伴，教育，娱乐，游戏，内容创作社区皆有受众</w:t>
            </w:r>
          </w:p>
        </w:tc>
        <w:tc>
          <w:tcPr>
            <w:tcW w:w="1984" w:type="dxa"/>
          </w:tcPr>
          <w:p w14:paraId="0AF99EA8"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订阅制为主，参杂内购与积分次数制度</w:t>
            </w:r>
          </w:p>
        </w:tc>
        <w:tc>
          <w:tcPr>
            <w:tcW w:w="2126" w:type="dxa"/>
          </w:tcPr>
          <w:p w14:paraId="254849E1"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情感陪伴类：星野/Talkie（MiniMax）</w:t>
            </w:r>
          </w:p>
          <w:p w14:paraId="61471514"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Character.AI</w:t>
            </w:r>
          </w:p>
          <w:p w14:paraId="7F00800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Replika"</w:t>
            </w:r>
          </w:p>
          <w:p w14:paraId="513C4543"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教育：Duolingo Max（AI辅导）</w:t>
            </w:r>
          </w:p>
          <w:p w14:paraId="103A0883"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Khan Academy（Khanmigo）</w:t>
            </w:r>
          </w:p>
        </w:tc>
        <w:tc>
          <w:tcPr>
            <w:tcW w:w="2268" w:type="dxa"/>
          </w:tcPr>
          <w:p w14:paraId="1D655605"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以情感陪伴和教育为代表的细分赛道用户粘性和付费意愿相对较高，娱乐及部分前沿类型尚未形成稳定商业模式，尚在探索中</w:t>
            </w:r>
          </w:p>
        </w:tc>
      </w:tr>
    </w:tbl>
    <w:p w14:paraId="7EADC9CF" w14:textId="77777777" w:rsidR="004F7E65" w:rsidRPr="00660147" w:rsidRDefault="004F7E65" w:rsidP="003D4DA5">
      <w:pPr>
        <w:jc w:val="both"/>
        <w:rPr>
          <w:rFonts w:ascii="楷体" w:eastAsia="楷体" w:hAnsi="楷体" w:hint="eastAsia"/>
          <w:color w:val="000000" w:themeColor="text1"/>
        </w:rPr>
      </w:pPr>
    </w:p>
    <w:p w14:paraId="6C240873" w14:textId="6F7FF4EB"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目前大模型的商业格局远称不上收敛。从盈利能力上来看，状况</w:t>
      </w:r>
      <w:r w:rsidR="00121A13" w:rsidRPr="00660147">
        <w:rPr>
          <w:rFonts w:ascii="楷体" w:eastAsia="楷体" w:hAnsi="楷体" w:hint="eastAsia"/>
          <w:color w:val="000000" w:themeColor="text1"/>
          <w:szCs w:val="22"/>
        </w:rPr>
        <w:t>也难言</w:t>
      </w:r>
      <w:r w:rsidRPr="00660147">
        <w:rPr>
          <w:rFonts w:ascii="楷体" w:eastAsia="楷体" w:hAnsi="楷体" w:hint="eastAsia"/>
          <w:color w:val="000000" w:themeColor="text1"/>
          <w:szCs w:val="22"/>
        </w:rPr>
        <w:t>健康。OpenAI其2026年第一季度年化营收（ARR）已达约 250 亿美元，其中ChatGPT订阅及企业席位贡</w:t>
      </w:r>
      <w:r w:rsidRPr="00660147">
        <w:rPr>
          <w:rFonts w:ascii="楷体" w:eastAsia="楷体" w:hAnsi="楷体" w:hint="eastAsia"/>
          <w:color w:val="000000" w:themeColor="text1"/>
          <w:szCs w:val="22"/>
        </w:rPr>
        <w:lastRenderedPageBreak/>
        <w:t>献约 70% 收入，付费订阅用户约 3,500 万。但Sam Altman亲口承认，即便定价200美元/月的ChatGPT Pro，由于重度用户的推理消耗过大，仍不盈利</w:t>
      </w:r>
      <w:r w:rsidR="00022086">
        <w:rPr>
          <w:rFonts w:ascii="楷体" w:eastAsia="楷体" w:hAnsi="楷体" w:hint="eastAsia"/>
          <w:color w:val="000000" w:themeColor="text1"/>
          <w:szCs w:val="22"/>
        </w:rPr>
        <w:t>，</w:t>
      </w:r>
      <w:r w:rsidRPr="00660147">
        <w:rPr>
          <w:rFonts w:ascii="楷体" w:eastAsia="楷体" w:hAnsi="楷体" w:hint="eastAsia"/>
          <w:color w:val="000000" w:themeColor="text1"/>
          <w:szCs w:val="22"/>
        </w:rPr>
        <w:t>整体仍靠千亿级融资续命，2026年4月最新一轮融资估值达 8,520 亿美元。其主要竞争对手Anthropic则走出了一条差异化路径：2026年4月ARR</w:t>
      </w:r>
      <w:proofErr w:type="gramStart"/>
      <w:r w:rsidRPr="00660147">
        <w:rPr>
          <w:rFonts w:ascii="楷体" w:eastAsia="楷体" w:hAnsi="楷体" w:hint="eastAsia"/>
          <w:color w:val="000000" w:themeColor="text1"/>
          <w:szCs w:val="22"/>
        </w:rPr>
        <w:t>正式突破</w:t>
      </w:r>
      <w:proofErr w:type="gramEnd"/>
      <w:r w:rsidRPr="00660147">
        <w:rPr>
          <w:rFonts w:ascii="楷体" w:eastAsia="楷体" w:hAnsi="楷体" w:hint="eastAsia"/>
          <w:color w:val="000000" w:themeColor="text1"/>
          <w:szCs w:val="22"/>
        </w:rPr>
        <w:t xml:space="preserve"> 300 亿美元，超过OpenAI，其中80%来自企业客户，年消费超100万美元的大客户突破 1,000 家，隐含估值超 1 万亿美元</w:t>
      </w:r>
      <w:r w:rsidR="00E5085E">
        <w:rPr>
          <w:rFonts w:ascii="楷体" w:eastAsia="楷体" w:hAnsi="楷体" w:hint="eastAsia"/>
          <w:color w:val="000000" w:themeColor="text1"/>
          <w:szCs w:val="22"/>
        </w:rPr>
        <w:t>。</w:t>
      </w:r>
    </w:p>
    <w:p w14:paraId="6C83E188"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表：收入情况</w:t>
      </w:r>
    </w:p>
    <w:tbl>
      <w:tblPr>
        <w:tblStyle w:val="af2"/>
        <w:tblW w:w="0" w:type="auto"/>
        <w:tblLook w:val="04A0" w:firstRow="1" w:lastRow="0" w:firstColumn="1" w:lastColumn="0" w:noHBand="0" w:noVBand="1"/>
      </w:tblPr>
      <w:tblGrid>
        <w:gridCol w:w="2538"/>
        <w:gridCol w:w="2879"/>
        <w:gridCol w:w="2879"/>
      </w:tblGrid>
      <w:tr w:rsidR="004F7E65" w:rsidRPr="00660147" w14:paraId="4E3A5290" w14:textId="77777777">
        <w:trPr>
          <w:trHeight w:val="270"/>
        </w:trPr>
        <w:tc>
          <w:tcPr>
            <w:tcW w:w="2538" w:type="dxa"/>
            <w:hideMark/>
          </w:tcPr>
          <w:p w14:paraId="1A700C1B" w14:textId="77777777" w:rsidR="004F7E65" w:rsidRPr="00660147" w:rsidRDefault="005A4D99" w:rsidP="003D4DA5">
            <w:pPr>
              <w:jc w:val="both"/>
              <w:rPr>
                <w:rFonts w:ascii="楷体" w:eastAsia="楷体" w:hAnsi="楷体" w:hint="eastAsia"/>
                <w:color w:val="000000" w:themeColor="text1"/>
              </w:rPr>
            </w:pPr>
            <w:r w:rsidRPr="00660147">
              <w:rPr>
                <w:rFonts w:ascii="楷体" w:eastAsia="楷体" w:hAnsi="楷体" w:hint="eastAsia"/>
                <w:color w:val="000000" w:themeColor="text1"/>
                <w:szCs w:val="22"/>
              </w:rPr>
              <w:t>指标</w:t>
            </w:r>
          </w:p>
        </w:tc>
        <w:tc>
          <w:tcPr>
            <w:tcW w:w="2879" w:type="dxa"/>
            <w:hideMark/>
          </w:tcPr>
          <w:p w14:paraId="578D1849" w14:textId="716EBDBB" w:rsidR="004F7E65" w:rsidRPr="00660147" w:rsidRDefault="005A4D99" w:rsidP="003D4DA5">
            <w:pPr>
              <w:jc w:val="both"/>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智谱</w:t>
            </w:r>
            <w:proofErr w:type="gramEnd"/>
          </w:p>
        </w:tc>
        <w:tc>
          <w:tcPr>
            <w:tcW w:w="2879" w:type="dxa"/>
            <w:hideMark/>
          </w:tcPr>
          <w:p w14:paraId="5AE9965D" w14:textId="453F1F3F" w:rsidR="004F7E65" w:rsidRPr="00660147" w:rsidRDefault="005A4D99" w:rsidP="003D4DA5">
            <w:pPr>
              <w:jc w:val="both"/>
              <w:rPr>
                <w:rFonts w:ascii="楷体" w:eastAsia="楷体" w:hAnsi="楷体" w:hint="eastAsia"/>
                <w:color w:val="000000" w:themeColor="text1"/>
              </w:rPr>
            </w:pPr>
            <w:proofErr w:type="spellStart"/>
            <w:r w:rsidRPr="00660147">
              <w:rPr>
                <w:rFonts w:ascii="楷体" w:eastAsia="楷体" w:hAnsi="楷体" w:hint="eastAsia"/>
                <w:color w:val="000000" w:themeColor="text1"/>
                <w:szCs w:val="22"/>
              </w:rPr>
              <w:t>MiniMax</w:t>
            </w:r>
            <w:proofErr w:type="spellEnd"/>
          </w:p>
        </w:tc>
      </w:tr>
      <w:tr w:rsidR="004F7E65" w:rsidRPr="00660147" w14:paraId="7C74FC31" w14:textId="77777777">
        <w:trPr>
          <w:trHeight w:val="270"/>
        </w:trPr>
        <w:tc>
          <w:tcPr>
            <w:tcW w:w="2538" w:type="dxa"/>
            <w:hideMark/>
          </w:tcPr>
          <w:p w14:paraId="2E7E43EB"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2022年收入</w:t>
            </w:r>
          </w:p>
        </w:tc>
        <w:tc>
          <w:tcPr>
            <w:tcW w:w="2879" w:type="dxa"/>
            <w:hideMark/>
          </w:tcPr>
          <w:p w14:paraId="3D004D89"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0.57亿 RMB</w:t>
            </w:r>
          </w:p>
        </w:tc>
        <w:tc>
          <w:tcPr>
            <w:tcW w:w="2879" w:type="dxa"/>
            <w:hideMark/>
          </w:tcPr>
          <w:p w14:paraId="4FAB5F54"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w:t>
            </w:r>
          </w:p>
        </w:tc>
      </w:tr>
      <w:tr w:rsidR="004F7E65" w:rsidRPr="00660147" w14:paraId="78BBDE87" w14:textId="77777777">
        <w:trPr>
          <w:trHeight w:val="270"/>
        </w:trPr>
        <w:tc>
          <w:tcPr>
            <w:tcW w:w="2538" w:type="dxa"/>
            <w:hideMark/>
          </w:tcPr>
          <w:p w14:paraId="2EFBEC79"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2023年收入</w:t>
            </w:r>
          </w:p>
        </w:tc>
        <w:tc>
          <w:tcPr>
            <w:tcW w:w="2879" w:type="dxa"/>
            <w:hideMark/>
          </w:tcPr>
          <w:p w14:paraId="11AB9D6D"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1.25亿 RMB</w:t>
            </w:r>
          </w:p>
        </w:tc>
        <w:tc>
          <w:tcPr>
            <w:tcW w:w="2879" w:type="dxa"/>
            <w:hideMark/>
          </w:tcPr>
          <w:p w14:paraId="7FC30C4D"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~0.35亿 USD</w:t>
            </w:r>
          </w:p>
        </w:tc>
      </w:tr>
      <w:tr w:rsidR="004F7E65" w:rsidRPr="00660147" w14:paraId="2CF43EE5" w14:textId="77777777">
        <w:trPr>
          <w:trHeight w:val="270"/>
        </w:trPr>
        <w:tc>
          <w:tcPr>
            <w:tcW w:w="2538" w:type="dxa"/>
            <w:hideMark/>
          </w:tcPr>
          <w:p w14:paraId="5A54EB49"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2024年收入</w:t>
            </w:r>
          </w:p>
        </w:tc>
        <w:tc>
          <w:tcPr>
            <w:tcW w:w="2879" w:type="dxa"/>
            <w:hideMark/>
          </w:tcPr>
          <w:p w14:paraId="06D32E4F"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3.12亿 RMB</w:t>
            </w:r>
          </w:p>
        </w:tc>
        <w:tc>
          <w:tcPr>
            <w:tcW w:w="2879" w:type="dxa"/>
            <w:hideMark/>
          </w:tcPr>
          <w:p w14:paraId="6EA4378E"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~0.31亿 USD</w:t>
            </w:r>
          </w:p>
        </w:tc>
      </w:tr>
      <w:tr w:rsidR="004F7E65" w:rsidRPr="00660147" w14:paraId="737EACA0" w14:textId="77777777">
        <w:trPr>
          <w:trHeight w:val="270"/>
        </w:trPr>
        <w:tc>
          <w:tcPr>
            <w:tcW w:w="2538" w:type="dxa"/>
            <w:hideMark/>
          </w:tcPr>
          <w:p w14:paraId="311D97DB"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2025年收入</w:t>
            </w:r>
          </w:p>
        </w:tc>
        <w:tc>
          <w:tcPr>
            <w:tcW w:w="2879" w:type="dxa"/>
            <w:hideMark/>
          </w:tcPr>
          <w:p w14:paraId="57577D08"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7.24亿 RMB（+132% YoY）</w:t>
            </w:r>
          </w:p>
        </w:tc>
        <w:tc>
          <w:tcPr>
            <w:tcW w:w="2879" w:type="dxa"/>
            <w:hideMark/>
          </w:tcPr>
          <w:p w14:paraId="526478E4"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0.79亿 USD（+159% YoY）</w:t>
            </w:r>
          </w:p>
        </w:tc>
      </w:tr>
      <w:tr w:rsidR="004F7E65" w:rsidRPr="00660147" w14:paraId="40B49EF1" w14:textId="77777777">
        <w:trPr>
          <w:trHeight w:val="270"/>
        </w:trPr>
        <w:tc>
          <w:tcPr>
            <w:tcW w:w="2538" w:type="dxa"/>
            <w:hideMark/>
          </w:tcPr>
          <w:p w14:paraId="5DB1623F"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2026E收入（UBS/JPM）</w:t>
            </w:r>
          </w:p>
        </w:tc>
        <w:tc>
          <w:tcPr>
            <w:tcW w:w="2879" w:type="dxa"/>
            <w:hideMark/>
          </w:tcPr>
          <w:p w14:paraId="7912E8EB"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32.08亿 RMB（UBS）</w:t>
            </w:r>
          </w:p>
        </w:tc>
        <w:tc>
          <w:tcPr>
            <w:tcW w:w="2879" w:type="dxa"/>
            <w:hideMark/>
          </w:tcPr>
          <w:p w14:paraId="657E7DFF"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2.20亿 USD（JPM）</w:t>
            </w:r>
          </w:p>
        </w:tc>
      </w:tr>
      <w:tr w:rsidR="004F7E65" w:rsidRPr="00660147" w14:paraId="5EF315AB" w14:textId="77777777">
        <w:trPr>
          <w:trHeight w:val="270"/>
        </w:trPr>
        <w:tc>
          <w:tcPr>
            <w:tcW w:w="2538" w:type="dxa"/>
            <w:hideMark/>
          </w:tcPr>
          <w:p w14:paraId="6C424E54"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2027E收入（UBS/JPM）</w:t>
            </w:r>
          </w:p>
        </w:tc>
        <w:tc>
          <w:tcPr>
            <w:tcW w:w="2879" w:type="dxa"/>
            <w:hideMark/>
          </w:tcPr>
          <w:p w14:paraId="46C3D0FF"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79.41亿 RMB（UBS）</w:t>
            </w:r>
          </w:p>
        </w:tc>
        <w:tc>
          <w:tcPr>
            <w:tcW w:w="2879" w:type="dxa"/>
            <w:hideMark/>
          </w:tcPr>
          <w:p w14:paraId="61359070"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6.34亿 USD（JPM）</w:t>
            </w:r>
          </w:p>
        </w:tc>
      </w:tr>
      <w:tr w:rsidR="004F7E65" w:rsidRPr="00660147" w14:paraId="454B2FF9" w14:textId="77777777">
        <w:trPr>
          <w:trHeight w:val="270"/>
        </w:trPr>
        <w:tc>
          <w:tcPr>
            <w:tcW w:w="2538" w:type="dxa"/>
            <w:hideMark/>
          </w:tcPr>
          <w:p w14:paraId="2E931A10"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收入CAGR（预测）</w:t>
            </w:r>
          </w:p>
        </w:tc>
        <w:tc>
          <w:tcPr>
            <w:tcW w:w="2879" w:type="dxa"/>
            <w:hideMark/>
          </w:tcPr>
          <w:p w14:paraId="5C5BA297"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231%（UBS，25-27E）</w:t>
            </w:r>
          </w:p>
        </w:tc>
        <w:tc>
          <w:tcPr>
            <w:tcW w:w="2879" w:type="dxa"/>
            <w:hideMark/>
          </w:tcPr>
          <w:p w14:paraId="42795F56" w14:textId="77777777" w:rsidR="004F7E65" w:rsidRPr="00660147" w:rsidRDefault="005A4D99" w:rsidP="00D404E9">
            <w:pPr>
              <w:jc w:val="both"/>
              <w:rPr>
                <w:rFonts w:ascii="楷体" w:eastAsia="楷体" w:hAnsi="楷体" w:hint="eastAsia"/>
                <w:color w:val="000000" w:themeColor="text1"/>
              </w:rPr>
            </w:pPr>
            <w:r w:rsidRPr="00660147">
              <w:rPr>
                <w:rFonts w:ascii="楷体" w:eastAsia="楷体" w:hAnsi="楷体" w:hint="eastAsia"/>
                <w:color w:val="000000" w:themeColor="text1"/>
                <w:szCs w:val="22"/>
              </w:rPr>
              <w:t>约2年内9-10倍增长（MS）</w:t>
            </w:r>
          </w:p>
        </w:tc>
      </w:tr>
    </w:tbl>
    <w:p w14:paraId="707C331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表：盈亏情况</w:t>
      </w:r>
    </w:p>
    <w:tbl>
      <w:tblPr>
        <w:tblStyle w:val="af2"/>
        <w:tblW w:w="0" w:type="auto"/>
        <w:tblLook w:val="04A0" w:firstRow="1" w:lastRow="0" w:firstColumn="1" w:lastColumn="0" w:noHBand="0" w:noVBand="1"/>
      </w:tblPr>
      <w:tblGrid>
        <w:gridCol w:w="2426"/>
        <w:gridCol w:w="2890"/>
        <w:gridCol w:w="2980"/>
      </w:tblGrid>
      <w:tr w:rsidR="004F7E65" w:rsidRPr="00660147" w14:paraId="39065758" w14:textId="77777777">
        <w:trPr>
          <w:trHeight w:val="270"/>
        </w:trPr>
        <w:tc>
          <w:tcPr>
            <w:tcW w:w="2426" w:type="dxa"/>
            <w:hideMark/>
          </w:tcPr>
          <w:p w14:paraId="67C16FDE"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指标</w:t>
            </w:r>
          </w:p>
        </w:tc>
        <w:tc>
          <w:tcPr>
            <w:tcW w:w="2890" w:type="dxa"/>
            <w:hideMark/>
          </w:tcPr>
          <w:p w14:paraId="02ED8892"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智谱</w:t>
            </w:r>
          </w:p>
        </w:tc>
        <w:tc>
          <w:tcPr>
            <w:tcW w:w="2980" w:type="dxa"/>
            <w:hideMark/>
          </w:tcPr>
          <w:p w14:paraId="6D9CF23F"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MiniMax</w:t>
            </w:r>
          </w:p>
        </w:tc>
      </w:tr>
      <w:tr w:rsidR="004F7E65" w:rsidRPr="00660147" w14:paraId="7CA50B45" w14:textId="77777777">
        <w:trPr>
          <w:trHeight w:val="480"/>
        </w:trPr>
        <w:tc>
          <w:tcPr>
            <w:tcW w:w="2426" w:type="dxa"/>
            <w:hideMark/>
          </w:tcPr>
          <w:p w14:paraId="4351B07F"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2025整体毛利率</w:t>
            </w:r>
          </w:p>
        </w:tc>
        <w:tc>
          <w:tcPr>
            <w:tcW w:w="2890" w:type="dxa"/>
            <w:hideMark/>
          </w:tcPr>
          <w:p w14:paraId="2FECD6B3"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41%</w:t>
            </w:r>
          </w:p>
        </w:tc>
        <w:tc>
          <w:tcPr>
            <w:tcW w:w="2980" w:type="dxa"/>
            <w:hideMark/>
          </w:tcPr>
          <w:p w14:paraId="2BF54D59"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25.4%</w:t>
            </w:r>
          </w:p>
        </w:tc>
      </w:tr>
      <w:tr w:rsidR="004F7E65" w:rsidRPr="00660147" w14:paraId="4BD25D48" w14:textId="77777777">
        <w:trPr>
          <w:trHeight w:val="270"/>
        </w:trPr>
        <w:tc>
          <w:tcPr>
            <w:tcW w:w="2426" w:type="dxa"/>
            <w:hideMark/>
          </w:tcPr>
          <w:p w14:paraId="62AE6241"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2025云端毛利率</w:t>
            </w:r>
          </w:p>
        </w:tc>
        <w:tc>
          <w:tcPr>
            <w:tcW w:w="2890" w:type="dxa"/>
            <w:hideMark/>
          </w:tcPr>
          <w:p w14:paraId="56FC521F"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18.9%</w:t>
            </w:r>
          </w:p>
        </w:tc>
        <w:tc>
          <w:tcPr>
            <w:tcW w:w="2980" w:type="dxa"/>
            <w:hideMark/>
          </w:tcPr>
          <w:p w14:paraId="28E7486E"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69.4%（前三季度）</w:t>
            </w:r>
          </w:p>
        </w:tc>
      </w:tr>
      <w:tr w:rsidR="004F7E65" w:rsidRPr="00660147" w14:paraId="533D5FEB" w14:textId="77777777">
        <w:trPr>
          <w:trHeight w:val="270"/>
        </w:trPr>
        <w:tc>
          <w:tcPr>
            <w:tcW w:w="2426" w:type="dxa"/>
            <w:hideMark/>
          </w:tcPr>
          <w:p w14:paraId="60516B45"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毛利率趋势</w:t>
            </w:r>
          </w:p>
        </w:tc>
        <w:tc>
          <w:tcPr>
            <w:tcW w:w="2890" w:type="dxa"/>
            <w:hideMark/>
          </w:tcPr>
          <w:p w14:paraId="2E8D2749"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云端提升显著，本地稳定</w:t>
            </w:r>
          </w:p>
        </w:tc>
        <w:tc>
          <w:tcPr>
            <w:tcW w:w="2980" w:type="dxa"/>
            <w:hideMark/>
          </w:tcPr>
          <w:p w14:paraId="7828E09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2023:-25%→2024:12%→2025:25%</w:t>
            </w:r>
          </w:p>
        </w:tc>
      </w:tr>
      <w:tr w:rsidR="004F7E65" w:rsidRPr="00660147" w14:paraId="7CA4964B" w14:textId="77777777">
        <w:trPr>
          <w:trHeight w:val="270"/>
        </w:trPr>
        <w:tc>
          <w:tcPr>
            <w:tcW w:w="2426" w:type="dxa"/>
            <w:hideMark/>
          </w:tcPr>
          <w:p w14:paraId="74958A77"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2025调整后净亏损</w:t>
            </w:r>
          </w:p>
        </w:tc>
        <w:tc>
          <w:tcPr>
            <w:tcW w:w="2890" w:type="dxa"/>
            <w:hideMark/>
          </w:tcPr>
          <w:p w14:paraId="27EDFE1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~-31.82亿 RMB（广发）</w:t>
            </w:r>
          </w:p>
        </w:tc>
        <w:tc>
          <w:tcPr>
            <w:tcW w:w="2980" w:type="dxa"/>
            <w:hideMark/>
          </w:tcPr>
          <w:p w14:paraId="703A037C"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-2.51亿 USD</w:t>
            </w:r>
          </w:p>
        </w:tc>
      </w:tr>
      <w:tr w:rsidR="004F7E65" w:rsidRPr="00660147" w14:paraId="2ADB3A21" w14:textId="77777777">
        <w:trPr>
          <w:trHeight w:val="270"/>
        </w:trPr>
        <w:tc>
          <w:tcPr>
            <w:tcW w:w="2426" w:type="dxa"/>
            <w:hideMark/>
          </w:tcPr>
          <w:p w14:paraId="5126AAF7"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调整后净亏损/收入</w:t>
            </w:r>
          </w:p>
        </w:tc>
        <w:tc>
          <w:tcPr>
            <w:tcW w:w="2890" w:type="dxa"/>
            <w:hideMark/>
          </w:tcPr>
          <w:p w14:paraId="537998F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-439%</w:t>
            </w:r>
          </w:p>
        </w:tc>
        <w:tc>
          <w:tcPr>
            <w:tcW w:w="2980" w:type="dxa"/>
            <w:hideMark/>
          </w:tcPr>
          <w:p w14:paraId="7AEE8117"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-316%</w:t>
            </w:r>
          </w:p>
        </w:tc>
      </w:tr>
      <w:tr w:rsidR="004F7E65" w:rsidRPr="00660147" w14:paraId="175E801E" w14:textId="77777777">
        <w:trPr>
          <w:trHeight w:val="270"/>
        </w:trPr>
        <w:tc>
          <w:tcPr>
            <w:tcW w:w="2426" w:type="dxa"/>
            <w:hideMark/>
          </w:tcPr>
          <w:p w14:paraId="3751D7AF"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亏损率趋势</w:t>
            </w:r>
          </w:p>
        </w:tc>
        <w:tc>
          <w:tcPr>
            <w:tcW w:w="2890" w:type="dxa"/>
            <w:hideMark/>
          </w:tcPr>
          <w:p w14:paraId="59CC2A4A" w14:textId="4009F295" w:rsidR="004F7E65" w:rsidRPr="00660147" w:rsidRDefault="00B72D93"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因加大研发，仍在扩大</w:t>
            </w:r>
          </w:p>
        </w:tc>
        <w:tc>
          <w:tcPr>
            <w:tcW w:w="2980" w:type="dxa"/>
            <w:hideMark/>
          </w:tcPr>
          <w:p w14:paraId="087F514C"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收窄：-807%→-321%</w:t>
            </w:r>
          </w:p>
        </w:tc>
      </w:tr>
    </w:tbl>
    <w:p w14:paraId="1C6493F2" w14:textId="7D701B1D" w:rsidR="004F7E65" w:rsidRPr="00660147" w:rsidRDefault="007E3262" w:rsidP="00845816">
      <w:pPr>
        <w:jc w:val="both"/>
        <w:rPr>
          <w:rFonts w:ascii="楷体" w:eastAsia="楷体" w:hAnsi="楷体" w:hint="eastAsia"/>
          <w:color w:val="000000" w:themeColor="text1"/>
        </w:rPr>
      </w:pPr>
      <w:r>
        <w:rPr>
          <w:rFonts w:ascii="楷体" w:eastAsia="楷体" w:hAnsi="楷体" w:hint="eastAsia"/>
          <w:color w:val="000000" w:themeColor="text1"/>
        </w:rPr>
        <w:t>数据来源：公开信息</w:t>
      </w:r>
    </w:p>
    <w:p w14:paraId="598C6548" w14:textId="45993F0D" w:rsidR="004F7E65" w:rsidRPr="007E3262" w:rsidRDefault="00F528A0" w:rsidP="00845816">
      <w:pPr>
        <w:pStyle w:val="3"/>
        <w:jc w:val="both"/>
        <w:rPr>
          <w:rFonts w:ascii="楷体" w:eastAsia="楷体" w:hAnsi="楷体" w:hint="eastAsia"/>
          <w:color w:val="000000" w:themeColor="text1"/>
          <w:sz w:val="30"/>
          <w:szCs w:val="30"/>
        </w:rPr>
      </w:pPr>
      <w:bookmarkStart w:id="15" w:name="_Toc228444766"/>
      <w:r w:rsidRPr="007E3262">
        <w:rPr>
          <w:rFonts w:ascii="楷体" w:eastAsia="楷体" w:hAnsi="楷体" w:hint="eastAsia"/>
          <w:color w:val="000000" w:themeColor="text1"/>
          <w:sz w:val="30"/>
          <w:szCs w:val="30"/>
        </w:rPr>
        <w:t>2.2.3 应用场景</w:t>
      </w:r>
      <w:bookmarkEnd w:id="15"/>
      <w:r w:rsidRPr="007E3262">
        <w:rPr>
          <w:rFonts w:ascii="楷体" w:eastAsia="楷体" w:hAnsi="楷体" w:hint="eastAsia"/>
          <w:color w:val="000000" w:themeColor="text1"/>
          <w:sz w:val="30"/>
          <w:szCs w:val="30"/>
        </w:rPr>
        <w:t xml:space="preserve"> </w:t>
      </w:r>
    </w:p>
    <w:p w14:paraId="208C2236" w14:textId="0B65964F" w:rsidR="00A65C56" w:rsidRPr="00660147" w:rsidRDefault="00A65C56"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在具体的应用场景上，AI编程仍然为最景气赛道。在一种落地应用之中一马当先。</w:t>
      </w:r>
      <w:r w:rsidR="00E62AF6" w:rsidRPr="00660147">
        <w:rPr>
          <w:rFonts w:ascii="楷体" w:eastAsia="楷体" w:hAnsi="楷体" w:hint="eastAsia"/>
          <w:color w:val="000000" w:themeColor="text1"/>
        </w:rPr>
        <w:t>用于串联业务，提高系统流畅度的</w:t>
      </w:r>
      <w:r w:rsidR="00435E88" w:rsidRPr="00660147">
        <w:rPr>
          <w:rFonts w:ascii="楷体" w:eastAsia="楷体" w:hAnsi="楷体" w:hint="eastAsia"/>
          <w:color w:val="000000" w:themeColor="text1"/>
        </w:rPr>
        <w:t>企业智能体和</w:t>
      </w:r>
      <w:r w:rsidR="00E62AF6" w:rsidRPr="00660147">
        <w:rPr>
          <w:rFonts w:ascii="楷体" w:eastAsia="楷体" w:hAnsi="楷体" w:hint="eastAsia"/>
          <w:color w:val="000000" w:themeColor="text1"/>
        </w:rPr>
        <w:t>以提高综合产出效率的</w:t>
      </w:r>
      <w:r w:rsidR="00435E88" w:rsidRPr="00660147">
        <w:rPr>
          <w:rFonts w:ascii="楷体" w:eastAsia="楷体" w:hAnsi="楷体" w:hint="eastAsia"/>
          <w:color w:val="000000" w:themeColor="text1"/>
        </w:rPr>
        <w:t>办公</w:t>
      </w:r>
      <w:r w:rsidR="00983206" w:rsidRPr="00660147">
        <w:rPr>
          <w:rFonts w:ascii="楷体" w:eastAsia="楷体" w:hAnsi="楷体" w:hint="eastAsia"/>
          <w:color w:val="000000" w:themeColor="text1"/>
        </w:rPr>
        <w:t>/创意类</w:t>
      </w:r>
      <w:r w:rsidR="00E62AF6" w:rsidRPr="00660147">
        <w:rPr>
          <w:rFonts w:ascii="楷体" w:eastAsia="楷体" w:hAnsi="楷体" w:hint="eastAsia"/>
          <w:color w:val="000000" w:themeColor="text1"/>
        </w:rPr>
        <w:t>产品</w:t>
      </w:r>
      <w:r w:rsidR="00435E88" w:rsidRPr="00660147">
        <w:rPr>
          <w:rFonts w:ascii="楷体" w:eastAsia="楷体" w:hAnsi="楷体" w:hint="eastAsia"/>
          <w:color w:val="000000" w:themeColor="text1"/>
        </w:rPr>
        <w:t>则紧随其后。</w:t>
      </w:r>
    </w:p>
    <w:p w14:paraId="6B999A29" w14:textId="1FD32E21" w:rsidR="00F528A0" w:rsidRPr="00660147" w:rsidRDefault="00F528A0"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图：</w:t>
      </w:r>
      <w:r w:rsidR="00C16BA7" w:rsidRPr="00660147">
        <w:rPr>
          <w:rFonts w:ascii="楷体" w:eastAsia="楷体" w:hAnsi="楷体" w:hint="eastAsia"/>
          <w:color w:val="000000" w:themeColor="text1"/>
        </w:rPr>
        <w:t>全球</w:t>
      </w:r>
      <w:r w:rsidRPr="00660147">
        <w:rPr>
          <w:rFonts w:ascii="楷体" w:eastAsia="楷体" w:hAnsi="楷体" w:hint="eastAsia"/>
          <w:color w:val="000000" w:themeColor="text1"/>
        </w:rPr>
        <w:t>主要应用最新ARR</w:t>
      </w:r>
    </w:p>
    <w:p w14:paraId="48A48B55" w14:textId="7B999B8E" w:rsidR="004F7E65" w:rsidRPr="00660147" w:rsidRDefault="00E62AF6" w:rsidP="00845816">
      <w:pPr>
        <w:jc w:val="both"/>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4EF19211" wp14:editId="3D633021">
            <wp:extent cx="5274310" cy="3001010"/>
            <wp:effectExtent l="0" t="0" r="2540" b="8890"/>
            <wp:docPr id="1297661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61638" name=""/>
                    <pic:cNvPicPr/>
                  </pic:nvPicPr>
                  <pic:blipFill>
                    <a:blip r:embed="rId17"/>
                    <a:stretch>
                      <a:fillRect/>
                    </a:stretch>
                  </pic:blipFill>
                  <pic:spPr>
                    <a:xfrm>
                      <a:off x="0" y="0"/>
                      <a:ext cx="5274310" cy="3001010"/>
                    </a:xfrm>
                    <a:prstGeom prst="rect">
                      <a:avLst/>
                    </a:prstGeom>
                  </pic:spPr>
                </pic:pic>
              </a:graphicData>
            </a:graphic>
          </wp:inline>
        </w:drawing>
      </w:r>
    </w:p>
    <w:p w14:paraId="21B0501F" w14:textId="709AEF81" w:rsidR="00C16BA7" w:rsidRPr="00660147" w:rsidRDefault="00C16BA7"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图：AI产品在各行业的年华收入规模</w:t>
      </w:r>
    </w:p>
    <w:p w14:paraId="50F8D012" w14:textId="74E2BCF6" w:rsidR="00C16BA7" w:rsidRPr="00660147" w:rsidRDefault="00C16BA7" w:rsidP="00845816">
      <w:pPr>
        <w:jc w:val="both"/>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39782A78" wp14:editId="5777644B">
            <wp:extent cx="5274310" cy="1943100"/>
            <wp:effectExtent l="0" t="0" r="2540" b="0"/>
            <wp:docPr id="92400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1390" name=""/>
                    <pic:cNvPicPr/>
                  </pic:nvPicPr>
                  <pic:blipFill>
                    <a:blip r:embed="rId18"/>
                    <a:stretch>
                      <a:fillRect/>
                    </a:stretch>
                  </pic:blipFill>
                  <pic:spPr>
                    <a:xfrm>
                      <a:off x="0" y="0"/>
                      <a:ext cx="5274310" cy="1943100"/>
                    </a:xfrm>
                    <a:prstGeom prst="rect">
                      <a:avLst/>
                    </a:prstGeom>
                  </pic:spPr>
                </pic:pic>
              </a:graphicData>
            </a:graphic>
          </wp:inline>
        </w:drawing>
      </w:r>
    </w:p>
    <w:p w14:paraId="43A4E4D0" w14:textId="72B85580" w:rsidR="00F528A0" w:rsidRPr="00660147" w:rsidRDefault="00F528A0" w:rsidP="00845816">
      <w:pPr>
        <w:jc w:val="both"/>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267590DB" w14:textId="4185BD38" w:rsidR="00E82244" w:rsidRPr="00660147" w:rsidRDefault="00C343A8" w:rsidP="00845816">
      <w:pPr>
        <w:pStyle w:val="4"/>
        <w:jc w:val="both"/>
        <w:rPr>
          <w:rFonts w:ascii="楷体" w:eastAsia="楷体" w:hAnsi="楷体" w:hint="eastAsia"/>
          <w:color w:val="000000" w:themeColor="text1"/>
        </w:rPr>
      </w:pPr>
      <w:r w:rsidRPr="00660147">
        <w:rPr>
          <w:rFonts w:ascii="楷体" w:eastAsia="楷体" w:hAnsi="楷体" w:hint="eastAsia"/>
          <w:color w:val="000000" w:themeColor="text1"/>
        </w:rPr>
        <w:t xml:space="preserve">2.2.3.1 </w:t>
      </w:r>
      <w:r w:rsidR="00E82244" w:rsidRPr="00660147">
        <w:rPr>
          <w:rFonts w:ascii="楷体" w:eastAsia="楷体" w:hAnsi="楷体" w:hint="eastAsia"/>
          <w:color w:val="000000" w:themeColor="text1"/>
        </w:rPr>
        <w:t>AI 编程</w:t>
      </w:r>
    </w:p>
    <w:p w14:paraId="1C66303A" w14:textId="282FA1C0" w:rsidR="00E62AF6" w:rsidRPr="00660147" w:rsidRDefault="00967728" w:rsidP="00845816">
      <w:pPr>
        <w:jc w:val="both"/>
        <w:rPr>
          <w:rFonts w:ascii="楷体" w:eastAsia="楷体" w:hAnsi="楷体" w:hint="eastAsia"/>
          <w:color w:val="000000" w:themeColor="text1"/>
        </w:rPr>
      </w:pPr>
      <w:r w:rsidRPr="00660147">
        <w:rPr>
          <w:rFonts w:ascii="楷体" w:eastAsia="楷体" w:hAnsi="楷体"/>
          <w:color w:val="000000" w:themeColor="text1"/>
        </w:rPr>
        <w:t>AI 编程是当前商业化较为领先的 AI 应用垂直赛道，已跑出多个十亿美元级 ARR 产品。根据 a16z 2026 年 4 月的测算，若仅考虑企业 AI 场景（剔除个人），AI 编程赛道当前年化收入规模约 30 亿美元，大幅领先其他企业 AI 应用场景。整体而言，若合并考虑 C 端应用场景，AI 编程赛道已进入规模化变现阶段：1）赛道增速远超其他 AI 垂直赛道：据 Sacra 报道，Claude Code 截至 2026 年 2 月 ARR 已突破 25 亿美元；据彭博报道，Cursor 同期 ARR 突破 20 亿美元，从 1 亿美元增长至此仅用 14 个月。2）头部产品均实现 ARR 高速增长，表明当前阶段仍以共同扩容为主而非存量竞争。</w:t>
      </w:r>
    </w:p>
    <w:p w14:paraId="39581CEA" w14:textId="674A4B17" w:rsidR="00616A97" w:rsidRPr="00660147" w:rsidRDefault="00616A97" w:rsidP="00845816">
      <w:pPr>
        <w:jc w:val="both"/>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5C8C68EB" wp14:editId="26339560">
            <wp:extent cx="5201901" cy="4096512"/>
            <wp:effectExtent l="0" t="0" r="0" b="0"/>
            <wp:docPr id="59875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372" name=""/>
                    <pic:cNvPicPr/>
                  </pic:nvPicPr>
                  <pic:blipFill>
                    <a:blip r:embed="rId19"/>
                    <a:stretch>
                      <a:fillRect/>
                    </a:stretch>
                  </pic:blipFill>
                  <pic:spPr>
                    <a:xfrm>
                      <a:off x="0" y="0"/>
                      <a:ext cx="5216034" cy="4107642"/>
                    </a:xfrm>
                    <a:prstGeom prst="rect">
                      <a:avLst/>
                    </a:prstGeom>
                  </pic:spPr>
                </pic:pic>
              </a:graphicData>
            </a:graphic>
          </wp:inline>
        </w:drawing>
      </w:r>
    </w:p>
    <w:p w14:paraId="42D5A22B" w14:textId="6CB01FCF" w:rsidR="00616A97" w:rsidRPr="00660147" w:rsidRDefault="00616A97" w:rsidP="00845816">
      <w:pPr>
        <w:jc w:val="both"/>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56F35B17" w14:textId="6A0CB4A5" w:rsidR="00E82244" w:rsidRPr="00660147" w:rsidRDefault="00C343A8" w:rsidP="00845816">
      <w:pPr>
        <w:pStyle w:val="4"/>
        <w:jc w:val="both"/>
        <w:rPr>
          <w:rFonts w:ascii="楷体" w:eastAsia="楷体" w:hAnsi="楷体" w:hint="eastAsia"/>
          <w:color w:val="000000" w:themeColor="text1"/>
        </w:rPr>
      </w:pPr>
      <w:r w:rsidRPr="00660147">
        <w:rPr>
          <w:rFonts w:ascii="楷体" w:eastAsia="楷体" w:hAnsi="楷体" w:hint="eastAsia"/>
          <w:color w:val="000000" w:themeColor="text1"/>
        </w:rPr>
        <w:t xml:space="preserve">2.2.3.2 </w:t>
      </w:r>
      <w:r w:rsidR="00E82244" w:rsidRPr="00660147">
        <w:rPr>
          <w:rFonts w:ascii="楷体" w:eastAsia="楷体" w:hAnsi="楷体" w:hint="eastAsia"/>
          <w:color w:val="000000" w:themeColor="text1"/>
        </w:rPr>
        <w:t>AI 智能体</w:t>
      </w:r>
    </w:p>
    <w:p w14:paraId="382A62E8" w14:textId="77777777" w:rsidR="005D6D33" w:rsidRPr="00660147" w:rsidRDefault="005D6D33"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得益于海外企业客户良好的付费习惯以及成熟的 SaaS 订阅模式，海外 B 端 AI 智能体商业化进展迅速，头部产品 ARR/ACV 已接近十亿美元级别。企业 AI 智能体赛道的核心投资逻辑在于：</w:t>
      </w:r>
    </w:p>
    <w:p w14:paraId="3CC16885" w14:textId="6838F862" w:rsidR="005D6D33" w:rsidRPr="00660147" w:rsidRDefault="005D6D33" w:rsidP="00845816">
      <w:pPr>
        <w:jc w:val="both"/>
        <w:rPr>
          <w:rFonts w:ascii="楷体" w:eastAsia="楷体" w:hAnsi="楷体" w:hint="eastAsia"/>
          <w:color w:val="000000" w:themeColor="text1"/>
        </w:rPr>
      </w:pPr>
      <w:r w:rsidRPr="00660147">
        <w:rPr>
          <w:rFonts w:ascii="楷体" w:eastAsia="楷体" w:hAnsi="楷体" w:hint="eastAsia"/>
          <w:color w:val="000000" w:themeColor="text1"/>
        </w:rPr>
        <w:t>1）</w:t>
      </w:r>
      <w:r w:rsidR="00E5085E">
        <w:rPr>
          <w:rFonts w:ascii="楷体" w:eastAsia="楷体" w:hAnsi="楷体" w:hint="eastAsia"/>
          <w:color w:val="000000" w:themeColor="text1"/>
        </w:rPr>
        <w:t>部分</w:t>
      </w:r>
      <w:r w:rsidRPr="00660147">
        <w:rPr>
          <w:rFonts w:ascii="楷体" w:eastAsia="楷体" w:hAnsi="楷体" w:hint="eastAsia"/>
          <w:color w:val="000000" w:themeColor="text1"/>
        </w:rPr>
        <w:t xml:space="preserve">海外 SaaS </w:t>
      </w:r>
      <w:r w:rsidR="00E5085E">
        <w:rPr>
          <w:rFonts w:ascii="楷体" w:eastAsia="楷体" w:hAnsi="楷体" w:hint="eastAsia"/>
          <w:color w:val="000000" w:themeColor="text1"/>
        </w:rPr>
        <w:t>企业</w:t>
      </w:r>
      <w:r w:rsidRPr="00660147">
        <w:rPr>
          <w:rFonts w:ascii="楷体" w:eastAsia="楷体" w:hAnsi="楷体" w:hint="eastAsia"/>
          <w:color w:val="000000" w:themeColor="text1"/>
        </w:rPr>
        <w:t xml:space="preserve">的 AI 产品向上销售及增购正在从早期验证进入规模放量，Salesforce </w:t>
      </w:r>
      <w:proofErr w:type="spellStart"/>
      <w:r w:rsidRPr="00660147">
        <w:rPr>
          <w:rFonts w:ascii="楷体" w:eastAsia="楷体" w:hAnsi="楷体" w:hint="eastAsia"/>
          <w:color w:val="000000" w:themeColor="text1"/>
        </w:rPr>
        <w:t>Agentforce</w:t>
      </w:r>
      <w:proofErr w:type="spellEnd"/>
      <w:r w:rsidRPr="00660147">
        <w:rPr>
          <w:rFonts w:ascii="楷体" w:eastAsia="楷体" w:hAnsi="楷体" w:hint="eastAsia"/>
          <w:color w:val="000000" w:themeColor="text1"/>
        </w:rPr>
        <w:t xml:space="preserve"> 4QFY26 ARR 达 8 亿美元（同比+169%），ServiceNow Now </w:t>
      </w:r>
      <w:proofErr w:type="spellStart"/>
      <w:r w:rsidRPr="00660147">
        <w:rPr>
          <w:rFonts w:ascii="楷体" w:eastAsia="楷体" w:hAnsi="楷体" w:hint="eastAsia"/>
          <w:color w:val="000000" w:themeColor="text1"/>
        </w:rPr>
        <w:t>AssistACV</w:t>
      </w:r>
      <w:proofErr w:type="spellEnd"/>
      <w:r w:rsidRPr="00660147">
        <w:rPr>
          <w:rFonts w:ascii="楷体" w:eastAsia="楷体" w:hAnsi="楷体" w:hint="eastAsia"/>
          <w:color w:val="000000" w:themeColor="text1"/>
        </w:rPr>
        <w:t xml:space="preserve"> 突破 6 亿美元；</w:t>
      </w:r>
      <w:proofErr w:type="spellStart"/>
      <w:r w:rsidRPr="00660147">
        <w:rPr>
          <w:rFonts w:ascii="楷体" w:eastAsia="楷体" w:hAnsi="楷体" w:hint="eastAsia"/>
          <w:color w:val="000000" w:themeColor="text1"/>
        </w:rPr>
        <w:t>xAI</w:t>
      </w:r>
      <w:proofErr w:type="spellEnd"/>
      <w:r w:rsidRPr="00660147">
        <w:rPr>
          <w:rFonts w:ascii="楷体" w:eastAsia="楷体" w:hAnsi="楷体" w:hint="eastAsia"/>
          <w:color w:val="000000" w:themeColor="text1"/>
        </w:rPr>
        <w:t xml:space="preserve"> 以激进定价（Grok 4.1 Fast仅 0.20 美元/百万 input token）切入企业市场</w:t>
      </w:r>
      <w:r w:rsidR="00E5085E">
        <w:rPr>
          <w:rFonts w:ascii="楷体" w:eastAsia="楷体" w:hAnsi="楷体" w:hint="eastAsia"/>
          <w:color w:val="000000" w:themeColor="text1"/>
        </w:rPr>
        <w:t>。</w:t>
      </w:r>
    </w:p>
    <w:p w14:paraId="59B4767B" w14:textId="77777777" w:rsidR="005D6D33" w:rsidRPr="00660147" w:rsidRDefault="005D6D33" w:rsidP="00845816">
      <w:pPr>
        <w:jc w:val="both"/>
        <w:rPr>
          <w:rFonts w:ascii="楷体" w:eastAsia="楷体" w:hAnsi="楷体" w:hint="eastAsia"/>
          <w:color w:val="000000" w:themeColor="text1"/>
        </w:rPr>
      </w:pPr>
      <w:r w:rsidRPr="00660147">
        <w:rPr>
          <w:rFonts w:ascii="楷体" w:eastAsia="楷体" w:hAnsi="楷体" w:hint="eastAsia"/>
          <w:color w:val="000000" w:themeColor="text1"/>
        </w:rPr>
        <w:t>2）收费模式从席位制向"席位+使用量"混合制转型是行业共性趋势，Salesforce 已从最初的 2 美元/对话扩展为按对话、按行动（Flex Credits，0.10 美元/action）和按席位三种模式并行，ServiceNow 通过 assists 额度包实现按使用量计费。</w:t>
      </w:r>
    </w:p>
    <w:p w14:paraId="0F6165E5" w14:textId="6F819816" w:rsidR="005D6D33" w:rsidRPr="00660147" w:rsidRDefault="005D6D33" w:rsidP="00845816">
      <w:pPr>
        <w:jc w:val="both"/>
        <w:rPr>
          <w:rFonts w:ascii="楷体" w:eastAsia="楷体" w:hAnsi="楷体" w:hint="eastAsia"/>
          <w:color w:val="000000" w:themeColor="text1"/>
        </w:rPr>
      </w:pPr>
      <w:r w:rsidRPr="00660147">
        <w:rPr>
          <w:rFonts w:ascii="楷体" w:eastAsia="楷体" w:hAnsi="楷体" w:hint="eastAsia"/>
          <w:color w:val="000000" w:themeColor="text1"/>
        </w:rPr>
        <w:t>3）现有客户扩容是核心增长引擎，Salesforce 4QFY26 超 60%的 Agentforce 与 Data 360 订单来自老客增购；ServiceNow 4Q25 客服类 Now Assist 产品在续约时增售幅度超 70%，包含 5 款及以上 NowAssist 产品的订单数量同比增长超 10 倍。</w:t>
      </w:r>
    </w:p>
    <w:p w14:paraId="51FFF277" w14:textId="0E0C0C76" w:rsidR="00106375" w:rsidRPr="00660147" w:rsidRDefault="00106375" w:rsidP="00845816">
      <w:pPr>
        <w:jc w:val="both"/>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7F46C59C" wp14:editId="4DAC57C6">
            <wp:extent cx="5274310" cy="1645285"/>
            <wp:effectExtent l="0" t="0" r="2540" b="0"/>
            <wp:docPr id="196092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9151" name=""/>
                    <pic:cNvPicPr/>
                  </pic:nvPicPr>
                  <pic:blipFill>
                    <a:blip r:embed="rId20"/>
                    <a:stretch>
                      <a:fillRect/>
                    </a:stretch>
                  </pic:blipFill>
                  <pic:spPr>
                    <a:xfrm>
                      <a:off x="0" y="0"/>
                      <a:ext cx="5274310" cy="1645285"/>
                    </a:xfrm>
                    <a:prstGeom prst="rect">
                      <a:avLst/>
                    </a:prstGeom>
                  </pic:spPr>
                </pic:pic>
              </a:graphicData>
            </a:graphic>
          </wp:inline>
        </w:drawing>
      </w:r>
    </w:p>
    <w:p w14:paraId="32AC3F55" w14:textId="3B211891" w:rsidR="00106375" w:rsidRPr="00660147" w:rsidRDefault="00F45977" w:rsidP="00845816">
      <w:pPr>
        <w:jc w:val="both"/>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3CB3BAD6" w14:textId="0B3736F1" w:rsidR="003370CA" w:rsidRPr="00660147" w:rsidRDefault="00C343A8" w:rsidP="00845816">
      <w:pPr>
        <w:pStyle w:val="4"/>
        <w:jc w:val="both"/>
        <w:rPr>
          <w:rFonts w:ascii="楷体" w:eastAsia="楷体" w:hAnsi="楷体" w:hint="eastAsia"/>
          <w:color w:val="000000" w:themeColor="text1"/>
        </w:rPr>
      </w:pPr>
      <w:r w:rsidRPr="00660147">
        <w:rPr>
          <w:rFonts w:ascii="楷体" w:eastAsia="楷体" w:hAnsi="楷体" w:hint="eastAsia"/>
          <w:color w:val="000000" w:themeColor="text1"/>
        </w:rPr>
        <w:t xml:space="preserve">2.2.3.3 </w:t>
      </w:r>
      <w:r w:rsidR="003370CA" w:rsidRPr="00660147">
        <w:rPr>
          <w:rFonts w:ascii="楷体" w:eastAsia="楷体" w:hAnsi="楷体" w:hint="eastAsia"/>
          <w:color w:val="000000" w:themeColor="text1"/>
        </w:rPr>
        <w:t>AI</w:t>
      </w:r>
      <w:r w:rsidR="0002120E" w:rsidRPr="00660147">
        <w:rPr>
          <w:rFonts w:ascii="楷体" w:eastAsia="楷体" w:hAnsi="楷体" w:hint="eastAsia"/>
          <w:color w:val="000000" w:themeColor="text1"/>
        </w:rPr>
        <w:t xml:space="preserve"> </w:t>
      </w:r>
      <w:r w:rsidR="003370CA" w:rsidRPr="00660147">
        <w:rPr>
          <w:rFonts w:ascii="楷体" w:eastAsia="楷体" w:hAnsi="楷体" w:hint="eastAsia"/>
          <w:color w:val="000000" w:themeColor="text1"/>
        </w:rPr>
        <w:t>创意</w:t>
      </w:r>
    </w:p>
    <w:p w14:paraId="5515DD10" w14:textId="5574C5A4" w:rsidR="003370CA" w:rsidRPr="00660147" w:rsidRDefault="003370CA" w:rsidP="00845816">
      <w:pPr>
        <w:jc w:val="both"/>
        <w:rPr>
          <w:rFonts w:ascii="楷体" w:eastAsia="楷体" w:hAnsi="楷体" w:hint="eastAsia"/>
          <w:color w:val="000000" w:themeColor="text1"/>
        </w:rPr>
      </w:pPr>
      <w:r w:rsidRPr="00660147">
        <w:rPr>
          <w:rFonts w:ascii="楷体" w:eastAsia="楷体" w:hAnsi="楷体" w:hint="eastAsia"/>
          <w:color w:val="000000" w:themeColor="text1"/>
        </w:rPr>
        <w:t>AI 创意生成赛道涵盖图片、视频、音乐三个细分方向，早期商业化进展积极，但同时行业竞争亦在逐渐加剧。</w:t>
      </w:r>
    </w:p>
    <w:p w14:paraId="18ABD9AD" w14:textId="77777777" w:rsidR="003370CA" w:rsidRPr="00660147" w:rsidRDefault="003370CA" w:rsidP="00845816">
      <w:pPr>
        <w:jc w:val="both"/>
        <w:rPr>
          <w:rFonts w:ascii="楷体" w:eastAsia="楷体" w:hAnsi="楷体" w:hint="eastAsia"/>
          <w:color w:val="000000" w:themeColor="text1"/>
        </w:rPr>
      </w:pPr>
      <w:r w:rsidRPr="00660147">
        <w:rPr>
          <w:rFonts w:ascii="楷体" w:eastAsia="楷体" w:hAnsi="楷体" w:hint="eastAsia"/>
          <w:color w:val="000000" w:themeColor="text1"/>
        </w:rPr>
        <w:t>1）AI 在营销素材制作、视频/图片创作等场景已能大量替代人力，使用场景明确、用户付费意愿强，Midjourney、Adobe Firefly、快手可灵等均已实现超 2 亿美元 ARR；</w:t>
      </w:r>
    </w:p>
    <w:p w14:paraId="64F1F423" w14:textId="77777777" w:rsidR="003370CA" w:rsidRPr="00660147" w:rsidRDefault="003370CA" w:rsidP="00845816">
      <w:pPr>
        <w:jc w:val="both"/>
        <w:rPr>
          <w:rFonts w:ascii="楷体" w:eastAsia="楷体" w:hAnsi="楷体" w:hint="eastAsia"/>
          <w:color w:val="000000" w:themeColor="text1"/>
        </w:rPr>
      </w:pPr>
      <w:r w:rsidRPr="00660147">
        <w:rPr>
          <w:rFonts w:ascii="楷体" w:eastAsia="楷体" w:hAnsi="楷体" w:hint="eastAsia"/>
          <w:color w:val="000000" w:themeColor="text1"/>
        </w:rPr>
        <w:t>2）但行业竞争也在持续加剧：从 Artificial Intelligence 相关榜单变化趋势看，全球头部厂商之间尚未在创意生成领域拉开显著的模型能力或用户差距，仍需持续投入研发和算力以维持领先；</w:t>
      </w:r>
    </w:p>
    <w:p w14:paraId="66D4A703" w14:textId="77777777" w:rsidR="0002120E" w:rsidRPr="00660147" w:rsidRDefault="0002120E" w:rsidP="00845816">
      <w:pPr>
        <w:jc w:val="both"/>
        <w:rPr>
          <w:rFonts w:ascii="楷体" w:eastAsia="楷体" w:hAnsi="楷体" w:hint="eastAsia"/>
          <w:color w:val="000000" w:themeColor="text1"/>
        </w:rPr>
      </w:pPr>
    </w:p>
    <w:p w14:paraId="42C77B36" w14:textId="77777777" w:rsidR="0002120E" w:rsidRPr="00660147" w:rsidRDefault="0002120E" w:rsidP="00845816">
      <w:pPr>
        <w:jc w:val="both"/>
        <w:rPr>
          <w:rFonts w:ascii="楷体" w:eastAsia="楷体" w:hAnsi="楷体" w:hint="eastAsia"/>
          <w:color w:val="000000" w:themeColor="text1"/>
        </w:rPr>
      </w:pPr>
    </w:p>
    <w:p w14:paraId="27211EBB" w14:textId="30E77650" w:rsidR="0002120E" w:rsidRPr="00660147" w:rsidRDefault="0002120E" w:rsidP="00845816">
      <w:pPr>
        <w:jc w:val="both"/>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3AB29F53" wp14:editId="26901227">
            <wp:extent cx="5274310" cy="2555240"/>
            <wp:effectExtent l="0" t="0" r="2540" b="0"/>
            <wp:docPr id="612491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1759" name=""/>
                    <pic:cNvPicPr/>
                  </pic:nvPicPr>
                  <pic:blipFill>
                    <a:blip r:embed="rId21"/>
                    <a:stretch>
                      <a:fillRect/>
                    </a:stretch>
                  </pic:blipFill>
                  <pic:spPr>
                    <a:xfrm>
                      <a:off x="0" y="0"/>
                      <a:ext cx="5274310" cy="2555240"/>
                    </a:xfrm>
                    <a:prstGeom prst="rect">
                      <a:avLst/>
                    </a:prstGeom>
                  </pic:spPr>
                </pic:pic>
              </a:graphicData>
            </a:graphic>
          </wp:inline>
        </w:drawing>
      </w:r>
    </w:p>
    <w:p w14:paraId="4FC72A42" w14:textId="661A0A2F" w:rsidR="0002120E" w:rsidRPr="00660147" w:rsidRDefault="0002120E" w:rsidP="00845816">
      <w:pPr>
        <w:jc w:val="both"/>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589F3CDD" w14:textId="11C015DB" w:rsidR="004F7E65" w:rsidRPr="00C14DC4" w:rsidRDefault="00F14E9B" w:rsidP="00845816">
      <w:pPr>
        <w:pStyle w:val="2"/>
        <w:jc w:val="both"/>
        <w:rPr>
          <w:rFonts w:ascii="楷体" w:eastAsia="楷体" w:hAnsi="楷体" w:hint="eastAsia"/>
          <w:color w:val="000000" w:themeColor="text1"/>
          <w:sz w:val="32"/>
          <w:szCs w:val="32"/>
        </w:rPr>
      </w:pPr>
      <w:bookmarkStart w:id="16" w:name="_Toc228444767"/>
      <w:r w:rsidRPr="00C14DC4">
        <w:rPr>
          <w:rFonts w:ascii="楷体" w:eastAsia="楷体" w:hAnsi="楷体" w:hint="eastAsia"/>
          <w:color w:val="000000" w:themeColor="text1"/>
          <w:sz w:val="32"/>
          <w:szCs w:val="32"/>
        </w:rPr>
        <w:lastRenderedPageBreak/>
        <w:t>2.3产业瓶颈</w:t>
      </w:r>
      <w:bookmarkEnd w:id="16"/>
    </w:p>
    <w:p w14:paraId="6FEEDE7F" w14:textId="339C80BC" w:rsidR="004F7E65" w:rsidRPr="00C14DC4" w:rsidRDefault="00F14E9B" w:rsidP="00845816">
      <w:pPr>
        <w:pStyle w:val="3"/>
        <w:jc w:val="both"/>
        <w:rPr>
          <w:rFonts w:ascii="楷体" w:eastAsia="楷体" w:hAnsi="楷体" w:hint="eastAsia"/>
          <w:color w:val="000000" w:themeColor="text1"/>
          <w:sz w:val="30"/>
          <w:szCs w:val="30"/>
        </w:rPr>
      </w:pPr>
      <w:bookmarkStart w:id="17" w:name="_Toc228444768"/>
      <w:r w:rsidRPr="00C14DC4">
        <w:rPr>
          <w:rFonts w:ascii="楷体" w:eastAsia="楷体" w:hAnsi="楷体" w:hint="eastAsia"/>
          <w:color w:val="000000" w:themeColor="text1"/>
          <w:sz w:val="30"/>
          <w:szCs w:val="30"/>
        </w:rPr>
        <w:t>2.3.1技术瓶颈</w:t>
      </w:r>
      <w:bookmarkEnd w:id="17"/>
    </w:p>
    <w:p w14:paraId="39DAA3C6"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当前，大模型的技术发展已从单纯的参数规模竞赛，转向对模型效能、可靠性及综合成本的深度攻坚，基础能力提升放缓与工程化难题并存。</w:t>
      </w:r>
    </w:p>
    <w:p w14:paraId="13C9C3A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14:paraId="3E641757"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其次，模型固有的技术缺陷仍是规模化应用的拦路虎。“幻觉”（生成错误或虚构内容）、数据安全与隐私泄露、算法偏见等问题尚未得到根本性解决。在容错率极低的工业、医疗、金融等严肃场景中，模型的“黑箱”特性和低容错问题构成了应用信任壁垒。</w:t>
      </w:r>
    </w:p>
    <w:p w14:paraId="20E0427E" w14:textId="56D49601"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最后，算力与数据成本高企，构成难以逾越的经济门槛。训练千亿参数模型需要数千张高端GPU，成本达数亿元。推理阶段的算力消耗同样巨大。与此同时，“数据孤岛”问题导致高质量、专业化的领域数据稀缺，制约了模型在垂直场景中的表现优化。</w:t>
      </w:r>
    </w:p>
    <w:p w14:paraId="47E8147A" w14:textId="134F8525" w:rsidR="004F7E65" w:rsidRPr="00C14DC4" w:rsidRDefault="00F14E9B" w:rsidP="00845816">
      <w:pPr>
        <w:pStyle w:val="3"/>
        <w:jc w:val="both"/>
        <w:rPr>
          <w:rFonts w:ascii="楷体" w:eastAsia="楷体" w:hAnsi="楷体" w:hint="eastAsia"/>
          <w:color w:val="000000" w:themeColor="text1"/>
          <w:sz w:val="30"/>
          <w:szCs w:val="30"/>
        </w:rPr>
      </w:pPr>
      <w:bookmarkStart w:id="18" w:name="_Toc228444769"/>
      <w:r w:rsidRPr="00C14DC4">
        <w:rPr>
          <w:rFonts w:ascii="楷体" w:eastAsia="楷体" w:hAnsi="楷体" w:hint="eastAsia"/>
          <w:color w:val="000000" w:themeColor="text1"/>
          <w:sz w:val="30"/>
          <w:szCs w:val="30"/>
        </w:rPr>
        <w:t>2.3.2资源瓶颈</w:t>
      </w:r>
      <w:bookmarkEnd w:id="18"/>
    </w:p>
    <w:p w14:paraId="2D666EC7"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一、 算力需求井喷：从模型训练到智能体应用的结构性跃迁</w:t>
      </w:r>
    </w:p>
    <w:p w14:paraId="4DB495B2"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当前算力短缺的首要驱动力，源于AI应用范式的根本性转变。需求侧已从早期的大模型训练“军备竞赛”，演进至由智能体（Agent）和多模态应用规模化落地所引爆的推理需求“海啸”。这一转变使得算力消耗呈现指数级增长，彻底颠覆了原有的供需平衡。</w:t>
      </w:r>
    </w:p>
    <w:p w14:paraId="541049B8" w14:textId="3FE47043"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2026年初以来，以智能体为代表的AI原生应用进入大规模部署阶段，其常态化、长时程运行特性对算力构成了持续且庞大的消耗。与此同时，文生图、文生视频等多模态应用迅速普及，进一步推高了算力需求。根据行业数据，2026年4月，API聚合平台OpenRouter的周度累计Token消耗量较一年前激增约7-8倍</w:t>
      </w:r>
      <w:r w:rsidR="005B1233" w:rsidRPr="00660147">
        <w:rPr>
          <w:rFonts w:ascii="楷体" w:eastAsia="楷体" w:hAnsi="楷体" w:hint="eastAsia"/>
          <w:color w:val="000000" w:themeColor="text1"/>
          <w:szCs w:val="22"/>
        </w:rPr>
        <w:t>。而根据智谱和minimax财报，智谱的营业成本和研发成本均有70%投入算力，minimax营业成本中有90%投入了算力</w:t>
      </w:r>
      <w:r w:rsidR="00B179FD" w:rsidRPr="00660147">
        <w:rPr>
          <w:rFonts w:ascii="楷体" w:eastAsia="楷体" w:hAnsi="楷体" w:hint="eastAsia"/>
          <w:color w:val="000000" w:themeColor="text1"/>
          <w:szCs w:val="22"/>
        </w:rPr>
        <w:t>。算力的紧缺已经成为一种客观实然，整个</w:t>
      </w:r>
      <w:r w:rsidRPr="00660147">
        <w:rPr>
          <w:rFonts w:ascii="楷体" w:eastAsia="楷体" w:hAnsi="楷体" w:hint="eastAsia"/>
          <w:color w:val="000000" w:themeColor="text1"/>
          <w:szCs w:val="22"/>
        </w:rPr>
        <w:t>算力市场进入了由</w:t>
      </w:r>
      <w:r w:rsidR="005B1233" w:rsidRPr="00660147">
        <w:rPr>
          <w:rFonts w:ascii="楷体" w:eastAsia="楷体" w:hAnsi="楷体" w:hint="eastAsia"/>
          <w:color w:val="000000" w:themeColor="text1"/>
          <w:szCs w:val="22"/>
        </w:rPr>
        <w:t>AI</w:t>
      </w:r>
      <w:r w:rsidRPr="00660147">
        <w:rPr>
          <w:rFonts w:ascii="楷体" w:eastAsia="楷体" w:hAnsi="楷体" w:hint="eastAsia"/>
          <w:color w:val="000000" w:themeColor="text1"/>
          <w:szCs w:val="22"/>
        </w:rPr>
        <w:t>驱动的新周期。</w:t>
      </w:r>
    </w:p>
    <w:p w14:paraId="76FCB333" w14:textId="3E20ED81"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需求的强劲增长直接体现在市场价格与商业行为上。近期，国内外云服务商和模型提供商密集上调服务价格，这并非简单的策略调整，而是高性能算力资源稀缺性的直接反映。国内方面，腾讯云、百度智能云、阿里云等均在2026年3月至5月期间对AI算力及相关产品进行提价，幅度从5%到34%不等。模型侧，智谱、商汤等也同步上调了服务费用。海外市场，Anthropic将其企业版服务从固定费用改为按实际算力消耗计费。这一系列</w:t>
      </w:r>
      <w:r w:rsidRPr="00660147">
        <w:rPr>
          <w:rFonts w:ascii="楷体" w:eastAsia="楷体" w:hAnsi="楷体" w:hint="eastAsia"/>
          <w:color w:val="000000" w:themeColor="text1"/>
          <w:szCs w:val="22"/>
        </w:rPr>
        <w:lastRenderedPageBreak/>
        <w:t>动作表明，行业正从“低价换市场”的扩张阶段，转向对稀缺算力资源和高质量模型能力的“价值重估”阶段。</w:t>
      </w:r>
    </w:p>
    <w:p w14:paraId="0A67E3EE"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作为算力市场的“温度计”，高端GPU的租赁价格清晰反映了供需格局。英伟达H100的租赁价格在2025年因短期供需调整一度低于2美元/小时，但进入2026年，随着需求井喷，价格已强势回升至2.35美元/小时以上，国内月租价格高达5.5-6.0万元。新一代Blackwell GPU同样面临供应告急，交付周期已延长至2026年6-7月，其产能已被预订一空。价格曲线的“V型”反转，为本轮算力短缺的强度和持续性提供了最直观的注脚。</w:t>
      </w:r>
    </w:p>
    <w:p w14:paraId="4E9FD6F6"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二、 硬件产能瓶颈：供应链多重约束下的扩张天花板</w:t>
      </w:r>
    </w:p>
    <w:p w14:paraId="6506695E"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面对汹涌的需求，算力硬件的供给扩张却面临着一系列物理、技术和供应链上的刚性约束。瓶颈并非单一存在，而是在产业链不同环节间动态转移，最终从系统层面锁死了产能的扩张速度。</w:t>
      </w:r>
    </w:p>
    <w:p w14:paraId="4205185C"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1. 核心芯片制造：从先进制程到光刻机的终极约束</w:t>
      </w:r>
    </w:p>
    <w:p w14:paraId="588459C3"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AI芯片的制造依赖于全球最精密的半导体供应链，其中多个环节已成为瓶颈。</w:t>
      </w:r>
    </w:p>
    <w:p w14:paraId="68746D99"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先进制程产能集中且紧缺：台积电垄断了全球80%以上的先进制程产能。建设1GW（吉瓦）算力的数据中心，约需5.5万片3nm和6000片5nm晶圆，英伟达已提前锁定台积电大量3nm产能。国内CPU供给亦因台积电产能不足及英特尔自身制程良率问题而紧张。</w:t>
      </w:r>
    </w:p>
    <w:p w14:paraId="559D65A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E</w:t>
      </w:r>
      <w:bookmarkStart w:id="19" w:name="OLE_LINK1"/>
      <w:r w:rsidRPr="00660147">
        <w:rPr>
          <w:rFonts w:ascii="楷体" w:eastAsia="楷体" w:hAnsi="楷体" w:hint="eastAsia"/>
          <w:color w:val="000000" w:themeColor="text1"/>
          <w:szCs w:val="22"/>
        </w:rPr>
        <w:t>UV光刻机成为物理天花板：产能扩张的终极瓶颈指向了半导体设备，尤其是极紫外（EUV）光刻机。目前全球EUV光刻机由ASML独家供应，年产量仅约70台，未来几年缓慢增长至80-100台5。据测算，支撑1GW AI芯片产能需要约3.5台EUV光刻机全年运转，而建设这1GW数据中心的总投资高达500亿美元。光刻机供应链（如蔡司的镜头、Cymer的光源）高度复杂且专业化，扩产周期极长，从物理上限定了全球每年可新增的先进算力总规模。</w:t>
      </w:r>
    </w:p>
    <w:bookmarkEnd w:id="19"/>
    <w:p w14:paraId="125217DB"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2. 存储与封装：HBM短缺与先进封装产能制约</w:t>
      </w:r>
    </w:p>
    <w:p w14:paraId="7269F204" w14:textId="189D3746"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HBM内存供需严重失衡：大语言模型的瓶颈往往是内存带宽而非算力。HBM作为高性能AI芯片的标配，其生产效率远低于普通DRAM，同样晶圆面积产出容量仅为后者的1/3到1/43。需求爆发导致HBM价格飙升，</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为确保供应，签订了价值约900亿美元的</w:t>
      </w:r>
      <w:r w:rsidR="004726BD" w:rsidRPr="00660147">
        <w:rPr>
          <w:rFonts w:ascii="楷体" w:eastAsia="楷体" w:hAnsi="楷体"/>
          <w:color w:val="000000" w:themeColor="text1"/>
          <w:szCs w:val="22"/>
        </w:rPr>
        <w:t>长期预付款及采购承诺（Long-term Purchase Obligations）</w:t>
      </w:r>
      <w:proofErr w:type="gramStart"/>
      <w:r w:rsidR="004726BD" w:rsidRPr="00660147">
        <w:rPr>
          <w:rFonts w:ascii="楷体" w:eastAsia="楷体" w:hAnsi="楷体"/>
          <w:color w:val="000000" w:themeColor="text1"/>
          <w:szCs w:val="22"/>
        </w:rPr>
        <w:t>”</w:t>
      </w:r>
      <w:proofErr w:type="gramEnd"/>
      <w:r w:rsidRPr="00660147">
        <w:rPr>
          <w:rFonts w:ascii="楷体" w:eastAsia="楷体" w:hAnsi="楷体" w:hint="eastAsia"/>
          <w:color w:val="000000" w:themeColor="text1"/>
          <w:szCs w:val="22"/>
        </w:rPr>
        <w:t>。DRAM产能整体紧张，2025年DDR4价格大幅上涨，其背后是供给年增约10%而需求增长超20%的尖锐矛盾。</w:t>
      </w:r>
    </w:p>
    <w:p w14:paraId="65766BE7"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w:t>
      </w:r>
      <w:r w:rsidRPr="00660147">
        <w:rPr>
          <w:rFonts w:ascii="楷体" w:eastAsia="楷体" w:hAnsi="楷体" w:hint="eastAsia"/>
          <w:color w:val="000000" w:themeColor="text1"/>
          <w:szCs w:val="22"/>
        </w:rPr>
        <w:lastRenderedPageBreak/>
        <w:t>断且扩产缓慢而受限。</w:t>
      </w:r>
    </w:p>
    <w:p w14:paraId="0B165EDA"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3. 光互连与系统配套：瓶颈向上游传导</w:t>
      </w:r>
    </w:p>
    <w:p w14:paraId="7441942E"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随着AI集群规模扩大，算力瓶颈从GPU芯片本身向确保集群高效互联的“系统配套”环节扩散。</w:t>
      </w:r>
    </w:p>
    <w:p w14:paraId="12DE9164" w14:textId="1B891569"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光器件与光模块成为新瓶颈：高速光互连是万卡乃至更大规模集群的“神经网络”。光通信</w:t>
      </w:r>
      <w:proofErr w:type="spellStart"/>
      <w:r w:rsidRPr="00660147">
        <w:rPr>
          <w:rFonts w:ascii="楷体" w:eastAsia="楷体" w:hAnsi="楷体" w:hint="eastAsia"/>
          <w:color w:val="000000" w:themeColor="text1"/>
          <w:szCs w:val="22"/>
        </w:rPr>
        <w:t>Lumentum</w:t>
      </w:r>
      <w:proofErr w:type="spellEnd"/>
      <w:r w:rsidRPr="00660147">
        <w:rPr>
          <w:rFonts w:ascii="楷体" w:eastAsia="楷体" w:hAnsi="楷体" w:hint="eastAsia"/>
          <w:color w:val="000000" w:themeColor="text1"/>
          <w:szCs w:val="22"/>
        </w:rPr>
        <w:t>表示，</w:t>
      </w:r>
      <w:proofErr w:type="gramStart"/>
      <w:r w:rsidRPr="00660147">
        <w:rPr>
          <w:rFonts w:ascii="楷体" w:eastAsia="楷体" w:hAnsi="楷体" w:hint="eastAsia"/>
          <w:color w:val="000000" w:themeColor="text1"/>
          <w:szCs w:val="22"/>
        </w:rPr>
        <w:t>若需求</w:t>
      </w:r>
      <w:proofErr w:type="gramEnd"/>
      <w:r w:rsidRPr="00660147">
        <w:rPr>
          <w:rFonts w:ascii="楷体" w:eastAsia="楷体" w:hAnsi="楷体" w:hint="eastAsia"/>
          <w:color w:val="000000" w:themeColor="text1"/>
          <w:szCs w:val="22"/>
        </w:rPr>
        <w:t>趋势延续，其在未来两个季度内就可能将2028年底前的产能预订一空。这反映出网络侧扩容需求已远超当前产能规划。磷化铟等高端光器件制造工艺复杂、供应链迁移难度大，扩产非简单增加设备即可完成。</w:t>
      </w:r>
    </w:p>
    <w:p w14:paraId="7F7C535C"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电力与基础设施的长期挑战：虽然短期内芯片是更紧的瓶颈，但电力供应是潜在的长期约束。AI数据中心功耗惊人，Blackwell机柜功率超过120千瓦。重型燃气轮机等关键电力设备的交付周期长达3-4年，产能也已排满。尽管可通过“电表后”解决方案缓解，但成本将上升。</w:t>
      </w:r>
    </w:p>
    <w:p w14:paraId="5F96ECCD" w14:textId="6A947BB7" w:rsidR="004F7E65" w:rsidRPr="00C14DC4" w:rsidRDefault="00F14E9B" w:rsidP="00845816">
      <w:pPr>
        <w:pStyle w:val="3"/>
        <w:jc w:val="both"/>
        <w:rPr>
          <w:rFonts w:ascii="楷体" w:eastAsia="楷体" w:hAnsi="楷体" w:hint="eastAsia"/>
          <w:color w:val="000000" w:themeColor="text1"/>
          <w:sz w:val="30"/>
          <w:szCs w:val="30"/>
        </w:rPr>
      </w:pPr>
      <w:bookmarkStart w:id="20" w:name="_Toc228444770"/>
      <w:r w:rsidRPr="00C14DC4">
        <w:rPr>
          <w:rFonts w:ascii="楷体" w:eastAsia="楷体" w:hAnsi="楷体" w:hint="eastAsia"/>
          <w:color w:val="000000" w:themeColor="text1"/>
          <w:sz w:val="30"/>
          <w:szCs w:val="30"/>
        </w:rPr>
        <w:t>2.3.3商业瓶颈</w:t>
      </w:r>
      <w:bookmarkEnd w:id="20"/>
    </w:p>
    <w:p w14:paraId="3C076265" w14:textId="3A0B40BB" w:rsidR="004F7E65" w:rsidRPr="00660147" w:rsidRDefault="005A4D99" w:rsidP="00845816">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产业已从商业模式探索期进入初步规模化阶段，但“叫好不叫座”的困境普遍存在，盈利闭环难以形成。</w:t>
      </w:r>
      <w:r w:rsidR="006A1788" w:rsidRPr="00660147">
        <w:rPr>
          <w:rFonts w:ascii="楷体" w:eastAsia="楷体" w:hAnsi="楷体" w:hint="eastAsia"/>
          <w:color w:val="000000" w:themeColor="text1"/>
          <w:szCs w:val="22"/>
        </w:rPr>
        <w:t>在最新ARR上，</w:t>
      </w:r>
      <w:r w:rsidR="009959AC" w:rsidRPr="00660147">
        <w:rPr>
          <w:rFonts w:ascii="楷体" w:eastAsia="楷体" w:hAnsi="楷体" w:hint="eastAsia"/>
          <w:color w:val="000000" w:themeColor="text1"/>
          <w:szCs w:val="22"/>
        </w:rPr>
        <w:t>Anthropic</w:t>
      </w:r>
      <w:r w:rsidR="006A1788" w:rsidRPr="00660147">
        <w:rPr>
          <w:rFonts w:ascii="楷体" w:eastAsia="楷体" w:hAnsi="楷体" w:hint="eastAsia"/>
          <w:color w:val="000000" w:themeColor="text1"/>
          <w:szCs w:val="22"/>
        </w:rPr>
        <w:t>达到300亿美元，OpenAI达到约250亿美元</w:t>
      </w:r>
      <w:r w:rsidR="00807A6A" w:rsidRPr="00660147">
        <w:rPr>
          <w:rFonts w:ascii="楷体" w:eastAsia="楷体" w:hAnsi="楷体" w:hint="eastAsia"/>
          <w:color w:val="000000" w:themeColor="text1"/>
          <w:szCs w:val="22"/>
        </w:rPr>
        <w:t>。可</w:t>
      </w:r>
      <w:r w:rsidR="004A0C08" w:rsidRPr="00660147">
        <w:rPr>
          <w:rFonts w:ascii="楷体" w:eastAsia="楷体" w:hAnsi="楷体" w:hint="eastAsia"/>
          <w:color w:val="000000" w:themeColor="text1"/>
          <w:szCs w:val="22"/>
        </w:rPr>
        <w:t>即使如此，</w:t>
      </w:r>
      <w:r w:rsidR="006A1788" w:rsidRPr="00660147">
        <w:rPr>
          <w:rFonts w:ascii="楷体" w:eastAsia="楷体" w:hAnsi="楷体" w:hint="eastAsia"/>
          <w:color w:val="000000" w:themeColor="text1"/>
          <w:szCs w:val="22"/>
        </w:rPr>
        <w:t>OpenAI月亏损仍达到20亿美元/月</w:t>
      </w:r>
      <w:r w:rsidR="003C298E">
        <w:rPr>
          <w:rFonts w:ascii="楷体" w:eastAsia="楷体" w:hAnsi="楷体" w:hint="eastAsia"/>
          <w:color w:val="000000" w:themeColor="text1"/>
          <w:szCs w:val="22"/>
        </w:rPr>
        <w:t>。</w:t>
      </w:r>
      <w:r w:rsidR="00CA008E" w:rsidRPr="00660147">
        <w:rPr>
          <w:rFonts w:ascii="楷体" w:eastAsia="楷体" w:hAnsi="楷体" w:hint="eastAsia"/>
          <w:color w:val="000000" w:themeColor="text1"/>
          <w:szCs w:val="22"/>
        </w:rPr>
        <w:t>Anthropic方面</w:t>
      </w:r>
      <w:r w:rsidR="00517232" w:rsidRPr="00660147">
        <w:rPr>
          <w:rFonts w:ascii="楷体" w:eastAsia="楷体" w:hAnsi="楷体" w:hint="eastAsia"/>
          <w:color w:val="000000" w:themeColor="text1"/>
          <w:szCs w:val="22"/>
        </w:rPr>
        <w:t>出于对于服务算力紧张的考虑，海外预期2026年净损失在100-120亿美元之间</w:t>
      </w:r>
      <w:r w:rsidR="00CA008E" w:rsidRPr="00660147">
        <w:rPr>
          <w:rFonts w:ascii="楷体" w:eastAsia="楷体" w:hAnsi="楷体" w:hint="eastAsia"/>
          <w:color w:val="000000" w:themeColor="text1"/>
          <w:szCs w:val="22"/>
        </w:rPr>
        <w:t>，预计2028年实现盈利</w:t>
      </w:r>
      <w:r w:rsidR="00807A6A" w:rsidRPr="00660147">
        <w:rPr>
          <w:rFonts w:ascii="楷体" w:eastAsia="楷体" w:hAnsi="楷体" w:hint="eastAsia"/>
          <w:color w:val="000000" w:themeColor="text1"/>
          <w:szCs w:val="22"/>
        </w:rPr>
        <w:t>。</w:t>
      </w:r>
    </w:p>
    <w:p w14:paraId="2F978A1F" w14:textId="77777777" w:rsidR="00C3021C" w:rsidRPr="00660147" w:rsidRDefault="005A4D99" w:rsidP="00845816">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w:t>
      </w:r>
    </w:p>
    <w:p w14:paraId="3E03958A" w14:textId="16684AEC" w:rsidR="00C3021C" w:rsidRPr="00660147" w:rsidRDefault="005A4D99" w:rsidP="00845816">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成本端，从训练到推理的全流程都依赖高额算力投入，</w:t>
      </w:r>
      <w:r w:rsidR="00C3021C" w:rsidRPr="00660147">
        <w:rPr>
          <w:rFonts w:ascii="楷体" w:eastAsia="楷体" w:hAnsi="楷体" w:hint="eastAsia"/>
          <w:color w:val="000000" w:themeColor="text1"/>
          <w:szCs w:val="22"/>
        </w:rPr>
        <w:t>基于</w:t>
      </w:r>
      <w:r w:rsidR="00627615" w:rsidRPr="00660147">
        <w:rPr>
          <w:rFonts w:ascii="楷体" w:eastAsia="楷体" w:hAnsi="楷体" w:hint="eastAsia"/>
          <w:color w:val="000000" w:themeColor="text1"/>
          <w:szCs w:val="22"/>
        </w:rPr>
        <w:t>改良</w:t>
      </w:r>
      <w:r w:rsidR="00C3021C" w:rsidRPr="00660147">
        <w:rPr>
          <w:rFonts w:ascii="楷体" w:eastAsia="楷体" w:hAnsi="楷体" w:hint="eastAsia"/>
          <w:color w:val="000000" w:themeColor="text1"/>
          <w:szCs w:val="22"/>
        </w:rPr>
        <w:t>transformer</w:t>
      </w:r>
      <w:r w:rsidR="00AB0E71" w:rsidRPr="00660147">
        <w:rPr>
          <w:rFonts w:ascii="楷体" w:eastAsia="楷体" w:hAnsi="楷体" w:hint="eastAsia"/>
          <w:color w:val="000000" w:themeColor="text1"/>
          <w:szCs w:val="22"/>
        </w:rPr>
        <w:t>的结构存在</w:t>
      </w:r>
      <w:r w:rsidR="00D94C6B" w:rsidRPr="00660147">
        <w:rPr>
          <w:rFonts w:ascii="楷体" w:eastAsia="楷体" w:hAnsi="楷体" w:hint="eastAsia"/>
          <w:color w:val="000000" w:themeColor="text1"/>
          <w:szCs w:val="22"/>
        </w:rPr>
        <w:t>先天不足，其复杂度从O(n^2)到接近O(n)不等</w:t>
      </w:r>
      <w:r w:rsidR="00E42215" w:rsidRPr="00660147">
        <w:rPr>
          <w:rFonts w:ascii="楷体" w:eastAsia="楷体" w:hAnsi="楷体" w:hint="eastAsia"/>
          <w:color w:val="000000" w:themeColor="text1"/>
          <w:szCs w:val="22"/>
        </w:rPr>
        <w:t>。</w:t>
      </w:r>
      <w:r w:rsidR="00D94C6B" w:rsidRPr="00660147">
        <w:rPr>
          <w:rFonts w:ascii="楷体" w:eastAsia="楷体" w:hAnsi="楷体" w:hint="eastAsia"/>
          <w:color w:val="000000" w:themeColor="text1"/>
          <w:szCs w:val="22"/>
        </w:rPr>
        <w:t>考虑到工程</w:t>
      </w:r>
      <w:r w:rsidR="002D174D" w:rsidRPr="00660147">
        <w:rPr>
          <w:rFonts w:ascii="楷体" w:eastAsia="楷体" w:hAnsi="楷体" w:hint="eastAsia"/>
          <w:color w:val="000000" w:themeColor="text1"/>
          <w:szCs w:val="22"/>
        </w:rPr>
        <w:t>优化在多数时候仅仅在时空资源调配上进行变换，</w:t>
      </w:r>
      <w:r w:rsidR="00AB0E71" w:rsidRPr="00660147">
        <w:rPr>
          <w:rFonts w:ascii="楷体" w:eastAsia="楷体" w:hAnsi="楷体" w:hint="eastAsia"/>
          <w:color w:val="000000" w:themeColor="text1"/>
          <w:szCs w:val="22"/>
        </w:rPr>
        <w:t>所以</w:t>
      </w:r>
      <w:r w:rsidR="002D174D" w:rsidRPr="00660147">
        <w:rPr>
          <w:rFonts w:ascii="楷体" w:eastAsia="楷体" w:hAnsi="楷体" w:hint="eastAsia"/>
          <w:color w:val="000000" w:themeColor="text1"/>
          <w:szCs w:val="22"/>
        </w:rPr>
        <w:t>线性</w:t>
      </w:r>
      <w:r w:rsidR="00AB0E71" w:rsidRPr="00660147">
        <w:rPr>
          <w:rFonts w:ascii="楷体" w:eastAsia="楷体" w:hAnsi="楷体" w:hint="eastAsia"/>
          <w:color w:val="000000" w:themeColor="text1"/>
          <w:szCs w:val="22"/>
        </w:rPr>
        <w:t>复杂度</w:t>
      </w:r>
      <w:r w:rsidR="002D174D" w:rsidRPr="00660147">
        <w:rPr>
          <w:rFonts w:ascii="楷体" w:eastAsia="楷体" w:hAnsi="楷体" w:hint="eastAsia"/>
          <w:color w:val="000000" w:themeColor="text1"/>
          <w:szCs w:val="22"/>
        </w:rPr>
        <w:t>更多只是作为一种理想情况存在，这意味着</w:t>
      </w:r>
      <w:r w:rsidR="00FF5C51" w:rsidRPr="00660147">
        <w:rPr>
          <w:rFonts w:ascii="楷体" w:eastAsia="楷体" w:hAnsi="楷体" w:hint="eastAsia"/>
          <w:color w:val="000000" w:themeColor="text1"/>
          <w:szCs w:val="22"/>
        </w:rPr>
        <w:t>大模型的扩展从根源上不具备经济惯性加速的特质，除非算力端成本急速塌缩，否则</w:t>
      </w:r>
      <w:r w:rsidR="004D3239" w:rsidRPr="00660147">
        <w:rPr>
          <w:rFonts w:ascii="楷体" w:eastAsia="楷体" w:hAnsi="楷体" w:hint="eastAsia"/>
          <w:color w:val="000000" w:themeColor="text1"/>
          <w:szCs w:val="22"/>
        </w:rPr>
        <w:t>依靠大模型自身无法实现规模经济，也很难通过算法改良使得自身成本成规模下降。这意味着无论</w:t>
      </w:r>
      <w:r w:rsidRPr="00660147">
        <w:rPr>
          <w:rFonts w:ascii="楷体" w:eastAsia="楷体" w:hAnsi="楷体" w:hint="eastAsia"/>
          <w:color w:val="000000" w:themeColor="text1"/>
          <w:szCs w:val="22"/>
        </w:rPr>
        <w:t>B端私有化部署的定制开发，还是C端规模扩张所需的算力扩容，成本均随业务推进</w:t>
      </w:r>
      <w:r w:rsidR="00FF54E9" w:rsidRPr="00660147">
        <w:rPr>
          <w:rFonts w:ascii="楷体" w:eastAsia="楷体" w:hAnsi="楷体" w:hint="eastAsia"/>
          <w:color w:val="000000" w:themeColor="text1"/>
          <w:szCs w:val="22"/>
        </w:rPr>
        <w:t>加速</w:t>
      </w:r>
      <w:r w:rsidRPr="00660147">
        <w:rPr>
          <w:rFonts w:ascii="楷体" w:eastAsia="楷体" w:hAnsi="楷体" w:hint="eastAsia"/>
          <w:color w:val="000000" w:themeColor="text1"/>
          <w:szCs w:val="22"/>
        </w:rPr>
        <w:t>攀升。</w:t>
      </w:r>
    </w:p>
    <w:p w14:paraId="02568214" w14:textId="36C982D0"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盈利模式上，单纯的API调用模式因算力成本高企和头部企业的价格战，导致中小厂商陷入“用户越多亏损越大”的困境。尽管行业转向高附加值的解决方案与模型授权，但多数大模型应用仍处试验阶段，并未实现规模化盈利</w:t>
      </w:r>
      <w:r w:rsidR="00AB0E71" w:rsidRPr="00660147">
        <w:rPr>
          <w:rFonts w:ascii="楷体" w:eastAsia="楷体" w:hAnsi="楷体" w:hint="eastAsia"/>
          <w:color w:val="000000" w:themeColor="text1"/>
          <w:szCs w:val="22"/>
        </w:rPr>
        <w:t>，</w:t>
      </w:r>
      <w:r w:rsidR="00FF54E9" w:rsidRPr="00660147">
        <w:rPr>
          <w:rFonts w:ascii="楷体" w:eastAsia="楷体" w:hAnsi="楷体" w:hint="eastAsia"/>
          <w:color w:val="000000" w:themeColor="text1"/>
          <w:szCs w:val="22"/>
        </w:rPr>
        <w:t>更有OpenAI因免费用户过多</w:t>
      </w:r>
      <w:r w:rsidR="00AB0E71" w:rsidRPr="00660147">
        <w:rPr>
          <w:rFonts w:ascii="楷体" w:eastAsia="楷体" w:hAnsi="楷体" w:hint="eastAsia"/>
          <w:color w:val="000000" w:themeColor="text1"/>
          <w:szCs w:val="22"/>
        </w:rPr>
        <w:t>导</w:t>
      </w:r>
      <w:r w:rsidR="00AB0E71" w:rsidRPr="00660147">
        <w:rPr>
          <w:rFonts w:ascii="楷体" w:eastAsia="楷体" w:hAnsi="楷体" w:hint="eastAsia"/>
          <w:color w:val="000000" w:themeColor="text1"/>
          <w:szCs w:val="22"/>
        </w:rPr>
        <w:lastRenderedPageBreak/>
        <w:t>致算力压力过大，</w:t>
      </w:r>
      <w:r w:rsidR="00FF54E9" w:rsidRPr="00660147">
        <w:rPr>
          <w:rFonts w:ascii="楷体" w:eastAsia="楷体" w:hAnsi="楷体" w:hint="eastAsia"/>
          <w:color w:val="000000" w:themeColor="text1"/>
          <w:szCs w:val="22"/>
        </w:rPr>
        <w:t>而不得不加速转向B端的前例，因此新盈利模式的发现和塑造也是</w:t>
      </w:r>
      <w:r w:rsidR="00AB0E71" w:rsidRPr="00660147">
        <w:rPr>
          <w:rFonts w:ascii="楷体" w:eastAsia="楷体" w:hAnsi="楷体" w:hint="eastAsia"/>
          <w:color w:val="000000" w:themeColor="text1"/>
          <w:szCs w:val="22"/>
        </w:rPr>
        <w:t>成为重大瓶颈之一。</w:t>
      </w:r>
    </w:p>
    <w:p w14:paraId="4BC8F462" w14:textId="4834A90C" w:rsidR="004F7E65" w:rsidRPr="00C14DC4" w:rsidRDefault="00F14E9B" w:rsidP="00845816">
      <w:pPr>
        <w:pStyle w:val="3"/>
        <w:jc w:val="both"/>
        <w:rPr>
          <w:rFonts w:ascii="楷体" w:eastAsia="楷体" w:hAnsi="楷体" w:hint="eastAsia"/>
          <w:color w:val="000000" w:themeColor="text1"/>
          <w:sz w:val="30"/>
          <w:szCs w:val="30"/>
        </w:rPr>
      </w:pPr>
      <w:bookmarkStart w:id="21" w:name="_Toc228444771"/>
      <w:r w:rsidRPr="00C14DC4">
        <w:rPr>
          <w:rFonts w:ascii="楷体" w:eastAsia="楷体" w:hAnsi="楷体" w:hint="eastAsia"/>
          <w:color w:val="000000" w:themeColor="text1"/>
          <w:sz w:val="30"/>
          <w:szCs w:val="30"/>
        </w:rPr>
        <w:t>2.3.4生态瓶颈</w:t>
      </w:r>
      <w:bookmarkEnd w:id="21"/>
    </w:p>
    <w:p w14:paraId="77543981"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产业分化加剧，竞争格局快速固化，创业公司生存空间受到严重挤压，行业进入“大厂游戏”阶段。</w:t>
      </w:r>
    </w:p>
    <w:p w14:paraId="752EFBE7" w14:textId="6C6EA7D1"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一方面，产业主导权向巨头集中，创业窗口期关闭。大模型竞赛已成为一场拼算力、数据、资本和生态的持久战。头部互联网公司和云厂商依托庞大的现金流、全</w:t>
      </w:r>
      <w:proofErr w:type="gramStart"/>
      <w:r w:rsidRPr="00660147">
        <w:rPr>
          <w:rFonts w:ascii="楷体" w:eastAsia="楷体" w:hAnsi="楷体" w:hint="eastAsia"/>
          <w:color w:val="000000" w:themeColor="text1"/>
          <w:szCs w:val="22"/>
        </w:rPr>
        <w:t>栈</w:t>
      </w:r>
      <w:proofErr w:type="gramEnd"/>
      <w:r w:rsidRPr="00660147">
        <w:rPr>
          <w:rFonts w:ascii="楷体" w:eastAsia="楷体" w:hAnsi="楷体" w:hint="eastAsia"/>
          <w:color w:val="000000" w:themeColor="text1"/>
          <w:szCs w:val="22"/>
        </w:rPr>
        <w:t>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优秀开源模型大幅降低了技术使用门槛，使得模型能力本身的价值被稀释。企业更倾向于基于开源模型搭建自有应用，这对以提供通用模型API为主业的公司构成了直接冲击，迫使其要么陷入价格战，要么向更垂直、更重服务的模式转型。</w:t>
      </w:r>
    </w:p>
    <w:p w14:paraId="2682B871" w14:textId="77777777" w:rsidR="004F7E65" w:rsidRPr="00660147" w:rsidRDefault="005A4D9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14:paraId="7FEA93B3" w14:textId="77777777" w:rsidR="004F7E65" w:rsidRPr="00660147" w:rsidRDefault="004F7E65" w:rsidP="00845816">
      <w:pPr>
        <w:jc w:val="both"/>
        <w:rPr>
          <w:rFonts w:ascii="楷体" w:eastAsia="楷体" w:hAnsi="楷体" w:hint="eastAsia"/>
          <w:color w:val="000000" w:themeColor="text1"/>
        </w:rPr>
      </w:pPr>
    </w:p>
    <w:p w14:paraId="65313342" w14:textId="4786F9E9" w:rsidR="004F7E65" w:rsidRPr="00660147" w:rsidRDefault="00F14E9B" w:rsidP="00845816">
      <w:pPr>
        <w:pStyle w:val="1"/>
        <w:jc w:val="both"/>
        <w:rPr>
          <w:rFonts w:ascii="楷体" w:eastAsia="楷体" w:hAnsi="楷体" w:hint="eastAsia"/>
          <w:color w:val="000000" w:themeColor="text1"/>
          <w:sz w:val="36"/>
          <w:szCs w:val="36"/>
        </w:rPr>
      </w:pPr>
      <w:bookmarkStart w:id="22" w:name="_Toc228444772"/>
      <w:r w:rsidRPr="00660147">
        <w:rPr>
          <w:rFonts w:ascii="楷体" w:eastAsia="楷体" w:hAnsi="楷体" w:hint="eastAsia"/>
          <w:color w:val="000000" w:themeColor="text1"/>
          <w:sz w:val="36"/>
          <w:szCs w:val="36"/>
        </w:rPr>
        <w:t>3</w:t>
      </w:r>
      <w:r w:rsidR="00E0149C" w:rsidRPr="00660147">
        <w:rPr>
          <w:rFonts w:ascii="楷体" w:eastAsia="楷体" w:hAnsi="楷体" w:hint="eastAsia"/>
          <w:color w:val="000000" w:themeColor="text1"/>
          <w:sz w:val="36"/>
          <w:szCs w:val="36"/>
        </w:rPr>
        <w:t>.竞争格局与企业竞争力分析</w:t>
      </w:r>
      <w:bookmarkEnd w:id="22"/>
    </w:p>
    <w:p w14:paraId="2B886749" w14:textId="1D767B32" w:rsidR="004F7E65" w:rsidRPr="00C14DC4" w:rsidRDefault="00F14E9B" w:rsidP="00845816">
      <w:pPr>
        <w:pStyle w:val="2"/>
        <w:jc w:val="both"/>
        <w:rPr>
          <w:rFonts w:ascii="楷体" w:eastAsia="楷体" w:hAnsi="楷体" w:hint="eastAsia"/>
          <w:color w:val="000000" w:themeColor="text1"/>
          <w:sz w:val="32"/>
          <w:szCs w:val="32"/>
        </w:rPr>
      </w:pPr>
      <w:bookmarkStart w:id="23" w:name="_Toc228444773"/>
      <w:r w:rsidRPr="00C14DC4">
        <w:rPr>
          <w:rFonts w:ascii="楷体" w:eastAsia="楷体" w:hAnsi="楷体" w:hint="eastAsia"/>
          <w:color w:val="000000" w:themeColor="text1"/>
          <w:sz w:val="32"/>
          <w:szCs w:val="32"/>
        </w:rPr>
        <w:t>3.1市场集中度与竞争态势</w:t>
      </w:r>
      <w:bookmarkEnd w:id="23"/>
    </w:p>
    <w:p w14:paraId="2AEF1C1C" w14:textId="55D704D5" w:rsidR="004F7E65" w:rsidRPr="00C14DC4" w:rsidRDefault="00F14E9B" w:rsidP="00845816">
      <w:pPr>
        <w:pStyle w:val="3"/>
        <w:jc w:val="both"/>
        <w:rPr>
          <w:rFonts w:ascii="楷体" w:eastAsia="楷体" w:hAnsi="楷体" w:hint="eastAsia"/>
          <w:color w:val="000000" w:themeColor="text1"/>
          <w:sz w:val="30"/>
          <w:szCs w:val="30"/>
        </w:rPr>
      </w:pPr>
      <w:bookmarkStart w:id="24" w:name="_Toc228444774"/>
      <w:r w:rsidRPr="00C14DC4">
        <w:rPr>
          <w:rFonts w:ascii="楷体" w:eastAsia="楷体" w:hAnsi="楷体" w:hint="eastAsia"/>
          <w:color w:val="000000" w:themeColor="text1"/>
          <w:sz w:val="30"/>
          <w:szCs w:val="30"/>
        </w:rPr>
        <w:t>3.1.1市场集中度</w:t>
      </w:r>
      <w:bookmarkEnd w:id="24"/>
    </w:p>
    <w:p w14:paraId="08085E47" w14:textId="535C3844" w:rsidR="00C3021C" w:rsidRPr="00660147" w:rsidRDefault="00A670C9" w:rsidP="00845816">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全球大模型市场呈现出显著向头部厂商集中的趋势。随着LLM技术路径的收敛和Scaling Law的推进，行业已从早期的“百模大战”逐渐收敛至由少数具备算法、算力与数据积累优势的头部厂商主导的阶段。</w:t>
      </w:r>
      <w:r w:rsidR="00B65A6A" w:rsidRPr="00660147">
        <w:rPr>
          <w:rFonts w:ascii="楷体" w:eastAsia="楷体" w:hAnsi="楷体" w:hint="eastAsia"/>
          <w:color w:val="000000" w:themeColor="text1"/>
          <w:szCs w:val="22"/>
        </w:rPr>
        <w:t>根据沙利文调研，</w:t>
      </w:r>
      <w:r w:rsidR="00B65A6A" w:rsidRPr="00660147">
        <w:rPr>
          <w:rFonts w:ascii="楷体" w:eastAsia="楷体" w:hAnsi="楷体"/>
          <w:color w:val="000000" w:themeColor="text1"/>
          <w:szCs w:val="22"/>
        </w:rPr>
        <w:t xml:space="preserve"> 2025 年上半年，中国大模型市场日均调用量超过 10 万亿 tokens，较 2024 年下半年增长约 363%</w:t>
      </w:r>
      <w:r w:rsidR="00000F75">
        <w:rPr>
          <w:rFonts w:ascii="楷体" w:eastAsia="楷体" w:hAnsi="楷体" w:hint="eastAsia"/>
          <w:color w:val="000000" w:themeColor="text1"/>
          <w:szCs w:val="22"/>
        </w:rPr>
        <w:t>，</w:t>
      </w:r>
      <w:r w:rsidR="00B65A6A" w:rsidRPr="00660147">
        <w:rPr>
          <w:rFonts w:ascii="楷体" w:eastAsia="楷体" w:hAnsi="楷体"/>
          <w:color w:val="000000" w:themeColor="text1"/>
          <w:szCs w:val="22"/>
        </w:rPr>
        <w:t>前三名合计占比超 40%。</w:t>
      </w:r>
      <w:proofErr w:type="spellStart"/>
      <w:r w:rsidR="00B65A6A" w:rsidRPr="00660147">
        <w:rPr>
          <w:rFonts w:ascii="楷体" w:eastAsia="楷体" w:hAnsi="楷体" w:hint="eastAsia"/>
          <w:color w:val="000000" w:themeColor="text1"/>
          <w:szCs w:val="22"/>
        </w:rPr>
        <w:t>OpenRouter</w:t>
      </w:r>
      <w:proofErr w:type="spellEnd"/>
      <w:r w:rsidR="00CD58EE" w:rsidRPr="00660147">
        <w:rPr>
          <w:rFonts w:ascii="楷体" w:eastAsia="楷体" w:hAnsi="楷体" w:hint="eastAsia"/>
          <w:color w:val="000000" w:themeColor="text1"/>
          <w:szCs w:val="22"/>
        </w:rPr>
        <w:t xml:space="preserve"> </w:t>
      </w:r>
      <w:r w:rsidR="00B65A6A" w:rsidRPr="00660147">
        <w:rPr>
          <w:rFonts w:ascii="楷体" w:eastAsia="楷体" w:hAnsi="楷体" w:hint="eastAsia"/>
          <w:color w:val="000000" w:themeColor="text1"/>
          <w:szCs w:val="22"/>
        </w:rPr>
        <w:t>2025-2026的市场</w:t>
      </w:r>
      <w:r w:rsidR="00CD58EE" w:rsidRPr="00660147">
        <w:rPr>
          <w:rFonts w:ascii="楷体" w:eastAsia="楷体" w:hAnsi="楷体" w:hint="eastAsia"/>
          <w:color w:val="000000" w:themeColor="text1"/>
          <w:szCs w:val="22"/>
        </w:rPr>
        <w:t>图显示</w:t>
      </w:r>
      <w:r w:rsidR="00B65A6A" w:rsidRPr="00660147">
        <w:rPr>
          <w:rFonts w:ascii="楷体" w:eastAsia="楷体" w:hAnsi="楷体" w:hint="eastAsia"/>
          <w:color w:val="000000" w:themeColor="text1"/>
          <w:szCs w:val="22"/>
        </w:rPr>
        <w:t>，</w:t>
      </w:r>
      <w:r w:rsidR="006A6901" w:rsidRPr="00660147">
        <w:rPr>
          <w:rFonts w:ascii="楷体" w:eastAsia="楷体" w:hAnsi="楷体" w:hint="eastAsia"/>
          <w:color w:val="000000" w:themeColor="text1"/>
          <w:szCs w:val="22"/>
        </w:rPr>
        <w:t>全球前十名的模型性能和调用榜单为头部玩家和</w:t>
      </w:r>
      <w:r w:rsidR="00CD58EE" w:rsidRPr="00660147">
        <w:rPr>
          <w:rFonts w:ascii="楷体" w:eastAsia="楷体" w:hAnsi="楷体" w:hint="eastAsia"/>
          <w:color w:val="000000" w:themeColor="text1"/>
          <w:szCs w:val="22"/>
        </w:rPr>
        <w:t>发崛起的厂商长期占据，新面孔极少出现。</w:t>
      </w:r>
    </w:p>
    <w:p w14:paraId="321627AD" w14:textId="239436D5" w:rsidR="004F7E65" w:rsidRPr="00660147" w:rsidRDefault="00A670C9" w:rsidP="00845816">
      <w:pPr>
        <w:jc w:val="both"/>
        <w:rPr>
          <w:rFonts w:ascii="楷体" w:eastAsia="楷体" w:hAnsi="楷体" w:hint="eastAsia"/>
          <w:color w:val="000000" w:themeColor="text1"/>
        </w:rPr>
      </w:pPr>
      <w:r w:rsidRPr="00660147">
        <w:rPr>
          <w:rFonts w:ascii="楷体" w:eastAsia="楷体" w:hAnsi="楷体" w:hint="eastAsia"/>
          <w:color w:val="000000" w:themeColor="text1"/>
          <w:szCs w:val="22"/>
        </w:rPr>
        <w:t>这一现象由多种原因造成。首先，资本与研发壁垒持续提高，持续的研发投入是维持技术领先的前提。行业普遍处于“高增长、高研发投入、高亏损”的早期阶段，头部企业在此过程中更具备相对优势。其次，Transformer架构及MoE（混合专家模型）等成为</w:t>
      </w:r>
      <w:r w:rsidRPr="00660147">
        <w:rPr>
          <w:rFonts w:ascii="楷体" w:eastAsia="楷体" w:hAnsi="楷体" w:hint="eastAsia"/>
          <w:color w:val="000000" w:themeColor="text1"/>
          <w:szCs w:val="22"/>
        </w:rPr>
        <w:lastRenderedPageBreak/>
        <w:t>主流，技术突破的门槛提升，后发者难以通过简单模仿实现超越。第三，资本市场关注点已从技术叙事转向收入质量、毛利率改善等商业化本质指标。能否展示清晰的盈利拐点预期，成为支撑长期价值的关键，这进一步有利于已建立初步规模优势的头部公司</w:t>
      </w:r>
    </w:p>
    <w:p w14:paraId="16FCF8F5" w14:textId="5548E7A4" w:rsidR="004F7E65" w:rsidRPr="00C14DC4" w:rsidRDefault="00F14E9B" w:rsidP="00845816">
      <w:pPr>
        <w:pStyle w:val="3"/>
        <w:jc w:val="both"/>
        <w:rPr>
          <w:rFonts w:ascii="楷体" w:eastAsia="楷体" w:hAnsi="楷体" w:hint="eastAsia"/>
          <w:color w:val="000000" w:themeColor="text1"/>
          <w:sz w:val="30"/>
          <w:szCs w:val="30"/>
        </w:rPr>
      </w:pPr>
      <w:bookmarkStart w:id="25" w:name="_Toc228444775"/>
      <w:r w:rsidRPr="00C14DC4">
        <w:rPr>
          <w:rFonts w:ascii="楷体" w:eastAsia="楷体" w:hAnsi="楷体" w:hint="eastAsia"/>
          <w:color w:val="000000" w:themeColor="text1"/>
          <w:sz w:val="30"/>
          <w:szCs w:val="30"/>
        </w:rPr>
        <w:t>3.</w:t>
      </w:r>
      <w:r w:rsidR="001205E7" w:rsidRPr="00C14DC4">
        <w:rPr>
          <w:rFonts w:ascii="楷体" w:eastAsia="楷体" w:hAnsi="楷体" w:hint="eastAsia"/>
          <w:color w:val="000000" w:themeColor="text1"/>
          <w:sz w:val="30"/>
          <w:szCs w:val="30"/>
        </w:rPr>
        <w:t>1.</w:t>
      </w:r>
      <w:r w:rsidRPr="00C14DC4">
        <w:rPr>
          <w:rFonts w:ascii="楷体" w:eastAsia="楷体" w:hAnsi="楷体" w:hint="eastAsia"/>
          <w:color w:val="000000" w:themeColor="text1"/>
          <w:sz w:val="30"/>
          <w:szCs w:val="30"/>
        </w:rPr>
        <w:t>2</w:t>
      </w:r>
      <w:r w:rsidRPr="00C14DC4">
        <w:rPr>
          <w:rFonts w:ascii="楷体" w:eastAsia="楷体" w:hAnsi="楷体"/>
          <w:color w:val="000000" w:themeColor="text1"/>
          <w:sz w:val="30"/>
          <w:szCs w:val="30"/>
        </w:rPr>
        <w:t>竞争态势</w:t>
      </w:r>
      <w:bookmarkEnd w:id="25"/>
    </w:p>
    <w:p w14:paraId="01E79212" w14:textId="796BF5B9" w:rsidR="004F7E65" w:rsidRPr="00C25053" w:rsidRDefault="001205E7" w:rsidP="00845816">
      <w:pPr>
        <w:pStyle w:val="4"/>
        <w:jc w:val="both"/>
        <w:rPr>
          <w:rFonts w:ascii="楷体" w:eastAsia="楷体" w:hAnsi="楷体" w:hint="eastAsia"/>
          <w:color w:val="auto"/>
        </w:rPr>
      </w:pPr>
      <w:r w:rsidRPr="00660147">
        <w:rPr>
          <w:rFonts w:ascii="楷体" w:eastAsia="楷体" w:hAnsi="楷体" w:hint="eastAsia"/>
          <w:color w:val="000000" w:themeColor="text1"/>
        </w:rPr>
        <w:t>3.1.2.1</w:t>
      </w:r>
      <w:r w:rsidRPr="00C25053">
        <w:rPr>
          <w:rFonts w:ascii="楷体" w:eastAsia="楷体" w:hAnsi="楷体" w:hint="eastAsia"/>
          <w:color w:val="auto"/>
        </w:rPr>
        <w:t>竞争主体：独立模型厂商和互联网大厂“分层竞合”</w:t>
      </w:r>
    </w:p>
    <w:p w14:paraId="2BDB5F75" w14:textId="798DFC5D" w:rsidR="004F7E65" w:rsidRDefault="005A4D99" w:rsidP="00845816">
      <w:pPr>
        <w:jc w:val="both"/>
        <w:rPr>
          <w:rFonts w:ascii="楷体" w:eastAsia="楷体" w:hAnsi="楷体"/>
          <w:color w:val="000000" w:themeColor="text1"/>
          <w:szCs w:val="22"/>
        </w:rPr>
      </w:pPr>
      <w:r w:rsidRPr="00660147">
        <w:rPr>
          <w:rFonts w:ascii="楷体" w:eastAsia="楷体" w:hAnsi="楷体" w:hint="eastAsia"/>
          <w:color w:val="000000" w:themeColor="text1"/>
          <w:szCs w:val="22"/>
        </w:rPr>
        <w:t>全球的市场的竞争格局呈现出互联网大厂与独立大模型厂商分层竞合、互补共生的特点</w:t>
      </w:r>
    </w:p>
    <w:tbl>
      <w:tblPr>
        <w:tblStyle w:val="af2"/>
        <w:tblW w:w="0" w:type="auto"/>
        <w:tblLook w:val="04A0" w:firstRow="1" w:lastRow="0" w:firstColumn="1" w:lastColumn="0" w:noHBand="0" w:noVBand="1"/>
      </w:tblPr>
      <w:tblGrid>
        <w:gridCol w:w="1304"/>
        <w:gridCol w:w="3257"/>
        <w:gridCol w:w="3735"/>
      </w:tblGrid>
      <w:tr w:rsidR="000E71F8" w:rsidRPr="000E71F8" w14:paraId="639EF2CA" w14:textId="77777777" w:rsidTr="000E71F8">
        <w:trPr>
          <w:trHeight w:val="585"/>
        </w:trPr>
        <w:tc>
          <w:tcPr>
            <w:tcW w:w="1320" w:type="dxa"/>
            <w:hideMark/>
          </w:tcPr>
          <w:p w14:paraId="7AA5C5F3"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维度</w:t>
            </w:r>
          </w:p>
        </w:tc>
        <w:tc>
          <w:tcPr>
            <w:tcW w:w="3300" w:type="dxa"/>
            <w:hideMark/>
          </w:tcPr>
          <w:p w14:paraId="44A80153"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互联网大厂</w:t>
            </w:r>
          </w:p>
        </w:tc>
        <w:tc>
          <w:tcPr>
            <w:tcW w:w="3780" w:type="dxa"/>
            <w:hideMark/>
          </w:tcPr>
          <w:p w14:paraId="7C47A557"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独立大模型厂商</w:t>
            </w:r>
          </w:p>
        </w:tc>
      </w:tr>
      <w:tr w:rsidR="000E71F8" w:rsidRPr="000E71F8" w14:paraId="502E5636" w14:textId="77777777" w:rsidTr="000E71F8">
        <w:trPr>
          <w:trHeight w:val="585"/>
        </w:trPr>
        <w:tc>
          <w:tcPr>
            <w:tcW w:w="1320" w:type="dxa"/>
            <w:hideMark/>
          </w:tcPr>
          <w:p w14:paraId="63D516B5"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海外代表</w:t>
            </w:r>
          </w:p>
        </w:tc>
        <w:tc>
          <w:tcPr>
            <w:tcW w:w="3300" w:type="dxa"/>
            <w:hideMark/>
          </w:tcPr>
          <w:p w14:paraId="00D50A1B"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Meta-Llama、Google-Gemini</w:t>
            </w:r>
          </w:p>
        </w:tc>
        <w:tc>
          <w:tcPr>
            <w:tcW w:w="3780" w:type="dxa"/>
            <w:hideMark/>
          </w:tcPr>
          <w:p w14:paraId="07F153F3"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OpenAI-GPT、Anthropic-Claude</w:t>
            </w:r>
          </w:p>
        </w:tc>
      </w:tr>
      <w:tr w:rsidR="000E71F8" w:rsidRPr="000E71F8" w14:paraId="3E2D6850" w14:textId="77777777" w:rsidTr="000E71F8">
        <w:trPr>
          <w:trHeight w:val="585"/>
        </w:trPr>
        <w:tc>
          <w:tcPr>
            <w:tcW w:w="1320" w:type="dxa"/>
            <w:hideMark/>
          </w:tcPr>
          <w:p w14:paraId="1CAE3F28"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国内代表</w:t>
            </w:r>
          </w:p>
        </w:tc>
        <w:tc>
          <w:tcPr>
            <w:tcW w:w="3300" w:type="dxa"/>
            <w:hideMark/>
          </w:tcPr>
          <w:p w14:paraId="63B9A21E"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阿里-通义千问、</w:t>
            </w:r>
            <w:proofErr w:type="gramStart"/>
            <w:r w:rsidRPr="000E71F8">
              <w:rPr>
                <w:rFonts w:ascii="楷体" w:eastAsia="楷体" w:hAnsi="楷体"/>
                <w:color w:val="000000" w:themeColor="text1"/>
              </w:rPr>
              <w:t>腾讯</w:t>
            </w:r>
            <w:proofErr w:type="gramEnd"/>
            <w:r w:rsidRPr="000E71F8">
              <w:rPr>
                <w:rFonts w:ascii="楷体" w:eastAsia="楷体" w:hAnsi="楷体"/>
                <w:color w:val="000000" w:themeColor="text1"/>
              </w:rPr>
              <w:t>-混元、字节-火山系/豆包、小米-</w:t>
            </w:r>
            <w:proofErr w:type="spellStart"/>
            <w:r w:rsidRPr="000E71F8">
              <w:rPr>
                <w:rFonts w:ascii="楷体" w:eastAsia="楷体" w:hAnsi="楷体"/>
                <w:color w:val="000000" w:themeColor="text1"/>
              </w:rPr>
              <w:t>MiMo</w:t>
            </w:r>
            <w:proofErr w:type="spellEnd"/>
          </w:p>
        </w:tc>
        <w:tc>
          <w:tcPr>
            <w:tcW w:w="3780" w:type="dxa"/>
            <w:hideMark/>
          </w:tcPr>
          <w:p w14:paraId="638D48C4" w14:textId="77777777" w:rsidR="000E71F8" w:rsidRPr="000E71F8" w:rsidRDefault="000E71F8" w:rsidP="000E71F8">
            <w:pPr>
              <w:jc w:val="both"/>
              <w:rPr>
                <w:rFonts w:ascii="楷体" w:eastAsia="楷体" w:hAnsi="楷体"/>
                <w:color w:val="000000" w:themeColor="text1"/>
              </w:rPr>
            </w:pPr>
            <w:proofErr w:type="spellStart"/>
            <w:r w:rsidRPr="000E71F8">
              <w:rPr>
                <w:rFonts w:ascii="楷体" w:eastAsia="楷体" w:hAnsi="楷体"/>
                <w:color w:val="000000" w:themeColor="text1"/>
              </w:rPr>
              <w:t>MiniMax</w:t>
            </w:r>
            <w:proofErr w:type="spellEnd"/>
            <w:r w:rsidRPr="000E71F8">
              <w:rPr>
                <w:rFonts w:ascii="楷体" w:eastAsia="楷体" w:hAnsi="楷体"/>
                <w:color w:val="000000" w:themeColor="text1"/>
              </w:rPr>
              <w:t>、智谱-GLM、月之暗面-Kimi、</w:t>
            </w:r>
            <w:proofErr w:type="gramStart"/>
            <w:r w:rsidRPr="000E71F8">
              <w:rPr>
                <w:rFonts w:ascii="楷体" w:eastAsia="楷体" w:hAnsi="楷体"/>
                <w:color w:val="000000" w:themeColor="text1"/>
              </w:rPr>
              <w:t>阶跃星辰</w:t>
            </w:r>
            <w:proofErr w:type="gramEnd"/>
          </w:p>
        </w:tc>
      </w:tr>
      <w:tr w:rsidR="000E71F8" w:rsidRPr="000E71F8" w14:paraId="57435036" w14:textId="77777777" w:rsidTr="000E71F8">
        <w:trPr>
          <w:trHeight w:val="585"/>
        </w:trPr>
        <w:tc>
          <w:tcPr>
            <w:tcW w:w="1320" w:type="dxa"/>
            <w:hideMark/>
          </w:tcPr>
          <w:p w14:paraId="6F07881F"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业务属性</w:t>
            </w:r>
          </w:p>
        </w:tc>
        <w:tc>
          <w:tcPr>
            <w:tcW w:w="3300" w:type="dxa"/>
            <w:hideMark/>
          </w:tcPr>
          <w:p w14:paraId="0EFDFCE9"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大模型为第二曲线，非原始主业</w:t>
            </w:r>
          </w:p>
        </w:tc>
        <w:tc>
          <w:tcPr>
            <w:tcW w:w="3780" w:type="dxa"/>
            <w:hideMark/>
          </w:tcPr>
          <w:p w14:paraId="40DC1CA2"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AI和大模型为原生业务，为AI而生</w:t>
            </w:r>
          </w:p>
        </w:tc>
      </w:tr>
      <w:tr w:rsidR="000E71F8" w:rsidRPr="000E71F8" w14:paraId="3048AC9F" w14:textId="77777777" w:rsidTr="000E71F8">
        <w:trPr>
          <w:trHeight w:val="870"/>
        </w:trPr>
        <w:tc>
          <w:tcPr>
            <w:tcW w:w="1320" w:type="dxa"/>
            <w:hideMark/>
          </w:tcPr>
          <w:p w14:paraId="4C690DE5"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核心优势</w:t>
            </w:r>
          </w:p>
        </w:tc>
        <w:tc>
          <w:tcPr>
            <w:tcW w:w="3300" w:type="dxa"/>
            <w:hideMark/>
          </w:tcPr>
          <w:p w14:paraId="7546E1B4"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雄厚资金、庞大用户基础、</w:t>
            </w:r>
            <w:proofErr w:type="gramStart"/>
            <w:r w:rsidRPr="000E71F8">
              <w:rPr>
                <w:rFonts w:ascii="楷体" w:eastAsia="楷体" w:hAnsi="楷体"/>
                <w:color w:val="000000" w:themeColor="text1"/>
              </w:rPr>
              <w:t>成熟业务</w:t>
            </w:r>
            <w:proofErr w:type="gramEnd"/>
            <w:r w:rsidRPr="000E71F8">
              <w:rPr>
                <w:rFonts w:ascii="楷体" w:eastAsia="楷体" w:hAnsi="楷体"/>
                <w:color w:val="000000" w:themeColor="text1"/>
              </w:rPr>
              <w:t>生态，可快速嵌入现有产品形成流量闭环</w:t>
            </w:r>
          </w:p>
        </w:tc>
        <w:tc>
          <w:tcPr>
            <w:tcW w:w="3780" w:type="dxa"/>
            <w:hideMark/>
          </w:tcPr>
          <w:p w14:paraId="3B4DBC96"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极致专注力、灵活决策机制，能All in核心技术迭代，更灵活选择开源或商业策略</w:t>
            </w:r>
          </w:p>
        </w:tc>
      </w:tr>
      <w:tr w:rsidR="000E71F8" w:rsidRPr="000E71F8" w14:paraId="304E3F7B" w14:textId="77777777" w:rsidTr="000E71F8">
        <w:trPr>
          <w:trHeight w:val="870"/>
        </w:trPr>
        <w:tc>
          <w:tcPr>
            <w:tcW w:w="1320" w:type="dxa"/>
            <w:hideMark/>
          </w:tcPr>
          <w:p w14:paraId="6F131957"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技术特征</w:t>
            </w:r>
          </w:p>
        </w:tc>
        <w:tc>
          <w:tcPr>
            <w:tcW w:w="3300" w:type="dxa"/>
            <w:hideMark/>
          </w:tcPr>
          <w:p w14:paraId="4AC006AE"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依托多年技术积累和完整生态厚积薄发</w:t>
            </w:r>
          </w:p>
        </w:tc>
        <w:tc>
          <w:tcPr>
            <w:tcW w:w="3780" w:type="dxa"/>
            <w:hideMark/>
          </w:tcPr>
          <w:p w14:paraId="43CD2697"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研究突破强度和效率高，未在技术能力上被大厂拉开差距，常能做到青出于蓝</w:t>
            </w:r>
          </w:p>
        </w:tc>
      </w:tr>
      <w:tr w:rsidR="000E71F8" w:rsidRPr="000E71F8" w14:paraId="7F75CBA1" w14:textId="77777777" w:rsidTr="000E71F8">
        <w:trPr>
          <w:trHeight w:val="1335"/>
        </w:trPr>
        <w:tc>
          <w:tcPr>
            <w:tcW w:w="1320" w:type="dxa"/>
            <w:hideMark/>
          </w:tcPr>
          <w:p w14:paraId="44E6163E"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典型策略</w:t>
            </w:r>
          </w:p>
        </w:tc>
        <w:tc>
          <w:tcPr>
            <w:tcW w:w="3300" w:type="dxa"/>
            <w:hideMark/>
          </w:tcPr>
          <w:p w14:paraId="49F02A14"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1.推动模型接入本集团生态，辅助大模型达到优势地位。2.通过"内部赛马"孵化机制快速推出优势模型。</w:t>
            </w:r>
          </w:p>
        </w:tc>
        <w:tc>
          <w:tcPr>
            <w:tcW w:w="3780" w:type="dxa"/>
            <w:hideMark/>
          </w:tcPr>
          <w:p w14:paraId="1D8B2E24"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通过pureplay下的技术积累保持行业领先地位；形成技术标杆</w:t>
            </w:r>
          </w:p>
        </w:tc>
      </w:tr>
      <w:tr w:rsidR="000E71F8" w:rsidRPr="000E71F8" w14:paraId="6A22AD46" w14:textId="77777777" w:rsidTr="000E71F8">
        <w:trPr>
          <w:trHeight w:val="1155"/>
        </w:trPr>
        <w:tc>
          <w:tcPr>
            <w:tcW w:w="1320" w:type="dxa"/>
            <w:hideMark/>
          </w:tcPr>
          <w:p w14:paraId="6511D44D"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面临挑战</w:t>
            </w:r>
          </w:p>
        </w:tc>
        <w:tc>
          <w:tcPr>
            <w:tcW w:w="3300" w:type="dxa"/>
            <w:hideMark/>
          </w:tcPr>
          <w:p w14:paraId="780A6EB4"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大模型业务战略优先级可能受集团多元业务牵制，决策灵活性相对较低，资源分配易被稀释</w:t>
            </w:r>
          </w:p>
        </w:tc>
        <w:tc>
          <w:tcPr>
            <w:tcW w:w="3780" w:type="dxa"/>
            <w:hideMark/>
          </w:tcPr>
          <w:p w14:paraId="4345DC56"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资金实力相对有限，需依赖外部融资；独立生存压力大，易被大厂投资绑定</w:t>
            </w:r>
          </w:p>
        </w:tc>
      </w:tr>
      <w:tr w:rsidR="000E71F8" w:rsidRPr="000E71F8" w14:paraId="50F6E881" w14:textId="77777777" w:rsidTr="000E71F8">
        <w:trPr>
          <w:trHeight w:val="855"/>
        </w:trPr>
        <w:tc>
          <w:tcPr>
            <w:tcW w:w="1320" w:type="dxa"/>
            <w:hideMark/>
          </w:tcPr>
          <w:p w14:paraId="4F5E550F" w14:textId="77777777" w:rsidR="000E71F8" w:rsidRPr="000E71F8" w:rsidRDefault="000E71F8" w:rsidP="000E71F8">
            <w:pPr>
              <w:jc w:val="both"/>
              <w:rPr>
                <w:rFonts w:ascii="楷体" w:eastAsia="楷体" w:hAnsi="楷体"/>
                <w:b/>
                <w:bCs/>
                <w:color w:val="000000" w:themeColor="text1"/>
              </w:rPr>
            </w:pPr>
            <w:r w:rsidRPr="000E71F8">
              <w:rPr>
                <w:rFonts w:ascii="楷体" w:eastAsia="楷体" w:hAnsi="楷体"/>
                <w:b/>
                <w:bCs/>
                <w:color w:val="000000" w:themeColor="text1"/>
              </w:rPr>
              <w:t>竞</w:t>
            </w:r>
            <w:proofErr w:type="gramStart"/>
            <w:r w:rsidRPr="000E71F8">
              <w:rPr>
                <w:rFonts w:ascii="楷体" w:eastAsia="楷体" w:hAnsi="楷体"/>
                <w:b/>
                <w:bCs/>
                <w:color w:val="000000" w:themeColor="text1"/>
              </w:rPr>
              <w:t>合关系</w:t>
            </w:r>
            <w:proofErr w:type="gramEnd"/>
          </w:p>
        </w:tc>
        <w:tc>
          <w:tcPr>
            <w:tcW w:w="3300" w:type="dxa"/>
            <w:hideMark/>
          </w:tcPr>
          <w:p w14:paraId="70F1F93D"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通过战略投资独立厂商形成共生：</w:t>
            </w:r>
          </w:p>
        </w:tc>
        <w:tc>
          <w:tcPr>
            <w:tcW w:w="3780" w:type="dxa"/>
            <w:hideMark/>
          </w:tcPr>
          <w:p w14:paraId="0DF37C5E" w14:textId="77777777" w:rsidR="000E71F8" w:rsidRPr="000E71F8" w:rsidRDefault="000E71F8" w:rsidP="000E71F8">
            <w:pPr>
              <w:jc w:val="both"/>
              <w:rPr>
                <w:rFonts w:ascii="楷体" w:eastAsia="楷体" w:hAnsi="楷体"/>
                <w:color w:val="000000" w:themeColor="text1"/>
              </w:rPr>
            </w:pPr>
            <w:r w:rsidRPr="000E71F8">
              <w:rPr>
                <w:rFonts w:ascii="楷体" w:eastAsia="楷体" w:hAnsi="楷体"/>
                <w:color w:val="000000" w:themeColor="text1"/>
              </w:rPr>
              <w:t>接受大厂战略投资以获取资金和资源，但保持技术独立性，形成"竞合并存"格局</w:t>
            </w:r>
          </w:p>
        </w:tc>
      </w:tr>
    </w:tbl>
    <w:p w14:paraId="77D2EA50" w14:textId="77777777" w:rsidR="00FB660C" w:rsidRPr="000E71F8" w:rsidRDefault="00FB660C" w:rsidP="00845816">
      <w:pPr>
        <w:jc w:val="both"/>
        <w:rPr>
          <w:rFonts w:ascii="楷体" w:eastAsia="楷体" w:hAnsi="楷体" w:hint="eastAsia"/>
          <w:color w:val="000000" w:themeColor="text1"/>
        </w:rPr>
      </w:pPr>
    </w:p>
    <w:p w14:paraId="4ED6C72A" w14:textId="00BAB676" w:rsidR="004F7E65" w:rsidRPr="00660147" w:rsidRDefault="001205E7" w:rsidP="00845816">
      <w:pPr>
        <w:pStyle w:val="4"/>
        <w:jc w:val="both"/>
        <w:rPr>
          <w:rFonts w:ascii="楷体" w:eastAsia="楷体" w:hAnsi="楷体" w:hint="eastAsia"/>
          <w:color w:val="000000" w:themeColor="text1"/>
        </w:rPr>
      </w:pPr>
      <w:r w:rsidRPr="00660147">
        <w:rPr>
          <w:rFonts w:ascii="楷体" w:eastAsia="楷体" w:hAnsi="楷体" w:hint="eastAsia"/>
          <w:color w:val="000000" w:themeColor="text1"/>
        </w:rPr>
        <w:t>3.1.2.2技术竞赛：全球范围内的轮番领跑</w:t>
      </w:r>
    </w:p>
    <w:p w14:paraId="43A88F8F" w14:textId="77777777" w:rsidR="00776919" w:rsidRPr="00660147" w:rsidRDefault="005A4D99" w:rsidP="00845816">
      <w:pPr>
        <w:jc w:val="both"/>
        <w:rPr>
          <w:rFonts w:ascii="楷体" w:eastAsia="楷体" w:hAnsi="楷体" w:hint="eastAsia"/>
          <w:color w:val="000000" w:themeColor="text1"/>
          <w:szCs w:val="22"/>
        </w:rPr>
      </w:pPr>
      <w:r w:rsidRPr="00660147">
        <w:rPr>
          <w:rFonts w:ascii="楷体" w:eastAsia="楷体" w:hAnsi="楷体"/>
          <w:color w:val="000000" w:themeColor="text1"/>
          <w:szCs w:val="22"/>
        </w:rPr>
        <w:t>在全球范围内，头部厂商表现出“竞相迭代、轮番领跑”的态势。模型能力的提升呈间歇性跃升，任何一家厂商的重大突破都可能暂时领先。大模型的你追我赶一直是产业的重要常态，在拥有可比数量级的硬件算力和充分竞争的情况下，大模型的性能榜单从来没有稳坐第一的赢家</w:t>
      </w:r>
      <w:r w:rsidR="00776919" w:rsidRPr="00660147">
        <w:rPr>
          <w:rFonts w:ascii="楷体" w:eastAsia="楷体" w:hAnsi="楷体" w:hint="eastAsia"/>
          <w:color w:val="000000" w:themeColor="text1"/>
          <w:szCs w:val="22"/>
        </w:rPr>
        <w:t>。</w:t>
      </w:r>
    </w:p>
    <w:p w14:paraId="38482A30" w14:textId="20A33E81" w:rsidR="00776919" w:rsidRPr="00660147" w:rsidRDefault="00776919" w:rsidP="00845816">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lastRenderedPageBreak/>
        <w:t>图：主流大模型性能</w:t>
      </w:r>
      <w:r w:rsidR="00E112F2" w:rsidRPr="00660147">
        <w:rPr>
          <w:rFonts w:ascii="楷体" w:eastAsia="楷体" w:hAnsi="楷体" w:hint="eastAsia"/>
          <w:color w:val="000000" w:themeColor="text1"/>
          <w:szCs w:val="22"/>
        </w:rPr>
        <w:t>序列图</w:t>
      </w:r>
    </w:p>
    <w:p w14:paraId="513EF018" w14:textId="28A4640C" w:rsidR="00776919" w:rsidRPr="00660147" w:rsidRDefault="00776919" w:rsidP="00845816">
      <w:pPr>
        <w:jc w:val="both"/>
        <w:rPr>
          <w:rFonts w:ascii="楷体" w:eastAsia="楷体" w:hAnsi="楷体" w:hint="eastAsia"/>
          <w:color w:val="000000" w:themeColor="text1"/>
          <w:szCs w:val="22"/>
        </w:rPr>
      </w:pPr>
      <w:r w:rsidRPr="00660147">
        <w:rPr>
          <w:rFonts w:ascii="楷体" w:eastAsia="楷体" w:hAnsi="楷体"/>
          <w:noProof/>
          <w:color w:val="000000" w:themeColor="text1"/>
        </w:rPr>
        <w:drawing>
          <wp:inline distT="0" distB="0" distL="0" distR="0" wp14:anchorId="459EDFE6" wp14:editId="1783CFFD">
            <wp:extent cx="5274310" cy="2138045"/>
            <wp:effectExtent l="0" t="0" r="2540" b="0"/>
            <wp:docPr id="211948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81412" name=""/>
                    <pic:cNvPicPr/>
                  </pic:nvPicPr>
                  <pic:blipFill>
                    <a:blip r:embed="rId22"/>
                    <a:stretch>
                      <a:fillRect/>
                    </a:stretch>
                  </pic:blipFill>
                  <pic:spPr>
                    <a:xfrm>
                      <a:off x="0" y="0"/>
                      <a:ext cx="5274310" cy="2138045"/>
                    </a:xfrm>
                    <a:prstGeom prst="rect">
                      <a:avLst/>
                    </a:prstGeom>
                  </pic:spPr>
                </pic:pic>
              </a:graphicData>
            </a:graphic>
          </wp:inline>
        </w:drawing>
      </w:r>
    </w:p>
    <w:p w14:paraId="20A19177" w14:textId="3C19ADD2" w:rsidR="00E112F2" w:rsidRPr="00660147" w:rsidRDefault="00E112F2" w:rsidP="00845816">
      <w:pPr>
        <w:jc w:val="both"/>
        <w:rPr>
          <w:rFonts w:ascii="楷体" w:eastAsia="楷体" w:hAnsi="楷体" w:hint="eastAsia"/>
          <w:color w:val="000000" w:themeColor="text1"/>
          <w:szCs w:val="22"/>
        </w:rPr>
      </w:pPr>
      <w:r w:rsidRPr="00660147">
        <w:rPr>
          <w:rFonts w:ascii="楷体" w:eastAsia="楷体" w:hAnsi="楷体" w:hint="eastAsia"/>
          <w:color w:val="000000" w:themeColor="text1"/>
          <w:szCs w:val="22"/>
        </w:rPr>
        <w:t>数据来源：</w:t>
      </w:r>
      <w:r w:rsidRPr="00660147">
        <w:rPr>
          <w:rFonts w:ascii="楷体" w:eastAsia="楷体" w:hAnsi="楷体"/>
          <w:color w:val="000000" w:themeColor="text1"/>
          <w:szCs w:val="22"/>
        </w:rPr>
        <w:t>Artificial Analysis, 招银国际环球市场</w:t>
      </w:r>
    </w:p>
    <w:p w14:paraId="20A36DDA" w14:textId="34984940" w:rsidR="004F7E65" w:rsidRPr="00660147" w:rsidRDefault="005A4D99" w:rsidP="00845816">
      <w:pPr>
        <w:jc w:val="both"/>
        <w:rPr>
          <w:rFonts w:ascii="楷体" w:eastAsia="楷体" w:hAnsi="楷体" w:hint="eastAsia"/>
          <w:color w:val="000000" w:themeColor="text1"/>
        </w:rPr>
      </w:pPr>
      <w:r w:rsidRPr="00660147">
        <w:rPr>
          <w:rFonts w:ascii="楷体" w:eastAsia="楷体" w:hAnsi="楷体"/>
          <w:color w:val="000000" w:themeColor="text1"/>
          <w:szCs w:val="22"/>
        </w:rPr>
        <w:t>从2023年GPT3问世以来，最初是GPT和claude的竞争，后来发展到GPT，claude，gemini的激烈角逐。2025年deepseek问世后，经过近一年的沉淀，国产大模型也逐步发力，智谱的GLM系列模型，minimax和kimi的模型都曾经在主流人工智能成绩榜单上交出过亮眼的表现，同时，国产大模型也正逐渐凭借性能和价格的平衡得到市场的认可。截至2026年4月27日，kimi的最新模型kimi 2.6仍然在OpenRouter开源模型记录中保持第一的态势。这表明技术领先地位是动态且不稳固的，持续创新能力是保持竞争力的关键。</w:t>
      </w:r>
    </w:p>
    <w:p w14:paraId="57E0B5DD" w14:textId="202DD5C3" w:rsidR="008D5F95" w:rsidRPr="00660147" w:rsidRDefault="008D5F95"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图：</w:t>
      </w:r>
      <w:r w:rsidR="009851AD" w:rsidRPr="00660147">
        <w:rPr>
          <w:rFonts w:ascii="楷体" w:eastAsia="楷体" w:hAnsi="楷体" w:hint="eastAsia"/>
          <w:color w:val="000000" w:themeColor="text1"/>
        </w:rPr>
        <w:t>截至</w:t>
      </w:r>
      <w:r w:rsidRPr="00660147">
        <w:rPr>
          <w:rFonts w:ascii="楷体" w:eastAsia="楷体" w:hAnsi="楷体" w:hint="eastAsia"/>
          <w:color w:val="000000" w:themeColor="text1"/>
        </w:rPr>
        <w:t>2026.4.2</w:t>
      </w:r>
      <w:r w:rsidR="009851AD" w:rsidRPr="00660147">
        <w:rPr>
          <w:rFonts w:ascii="楷体" w:eastAsia="楷体" w:hAnsi="楷体" w:hint="eastAsia"/>
          <w:color w:val="000000" w:themeColor="text1"/>
        </w:rPr>
        <w:t>8</w:t>
      </w:r>
      <w:r w:rsidRPr="00660147">
        <w:rPr>
          <w:rFonts w:ascii="楷体" w:eastAsia="楷体" w:hAnsi="楷体" w:hint="eastAsia"/>
          <w:color w:val="000000" w:themeColor="text1"/>
        </w:rPr>
        <w:t xml:space="preserve"> OpenRouter开源模型调用排名榜单</w:t>
      </w:r>
    </w:p>
    <w:p w14:paraId="6433B6B1" w14:textId="0C70DDEB" w:rsidR="008D5F95" w:rsidRPr="00660147" w:rsidRDefault="009851AD" w:rsidP="00845816">
      <w:pPr>
        <w:jc w:val="both"/>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60FE49A6" wp14:editId="446D97E6">
            <wp:extent cx="5274310" cy="3544570"/>
            <wp:effectExtent l="0" t="0" r="2540" b="0"/>
            <wp:docPr id="207137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75520" name=""/>
                    <pic:cNvPicPr/>
                  </pic:nvPicPr>
                  <pic:blipFill>
                    <a:blip r:embed="rId23"/>
                    <a:stretch>
                      <a:fillRect/>
                    </a:stretch>
                  </pic:blipFill>
                  <pic:spPr>
                    <a:xfrm>
                      <a:off x="0" y="0"/>
                      <a:ext cx="5274310" cy="3544570"/>
                    </a:xfrm>
                    <a:prstGeom prst="rect">
                      <a:avLst/>
                    </a:prstGeom>
                  </pic:spPr>
                </pic:pic>
              </a:graphicData>
            </a:graphic>
          </wp:inline>
        </w:drawing>
      </w:r>
    </w:p>
    <w:p w14:paraId="710F0C53" w14:textId="56EA0922" w:rsidR="008D5F95" w:rsidRPr="00660147" w:rsidRDefault="009851AD" w:rsidP="00845816">
      <w:pPr>
        <w:jc w:val="both"/>
        <w:rPr>
          <w:rFonts w:ascii="楷体" w:eastAsia="楷体" w:hAnsi="楷体" w:hint="eastAsia"/>
          <w:color w:val="000000" w:themeColor="text1"/>
        </w:rPr>
      </w:pPr>
      <w:r w:rsidRPr="00660147">
        <w:rPr>
          <w:rFonts w:ascii="楷体" w:eastAsia="楷体" w:hAnsi="楷体" w:hint="eastAsia"/>
          <w:color w:val="000000" w:themeColor="text1"/>
        </w:rPr>
        <w:lastRenderedPageBreak/>
        <w:t>数据来源：OpenRouter</w:t>
      </w:r>
    </w:p>
    <w:p w14:paraId="000F535C" w14:textId="520C053A" w:rsidR="00EB5EA6" w:rsidRPr="00C14DC4" w:rsidRDefault="001205E7" w:rsidP="00845816">
      <w:pPr>
        <w:pStyle w:val="2"/>
        <w:jc w:val="both"/>
        <w:rPr>
          <w:rFonts w:ascii="楷体" w:eastAsia="楷体" w:hAnsi="楷体" w:hint="eastAsia"/>
          <w:color w:val="000000" w:themeColor="text1"/>
          <w:sz w:val="32"/>
          <w:szCs w:val="32"/>
        </w:rPr>
      </w:pPr>
      <w:bookmarkStart w:id="26" w:name="_Toc228444776"/>
      <w:r w:rsidRPr="00C14DC4">
        <w:rPr>
          <w:rFonts w:ascii="楷体" w:eastAsia="楷体" w:hAnsi="楷体" w:hint="eastAsia"/>
          <w:color w:val="000000" w:themeColor="text1"/>
          <w:sz w:val="32"/>
          <w:szCs w:val="32"/>
        </w:rPr>
        <w:t>3.2</w:t>
      </w:r>
      <w:r w:rsidR="00EB5EA6" w:rsidRPr="00C14DC4">
        <w:rPr>
          <w:rFonts w:ascii="楷体" w:eastAsia="楷体" w:hAnsi="楷体" w:hint="eastAsia"/>
          <w:color w:val="000000" w:themeColor="text1"/>
          <w:sz w:val="32"/>
          <w:szCs w:val="32"/>
        </w:rPr>
        <w:t>参与者类型（pureplay and non pureplay</w:t>
      </w:r>
      <w:r w:rsidR="00EB5EA6" w:rsidRPr="00C14DC4">
        <w:rPr>
          <w:rFonts w:ascii="楷体" w:eastAsia="楷体" w:hAnsi="楷体"/>
          <w:color w:val="000000" w:themeColor="text1"/>
          <w:sz w:val="32"/>
          <w:szCs w:val="32"/>
        </w:rPr>
        <w:t>）</w:t>
      </w:r>
      <w:bookmarkEnd w:id="26"/>
    </w:p>
    <w:p w14:paraId="16C13FE4" w14:textId="50B20009" w:rsidR="00152E11" w:rsidRPr="00660147" w:rsidRDefault="00152E11"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大模型产业已形成层次分明、角色多元的生态系统。参与者基于其技术基因、资源禀赋和商业模式，在产业链的不同环节占据生态位，共同推动技术落地与价值实现。本报告将产业参与者划分为四大核心层级：基础层、模型层、中间层与应用层，并深入剖析各层参与者的核心特征、竞争策略与相互间的协同博弈关系。</w:t>
      </w:r>
    </w:p>
    <w:p w14:paraId="0EBCDCE1" w14:textId="572570C0" w:rsidR="00152E11" w:rsidRPr="00157396" w:rsidRDefault="001205E7" w:rsidP="00845816">
      <w:pPr>
        <w:pStyle w:val="3"/>
        <w:jc w:val="both"/>
        <w:rPr>
          <w:rFonts w:ascii="楷体" w:eastAsia="楷体" w:hAnsi="楷体" w:hint="eastAsia"/>
          <w:color w:val="000000" w:themeColor="text1"/>
          <w:sz w:val="30"/>
          <w:szCs w:val="30"/>
        </w:rPr>
      </w:pPr>
      <w:bookmarkStart w:id="27" w:name="_Toc228444777"/>
      <w:r w:rsidRPr="00157396">
        <w:rPr>
          <w:rFonts w:ascii="楷体" w:eastAsia="楷体" w:hAnsi="楷体" w:hint="eastAsia"/>
          <w:color w:val="000000" w:themeColor="text1"/>
          <w:sz w:val="30"/>
          <w:szCs w:val="30"/>
        </w:rPr>
        <w:t>3.2.1</w:t>
      </w:r>
      <w:r w:rsidR="00152E11" w:rsidRPr="00157396">
        <w:rPr>
          <w:rFonts w:ascii="楷体" w:eastAsia="楷体" w:hAnsi="楷体" w:hint="eastAsia"/>
          <w:color w:val="000000" w:themeColor="text1"/>
          <w:sz w:val="30"/>
          <w:szCs w:val="30"/>
        </w:rPr>
        <w:t>产业参与者全景图谱：基于技术架构的四层划分</w:t>
      </w:r>
      <w:bookmarkEnd w:id="27"/>
    </w:p>
    <w:p w14:paraId="422CF90A" w14:textId="757CD2DB" w:rsidR="00152E11" w:rsidRPr="00660147" w:rsidRDefault="00152E11"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当前大模型产业的技术架构可清晰划分为基础层、模型层、中间层与应用层。不同背景的厂商依据自身优势，选择在不同层级深度布局或进行全栈式整合。</w:t>
      </w:r>
    </w:p>
    <w:p w14:paraId="53E6244E" w14:textId="57BE4F8B" w:rsidR="00152E11" w:rsidRPr="00660147" w:rsidRDefault="00152E11"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基础层是产业运行的物理与虚拟资源底座，核心是提供算力、存储、网络及数据基础设施。该层参与者主要包括</w:t>
      </w:r>
      <w:proofErr w:type="gramStart"/>
      <w:r w:rsidRPr="00660147">
        <w:rPr>
          <w:rFonts w:ascii="楷体" w:eastAsia="楷体" w:hAnsi="楷体" w:hint="eastAsia"/>
          <w:color w:val="000000" w:themeColor="text1"/>
        </w:rPr>
        <w:t>大型云服务</w:t>
      </w:r>
      <w:proofErr w:type="gramEnd"/>
      <w:r w:rsidRPr="00660147">
        <w:rPr>
          <w:rFonts w:ascii="楷体" w:eastAsia="楷体" w:hAnsi="楷体" w:hint="eastAsia"/>
          <w:color w:val="000000" w:themeColor="text1"/>
        </w:rPr>
        <w:t>商以及专注于数据基础设施的“</w:t>
      </w:r>
      <w:proofErr w:type="spellStart"/>
      <w:r w:rsidRPr="00660147">
        <w:rPr>
          <w:rFonts w:ascii="楷体" w:eastAsia="楷体" w:hAnsi="楷体" w:hint="eastAsia"/>
          <w:color w:val="000000" w:themeColor="text1"/>
        </w:rPr>
        <w:t>AI+Data</w:t>
      </w:r>
      <w:proofErr w:type="spellEnd"/>
      <w:r w:rsidRPr="00660147">
        <w:rPr>
          <w:rFonts w:ascii="楷体" w:eastAsia="楷体" w:hAnsi="楷体" w:hint="eastAsia"/>
          <w:color w:val="000000" w:themeColor="text1"/>
        </w:rPr>
        <w:t>技术提供商”。后者提供分析型数据库、数据集成、向量数据库等能力，构建数据、分析和AI应用的可复用底座，通常保持“模型中立”，强调处理海量数据的工程能力与可靠性，代表厂商如星环科技、拓尔思等。</w:t>
      </w:r>
    </w:p>
    <w:p w14:paraId="23010085" w14:textId="23F725E3" w:rsidR="00152E11" w:rsidRPr="00660147" w:rsidRDefault="00152E11" w:rsidP="00845816">
      <w:pPr>
        <w:jc w:val="both"/>
        <w:rPr>
          <w:rFonts w:ascii="楷体" w:eastAsia="楷体" w:hAnsi="楷体" w:hint="eastAsia"/>
          <w:color w:val="000000" w:themeColor="text1"/>
        </w:rPr>
      </w:pPr>
      <w:r w:rsidRPr="00660147">
        <w:rPr>
          <w:rFonts w:ascii="楷体" w:eastAsia="楷体" w:hAnsi="楷体" w:hint="eastAsia"/>
          <w:color w:val="000000" w:themeColor="text1"/>
        </w:rPr>
        <w:t>模型层是产业的价值中枢与“智能大脑”，聚焦于基础大模型及微调优化后的各类模型。参与者可分为两类：一是研发通用基础模型的“Pureplay”厂商（如OpenAI、</w:t>
      </w:r>
      <w:proofErr w:type="spellStart"/>
      <w:r w:rsidRPr="00660147">
        <w:rPr>
          <w:rFonts w:ascii="楷体" w:eastAsia="楷体" w:hAnsi="楷体" w:hint="eastAsia"/>
          <w:color w:val="000000" w:themeColor="text1"/>
        </w:rPr>
        <w:t>MiniMax</w:t>
      </w:r>
      <w:proofErr w:type="spellEnd"/>
      <w:r w:rsidRPr="00660147">
        <w:rPr>
          <w:rFonts w:ascii="楷体" w:eastAsia="楷体" w:hAnsi="楷体" w:hint="eastAsia"/>
          <w:color w:val="000000" w:themeColor="text1"/>
        </w:rPr>
        <w:t>、智谱AI），其核心资源与商业模式高度聚焦于模型本身；二是“Non-pureplay”厂商，通常是互联网平台（如谷歌、阿里、百度、字节跳动），在原有业务上切入大模型，具备强大的资本、</w:t>
      </w:r>
      <w:proofErr w:type="gramStart"/>
      <w:r w:rsidRPr="00660147">
        <w:rPr>
          <w:rFonts w:ascii="楷体" w:eastAsia="楷体" w:hAnsi="楷体" w:hint="eastAsia"/>
          <w:color w:val="000000" w:themeColor="text1"/>
        </w:rPr>
        <w:t>算力与</w:t>
      </w:r>
      <w:proofErr w:type="gramEnd"/>
      <w:r w:rsidRPr="00660147">
        <w:rPr>
          <w:rFonts w:ascii="楷体" w:eastAsia="楷体" w:hAnsi="楷体" w:hint="eastAsia"/>
          <w:color w:val="000000" w:themeColor="text1"/>
        </w:rPr>
        <w:t>场景整合能力。</w:t>
      </w:r>
    </w:p>
    <w:p w14:paraId="4E114DDD" w14:textId="77777777" w:rsidR="00152E11" w:rsidRPr="00660147" w:rsidRDefault="00152E11" w:rsidP="00845816">
      <w:pPr>
        <w:jc w:val="both"/>
        <w:rPr>
          <w:rFonts w:ascii="楷体" w:eastAsia="楷体" w:hAnsi="楷体" w:hint="eastAsia"/>
          <w:color w:val="000000" w:themeColor="text1"/>
        </w:rPr>
      </w:pPr>
      <w:r w:rsidRPr="00660147">
        <w:rPr>
          <w:rFonts w:ascii="楷体" w:eastAsia="楷体" w:hAnsi="楷体" w:hint="eastAsia"/>
          <w:color w:val="000000" w:themeColor="text1"/>
        </w:rPr>
        <w:t>中间层（工具/平台层）是连接模型能力与具体应用的“桥梁”，其价值在于将复杂的模型能力模块化、工具化，降低应用开发门槛。该层包括大模型应用开发管理工具、LLMOps平台、Agent开发平台等。参与者既有独立工具开发商，也有模型层厂商向下延伸提供的平台服务。</w:t>
      </w:r>
    </w:p>
    <w:p w14:paraId="69E8BF0F" w14:textId="0A0A7403" w:rsidR="00152E11" w:rsidRPr="00660147" w:rsidRDefault="00152E11"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应用层是技术价值的最终出口，指将大模型能力嵌入具体业务场景的解决方案和终端产品，如智能客服、知识库问答、AI原生应用（如ChatGPT、海螺AI）。参与者最为广泛，包括所有将大模型作为核心能力组件的软件公司、行业解决方案商及创业公司。</w:t>
      </w:r>
    </w:p>
    <w:p w14:paraId="20F696BD" w14:textId="15736858" w:rsidR="00152E11" w:rsidRPr="00157396" w:rsidRDefault="001C7828" w:rsidP="00845816">
      <w:pPr>
        <w:pStyle w:val="3"/>
        <w:jc w:val="both"/>
        <w:rPr>
          <w:rFonts w:ascii="楷体" w:eastAsia="楷体" w:hAnsi="楷体" w:hint="eastAsia"/>
          <w:color w:val="000000" w:themeColor="text1"/>
          <w:sz w:val="30"/>
          <w:szCs w:val="30"/>
        </w:rPr>
      </w:pPr>
      <w:bookmarkStart w:id="28" w:name="_Toc228444778"/>
      <w:r w:rsidRPr="00157396">
        <w:rPr>
          <w:rFonts w:ascii="楷体" w:eastAsia="楷体" w:hAnsi="楷体" w:hint="eastAsia"/>
          <w:color w:val="000000" w:themeColor="text1"/>
          <w:sz w:val="30"/>
          <w:szCs w:val="30"/>
        </w:rPr>
        <w:t>3.2.2</w:t>
      </w:r>
      <w:r w:rsidR="00152E11" w:rsidRPr="00157396">
        <w:rPr>
          <w:rFonts w:ascii="楷体" w:eastAsia="楷体" w:hAnsi="楷体" w:hint="eastAsia"/>
          <w:color w:val="000000" w:themeColor="text1"/>
          <w:sz w:val="30"/>
          <w:szCs w:val="30"/>
        </w:rPr>
        <w:t xml:space="preserve"> </w:t>
      </w:r>
      <w:r w:rsidR="00152E11" w:rsidRPr="00C25053">
        <w:rPr>
          <w:rFonts w:ascii="楷体" w:eastAsia="楷体" w:hAnsi="楷体" w:hint="eastAsia"/>
          <w:color w:val="000000" w:themeColor="text1"/>
          <w:sz w:val="30"/>
          <w:szCs w:val="30"/>
        </w:rPr>
        <w:t>核心参与者类型深度剖析</w:t>
      </w:r>
      <w:bookmarkEnd w:id="28"/>
    </w:p>
    <w:p w14:paraId="6D6CC861" w14:textId="39949E69" w:rsidR="00152E11" w:rsidRDefault="00152E11" w:rsidP="00845816">
      <w:pPr>
        <w:jc w:val="both"/>
        <w:rPr>
          <w:rFonts w:ascii="楷体" w:eastAsia="楷体" w:hAnsi="楷体"/>
          <w:color w:val="000000" w:themeColor="text1"/>
        </w:rPr>
      </w:pPr>
      <w:r w:rsidRPr="00660147">
        <w:rPr>
          <w:rFonts w:ascii="楷体" w:eastAsia="楷体" w:hAnsi="楷体" w:hint="eastAsia"/>
          <w:color w:val="000000" w:themeColor="text1"/>
        </w:rPr>
        <w:t>基于上述四层架构，大模型市场上的参与者可进一步归纳为以下几种核心类型，其战略定位与竞争逻辑各有不同。</w:t>
      </w:r>
    </w:p>
    <w:p w14:paraId="671160F7" w14:textId="77777777" w:rsidR="00A44FB8" w:rsidRPr="00660147" w:rsidRDefault="00A44FB8" w:rsidP="00845816">
      <w:pPr>
        <w:jc w:val="both"/>
        <w:rPr>
          <w:rFonts w:ascii="楷体" w:eastAsia="楷体" w:hAnsi="楷体" w:hint="eastAsia"/>
          <w:color w:val="000000" w:themeColor="text1"/>
        </w:rPr>
      </w:pPr>
    </w:p>
    <w:tbl>
      <w:tblPr>
        <w:tblStyle w:val="af2"/>
        <w:tblW w:w="9356" w:type="dxa"/>
        <w:tblInd w:w="-572" w:type="dxa"/>
        <w:tblLook w:val="04A0" w:firstRow="1" w:lastRow="0" w:firstColumn="1" w:lastColumn="0" w:noHBand="0" w:noVBand="1"/>
      </w:tblPr>
      <w:tblGrid>
        <w:gridCol w:w="1560"/>
        <w:gridCol w:w="1559"/>
        <w:gridCol w:w="1417"/>
        <w:gridCol w:w="2835"/>
        <w:gridCol w:w="1985"/>
      </w:tblGrid>
      <w:tr w:rsidR="00326ECF" w:rsidRPr="00326ECF" w14:paraId="2A70CB96" w14:textId="77777777" w:rsidTr="00A44FB8">
        <w:trPr>
          <w:trHeight w:val="585"/>
        </w:trPr>
        <w:tc>
          <w:tcPr>
            <w:tcW w:w="1560" w:type="dxa"/>
            <w:hideMark/>
          </w:tcPr>
          <w:p w14:paraId="7CCA27D9"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lastRenderedPageBreak/>
              <w:t>参与者类型</w:t>
            </w:r>
          </w:p>
        </w:tc>
        <w:tc>
          <w:tcPr>
            <w:tcW w:w="1559" w:type="dxa"/>
            <w:hideMark/>
          </w:tcPr>
          <w:p w14:paraId="726797C1"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代表企业</w:t>
            </w:r>
          </w:p>
        </w:tc>
        <w:tc>
          <w:tcPr>
            <w:tcW w:w="1417" w:type="dxa"/>
            <w:hideMark/>
          </w:tcPr>
          <w:p w14:paraId="0B35C4EC"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核心定位</w:t>
            </w:r>
          </w:p>
        </w:tc>
        <w:tc>
          <w:tcPr>
            <w:tcW w:w="2835" w:type="dxa"/>
            <w:hideMark/>
          </w:tcPr>
          <w:p w14:paraId="28D04450"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关键优势</w:t>
            </w:r>
          </w:p>
        </w:tc>
        <w:tc>
          <w:tcPr>
            <w:tcW w:w="1985" w:type="dxa"/>
            <w:hideMark/>
          </w:tcPr>
          <w:p w14:paraId="58D97BD7"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竞争焦点/挑战</w:t>
            </w:r>
          </w:p>
        </w:tc>
      </w:tr>
      <w:tr w:rsidR="00326ECF" w:rsidRPr="00326ECF" w14:paraId="48D9F5AF" w14:textId="77777777" w:rsidTr="00A44FB8">
        <w:trPr>
          <w:trHeight w:val="1155"/>
        </w:trPr>
        <w:tc>
          <w:tcPr>
            <w:tcW w:w="1560" w:type="dxa"/>
            <w:hideMark/>
          </w:tcPr>
          <w:p w14:paraId="443F0339"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互联网科技企业</w:t>
            </w:r>
          </w:p>
        </w:tc>
        <w:tc>
          <w:tcPr>
            <w:tcW w:w="1559" w:type="dxa"/>
            <w:hideMark/>
          </w:tcPr>
          <w:p w14:paraId="406B715B"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阿里、百度、腾讯、字节跳动</w:t>
            </w:r>
          </w:p>
        </w:tc>
        <w:tc>
          <w:tcPr>
            <w:tcW w:w="1417" w:type="dxa"/>
            <w:hideMark/>
          </w:tcPr>
          <w:p w14:paraId="74E88D1E"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"芯片/框架-模型-应用-场景"全</w:t>
            </w:r>
            <w:proofErr w:type="gramStart"/>
            <w:r w:rsidRPr="00326ECF">
              <w:rPr>
                <w:rFonts w:ascii="楷体" w:eastAsia="楷体" w:hAnsi="楷体"/>
                <w:color w:val="000000" w:themeColor="text1"/>
              </w:rPr>
              <w:t>栈</w:t>
            </w:r>
            <w:proofErr w:type="gramEnd"/>
            <w:r w:rsidRPr="00326ECF">
              <w:rPr>
                <w:rFonts w:ascii="楷体" w:eastAsia="楷体" w:hAnsi="楷体"/>
                <w:color w:val="000000" w:themeColor="text1"/>
              </w:rPr>
              <w:t>式生态</w:t>
            </w:r>
          </w:p>
        </w:tc>
        <w:tc>
          <w:tcPr>
            <w:tcW w:w="2835" w:type="dxa"/>
            <w:hideMark/>
          </w:tcPr>
          <w:p w14:paraId="187AA8AB"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①海量自有场景与用户流量，形成数据飞轮；②掌</w:t>
            </w:r>
            <w:proofErr w:type="gramStart"/>
            <w:r w:rsidRPr="00326ECF">
              <w:rPr>
                <w:rFonts w:ascii="楷体" w:eastAsia="楷体" w:hAnsi="楷体"/>
                <w:color w:val="000000" w:themeColor="text1"/>
              </w:rPr>
              <w:t>控算力</w:t>
            </w:r>
            <w:proofErr w:type="gramEnd"/>
            <w:r w:rsidRPr="00326ECF">
              <w:rPr>
                <w:rFonts w:ascii="楷体" w:eastAsia="楷体" w:hAnsi="楷体"/>
                <w:color w:val="000000" w:themeColor="text1"/>
              </w:rPr>
              <w:t>入口与</w:t>
            </w:r>
            <w:proofErr w:type="gramStart"/>
            <w:r w:rsidRPr="00326ECF">
              <w:rPr>
                <w:rFonts w:ascii="楷体" w:eastAsia="楷体" w:hAnsi="楷体"/>
                <w:color w:val="000000" w:themeColor="text1"/>
              </w:rPr>
              <w:t>云基础</w:t>
            </w:r>
            <w:proofErr w:type="gramEnd"/>
            <w:r w:rsidRPr="00326ECF">
              <w:rPr>
                <w:rFonts w:ascii="楷体" w:eastAsia="楷体" w:hAnsi="楷体"/>
                <w:color w:val="000000" w:themeColor="text1"/>
              </w:rPr>
              <w:t>设施，具备工程化优势；③"平台+应用"双轮驱动，既提供</w:t>
            </w:r>
            <w:proofErr w:type="spellStart"/>
            <w:r w:rsidRPr="00326ECF">
              <w:rPr>
                <w:rFonts w:ascii="楷体" w:eastAsia="楷体" w:hAnsi="楷体"/>
                <w:color w:val="000000" w:themeColor="text1"/>
              </w:rPr>
              <w:t>MaaS</w:t>
            </w:r>
            <w:proofErr w:type="spellEnd"/>
            <w:r w:rsidRPr="00326ECF">
              <w:rPr>
                <w:rFonts w:ascii="楷体" w:eastAsia="楷体" w:hAnsi="楷体"/>
                <w:color w:val="000000" w:themeColor="text1"/>
              </w:rPr>
              <w:t>又推出标杆C端应用</w:t>
            </w:r>
          </w:p>
        </w:tc>
        <w:tc>
          <w:tcPr>
            <w:tcW w:w="1985" w:type="dxa"/>
            <w:hideMark/>
          </w:tcPr>
          <w:p w14:paraId="34A569D6"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通过生态协同效应最大化用户停留时间与数据价值，将大模型能力渗透至所有业务线</w:t>
            </w:r>
          </w:p>
        </w:tc>
      </w:tr>
      <w:tr w:rsidR="00326ECF" w:rsidRPr="00326ECF" w14:paraId="3C7FDFC1" w14:textId="77777777" w:rsidTr="00A44FB8">
        <w:trPr>
          <w:trHeight w:val="1440"/>
        </w:trPr>
        <w:tc>
          <w:tcPr>
            <w:tcW w:w="1560" w:type="dxa"/>
            <w:hideMark/>
          </w:tcPr>
          <w:p w14:paraId="6CB3043A"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专注模型研发的Pureplay厂商</w:t>
            </w:r>
          </w:p>
        </w:tc>
        <w:tc>
          <w:tcPr>
            <w:tcW w:w="1559" w:type="dxa"/>
            <w:hideMark/>
          </w:tcPr>
          <w:p w14:paraId="2AB6141E" w14:textId="77777777" w:rsidR="00326ECF" w:rsidRPr="00326ECF" w:rsidRDefault="00326ECF" w:rsidP="00326ECF">
            <w:pPr>
              <w:jc w:val="both"/>
              <w:rPr>
                <w:rFonts w:ascii="楷体" w:eastAsia="楷体" w:hAnsi="楷体"/>
                <w:color w:val="000000" w:themeColor="text1"/>
              </w:rPr>
            </w:pPr>
            <w:proofErr w:type="spellStart"/>
            <w:r w:rsidRPr="00326ECF">
              <w:rPr>
                <w:rFonts w:ascii="楷体" w:eastAsia="楷体" w:hAnsi="楷体"/>
                <w:color w:val="000000" w:themeColor="text1"/>
              </w:rPr>
              <w:t>MiniMax</w:t>
            </w:r>
            <w:proofErr w:type="spellEnd"/>
            <w:r w:rsidRPr="00326ECF">
              <w:rPr>
                <w:rFonts w:ascii="楷体" w:eastAsia="楷体" w:hAnsi="楷体"/>
                <w:color w:val="000000" w:themeColor="text1"/>
              </w:rPr>
              <w:t>、智谱AI、月之暗面</w:t>
            </w:r>
          </w:p>
        </w:tc>
        <w:tc>
          <w:tcPr>
            <w:tcW w:w="1417" w:type="dxa"/>
            <w:hideMark/>
          </w:tcPr>
          <w:p w14:paraId="262E7DDE"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高度聚焦大模型技术研发与迭代</w:t>
            </w:r>
          </w:p>
        </w:tc>
        <w:tc>
          <w:tcPr>
            <w:tcW w:w="2835" w:type="dxa"/>
            <w:hideMark/>
          </w:tcPr>
          <w:p w14:paraId="609F859D"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①组织架构扁平，研发高度集中（如</w:t>
            </w:r>
            <w:proofErr w:type="spellStart"/>
            <w:r w:rsidRPr="00326ECF">
              <w:rPr>
                <w:rFonts w:ascii="楷体" w:eastAsia="楷体" w:hAnsi="楷体"/>
                <w:color w:val="000000" w:themeColor="text1"/>
              </w:rPr>
              <w:t>MiniMax</w:t>
            </w:r>
            <w:proofErr w:type="spellEnd"/>
            <w:r w:rsidRPr="00326ECF">
              <w:rPr>
                <w:rFonts w:ascii="楷体" w:eastAsia="楷体" w:hAnsi="楷体"/>
                <w:color w:val="000000" w:themeColor="text1"/>
              </w:rPr>
              <w:t>研发人员占比超70%）；②追求模型性能极致突破，在多模态、长上下文、推理能力等前沿方向投入坚决；③商业化路径清晰，"模型驱动产品"逻辑，同步发展C端AI原生产品与B端API服务</w:t>
            </w:r>
          </w:p>
        </w:tc>
        <w:tc>
          <w:tcPr>
            <w:tcW w:w="1985" w:type="dxa"/>
            <w:hideMark/>
          </w:tcPr>
          <w:p w14:paraId="62D5BB50"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持续高强度研发投入与商业化规模扩张之间的平衡</w:t>
            </w:r>
          </w:p>
        </w:tc>
      </w:tr>
      <w:tr w:rsidR="00326ECF" w:rsidRPr="00326ECF" w14:paraId="17596AFC" w14:textId="77777777" w:rsidTr="00A44FB8">
        <w:trPr>
          <w:trHeight w:val="1155"/>
        </w:trPr>
        <w:tc>
          <w:tcPr>
            <w:tcW w:w="1560" w:type="dxa"/>
            <w:hideMark/>
          </w:tcPr>
          <w:p w14:paraId="10B7B3FA" w14:textId="77777777" w:rsidR="00326ECF" w:rsidRPr="00326ECF" w:rsidRDefault="00326ECF" w:rsidP="00326ECF">
            <w:pPr>
              <w:jc w:val="both"/>
              <w:rPr>
                <w:rFonts w:ascii="楷体" w:eastAsia="楷体" w:hAnsi="楷体"/>
                <w:b/>
                <w:bCs/>
                <w:color w:val="000000" w:themeColor="text1"/>
              </w:rPr>
            </w:pPr>
            <w:proofErr w:type="spellStart"/>
            <w:r w:rsidRPr="00326ECF">
              <w:rPr>
                <w:rFonts w:ascii="楷体" w:eastAsia="楷体" w:hAnsi="楷体"/>
                <w:b/>
                <w:bCs/>
                <w:color w:val="000000" w:themeColor="text1"/>
              </w:rPr>
              <w:t>AI+Data</w:t>
            </w:r>
            <w:proofErr w:type="spellEnd"/>
            <w:r w:rsidRPr="00326ECF">
              <w:rPr>
                <w:rFonts w:ascii="楷体" w:eastAsia="楷体" w:hAnsi="楷体"/>
                <w:b/>
                <w:bCs/>
                <w:color w:val="000000" w:themeColor="text1"/>
              </w:rPr>
              <w:t>技术提供商与软件技术转型者</w:t>
            </w:r>
          </w:p>
        </w:tc>
        <w:tc>
          <w:tcPr>
            <w:tcW w:w="1559" w:type="dxa"/>
            <w:hideMark/>
          </w:tcPr>
          <w:p w14:paraId="72802E85"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星环科技、</w:t>
            </w:r>
            <w:proofErr w:type="spellStart"/>
            <w:r w:rsidRPr="00326ECF">
              <w:rPr>
                <w:rFonts w:ascii="楷体" w:eastAsia="楷体" w:hAnsi="楷体"/>
                <w:color w:val="000000" w:themeColor="text1"/>
              </w:rPr>
              <w:t>Zilliz</w:t>
            </w:r>
            <w:proofErr w:type="spellEnd"/>
            <w:r w:rsidRPr="00326ECF">
              <w:rPr>
                <w:rFonts w:ascii="楷体" w:eastAsia="楷体" w:hAnsi="楷体"/>
                <w:color w:val="000000" w:themeColor="text1"/>
              </w:rPr>
              <w:t>、用友、金蝶、科大讯飞、第四范式、飞书</w:t>
            </w:r>
          </w:p>
        </w:tc>
        <w:tc>
          <w:tcPr>
            <w:tcW w:w="1417" w:type="dxa"/>
            <w:hideMark/>
          </w:tcPr>
          <w:p w14:paraId="3A85A711"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为企业构建数据底座或将大模型能力融入现有软件产品矩阵</w:t>
            </w:r>
          </w:p>
        </w:tc>
        <w:tc>
          <w:tcPr>
            <w:tcW w:w="2835" w:type="dxa"/>
            <w:hideMark/>
          </w:tcPr>
          <w:p w14:paraId="34670FAB"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①对垂直行业痛点深刻理解；②成熟的客户基础与销售渠道；③较低的客户迁移成本；④数据基础设施价值（燃料供应商）或产品智能化升级能力</w:t>
            </w:r>
          </w:p>
        </w:tc>
        <w:tc>
          <w:tcPr>
            <w:tcW w:w="1985" w:type="dxa"/>
            <w:hideMark/>
          </w:tcPr>
          <w:p w14:paraId="70D0DA73"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成为大模型在B端规模化落地的关键推动力量，而非颠覆客户现有业务流程</w:t>
            </w:r>
          </w:p>
        </w:tc>
      </w:tr>
      <w:tr w:rsidR="00326ECF" w:rsidRPr="00326ECF" w14:paraId="3FC33C3F" w14:textId="77777777" w:rsidTr="00A44FB8">
        <w:trPr>
          <w:trHeight w:val="1140"/>
        </w:trPr>
        <w:tc>
          <w:tcPr>
            <w:tcW w:w="1560" w:type="dxa"/>
            <w:hideMark/>
          </w:tcPr>
          <w:p w14:paraId="5C6A0D1A" w14:textId="77777777" w:rsidR="00326ECF" w:rsidRPr="00326ECF" w:rsidRDefault="00326ECF" w:rsidP="00326ECF">
            <w:pPr>
              <w:jc w:val="both"/>
              <w:rPr>
                <w:rFonts w:ascii="楷体" w:eastAsia="楷体" w:hAnsi="楷体"/>
                <w:b/>
                <w:bCs/>
                <w:color w:val="000000" w:themeColor="text1"/>
              </w:rPr>
            </w:pPr>
            <w:r w:rsidRPr="00326ECF">
              <w:rPr>
                <w:rFonts w:ascii="楷体" w:eastAsia="楷体" w:hAnsi="楷体"/>
                <w:b/>
                <w:bCs/>
                <w:color w:val="000000" w:themeColor="text1"/>
              </w:rPr>
              <w:t>开源社区与开源模型贡献者</w:t>
            </w:r>
          </w:p>
        </w:tc>
        <w:tc>
          <w:tcPr>
            <w:tcW w:w="1559" w:type="dxa"/>
            <w:hideMark/>
          </w:tcPr>
          <w:p w14:paraId="6B858A31"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Meta（Llama系列）、DeepSeek、</w:t>
            </w:r>
            <w:proofErr w:type="gramStart"/>
            <w:r w:rsidRPr="00326ECF">
              <w:rPr>
                <w:rFonts w:ascii="楷体" w:eastAsia="楷体" w:hAnsi="楷体"/>
                <w:color w:val="000000" w:themeColor="text1"/>
              </w:rPr>
              <w:t>通义千问</w:t>
            </w:r>
            <w:proofErr w:type="gramEnd"/>
          </w:p>
        </w:tc>
        <w:tc>
          <w:tcPr>
            <w:tcW w:w="1417" w:type="dxa"/>
            <w:hideMark/>
          </w:tcPr>
          <w:p w14:paraId="7D135B47"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通过开源模型降低技术门槛，推动技术民主化</w:t>
            </w:r>
          </w:p>
        </w:tc>
        <w:tc>
          <w:tcPr>
            <w:tcW w:w="2835" w:type="dxa"/>
            <w:hideMark/>
          </w:tcPr>
          <w:p w14:paraId="6AA1BF22"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①显著降低技术使用门槛与成本，使中小企业可定制专属模型；②透明性与可定制性，满足企业自主可控和安全审查需求；③活跃社区驱动快速迭代，"发布-社区反馈-迭代"循环</w:t>
            </w:r>
          </w:p>
        </w:tc>
        <w:tc>
          <w:tcPr>
            <w:tcW w:w="1985" w:type="dxa"/>
            <w:hideMark/>
          </w:tcPr>
          <w:p w14:paraId="5A2E5D6E" w14:textId="77777777" w:rsidR="00326ECF" w:rsidRPr="00326ECF" w:rsidRDefault="00326ECF" w:rsidP="00326ECF">
            <w:pPr>
              <w:jc w:val="both"/>
              <w:rPr>
                <w:rFonts w:ascii="楷体" w:eastAsia="楷体" w:hAnsi="楷体"/>
                <w:color w:val="000000" w:themeColor="text1"/>
              </w:rPr>
            </w:pPr>
            <w:r w:rsidRPr="00326ECF">
              <w:rPr>
                <w:rFonts w:ascii="楷体" w:eastAsia="楷体" w:hAnsi="楷体"/>
                <w:color w:val="000000" w:themeColor="text1"/>
              </w:rPr>
              <w:t>不断缩小与</w:t>
            </w:r>
            <w:proofErr w:type="gramStart"/>
            <w:r w:rsidRPr="00326ECF">
              <w:rPr>
                <w:rFonts w:ascii="楷体" w:eastAsia="楷体" w:hAnsi="楷体"/>
                <w:color w:val="000000" w:themeColor="text1"/>
              </w:rPr>
              <w:t>顶尖闭源模型</w:t>
            </w:r>
            <w:proofErr w:type="gramEnd"/>
            <w:r w:rsidRPr="00326ECF">
              <w:rPr>
                <w:rFonts w:ascii="楷体" w:eastAsia="楷体" w:hAnsi="楷体"/>
                <w:color w:val="000000" w:themeColor="text1"/>
              </w:rPr>
              <w:t>的性能差距，甚至在细分领域实现反超，</w:t>
            </w:r>
            <w:proofErr w:type="gramStart"/>
            <w:r w:rsidRPr="00326ECF">
              <w:rPr>
                <w:rFonts w:ascii="楷体" w:eastAsia="楷体" w:hAnsi="楷体"/>
                <w:color w:val="000000" w:themeColor="text1"/>
              </w:rPr>
              <w:t>迫使闭源厂商</w:t>
            </w:r>
            <w:proofErr w:type="gramEnd"/>
            <w:r w:rsidRPr="00326ECF">
              <w:rPr>
                <w:rFonts w:ascii="楷体" w:eastAsia="楷体" w:hAnsi="楷体"/>
                <w:color w:val="000000" w:themeColor="text1"/>
              </w:rPr>
              <w:t>提升效率与性价比</w:t>
            </w:r>
          </w:p>
        </w:tc>
      </w:tr>
    </w:tbl>
    <w:p w14:paraId="7ED97A40" w14:textId="599A3C7D" w:rsidR="00152E11" w:rsidRPr="00326ECF" w:rsidRDefault="00152E11" w:rsidP="00326ECF">
      <w:pPr>
        <w:jc w:val="both"/>
        <w:rPr>
          <w:rFonts w:ascii="楷体" w:eastAsia="楷体" w:hAnsi="楷体" w:hint="eastAsia"/>
          <w:color w:val="000000" w:themeColor="text1"/>
        </w:rPr>
      </w:pPr>
    </w:p>
    <w:p w14:paraId="0D44BC9B" w14:textId="037B139B" w:rsidR="00EB5EA6" w:rsidRPr="00157396" w:rsidRDefault="00914D6F" w:rsidP="00845816">
      <w:pPr>
        <w:pStyle w:val="2"/>
        <w:jc w:val="both"/>
        <w:rPr>
          <w:rFonts w:ascii="楷体" w:eastAsia="楷体" w:hAnsi="楷体" w:hint="eastAsia"/>
          <w:color w:val="000000" w:themeColor="text1"/>
          <w:sz w:val="32"/>
          <w:szCs w:val="32"/>
        </w:rPr>
      </w:pPr>
      <w:bookmarkStart w:id="29" w:name="_Toc228444779"/>
      <w:r w:rsidRPr="00157396">
        <w:rPr>
          <w:rFonts w:ascii="楷体" w:eastAsia="楷体" w:hAnsi="楷体" w:hint="eastAsia"/>
          <w:color w:val="000000" w:themeColor="text1"/>
          <w:sz w:val="32"/>
          <w:szCs w:val="32"/>
        </w:rPr>
        <w:t>3.3</w:t>
      </w:r>
      <w:r w:rsidR="00EB5EA6" w:rsidRPr="00157396">
        <w:rPr>
          <w:rFonts w:ascii="楷体" w:eastAsia="楷体" w:hAnsi="楷体" w:hint="eastAsia"/>
          <w:color w:val="000000" w:themeColor="text1"/>
          <w:sz w:val="32"/>
          <w:szCs w:val="32"/>
        </w:rPr>
        <w:t>企业核心竞争力评价维度</w:t>
      </w:r>
      <w:bookmarkEnd w:id="29"/>
    </w:p>
    <w:p w14:paraId="50120EBB" w14:textId="62A9E111" w:rsidR="007C2934" w:rsidRPr="00157396" w:rsidRDefault="00914D6F" w:rsidP="00845816">
      <w:pPr>
        <w:pStyle w:val="3"/>
        <w:jc w:val="both"/>
        <w:rPr>
          <w:rFonts w:ascii="楷体" w:eastAsia="楷体" w:hAnsi="楷体" w:hint="eastAsia"/>
          <w:color w:val="000000" w:themeColor="text1"/>
          <w:sz w:val="30"/>
          <w:szCs w:val="30"/>
        </w:rPr>
      </w:pPr>
      <w:bookmarkStart w:id="30" w:name="_Toc228444780"/>
      <w:r w:rsidRPr="00157396">
        <w:rPr>
          <w:rFonts w:ascii="楷体" w:eastAsia="楷体" w:hAnsi="楷体" w:hint="eastAsia"/>
          <w:color w:val="000000" w:themeColor="text1"/>
          <w:sz w:val="30"/>
          <w:szCs w:val="30"/>
        </w:rPr>
        <w:t>3.3.1</w:t>
      </w:r>
      <w:r w:rsidR="007C2934" w:rsidRPr="00157396">
        <w:rPr>
          <w:rFonts w:ascii="楷体" w:eastAsia="楷体" w:hAnsi="楷体" w:hint="eastAsia"/>
          <w:color w:val="000000" w:themeColor="text1"/>
          <w:sz w:val="30"/>
          <w:szCs w:val="30"/>
        </w:rPr>
        <w:t>生态构建能力：从规模积累到体系化自演进</w:t>
      </w:r>
      <w:bookmarkEnd w:id="30"/>
    </w:p>
    <w:p w14:paraId="2D616CF5" w14:textId="65EB8C11" w:rsidR="007C2934" w:rsidRPr="00660147" w:rsidRDefault="007C2934" w:rsidP="00845816">
      <w:pPr>
        <w:jc w:val="both"/>
        <w:rPr>
          <w:rFonts w:ascii="楷体" w:eastAsia="楷体" w:hAnsi="楷体" w:hint="eastAsia"/>
          <w:color w:val="000000" w:themeColor="text1"/>
        </w:rPr>
      </w:pPr>
      <w:r w:rsidRPr="00660147">
        <w:rPr>
          <w:rFonts w:ascii="楷体" w:eastAsia="楷体" w:hAnsi="楷体" w:hint="eastAsia"/>
          <w:color w:val="000000" w:themeColor="text1"/>
        </w:rPr>
        <w:t>生态构建能力是衡量大模型企业能否从产品技术成功迈向商业生态化的关键。当前，行业竞争已超越简单的开发者数量积累，进入到构建高活性、高粘性、具备自演进能力的生态体系阶段。</w:t>
      </w:r>
    </w:p>
    <w:p w14:paraId="7946F1F5" w14:textId="66F38F69" w:rsidR="007C2934" w:rsidRPr="00660147" w:rsidRDefault="007C2934" w:rsidP="00845816">
      <w:pPr>
        <w:jc w:val="both"/>
        <w:rPr>
          <w:rFonts w:ascii="楷体" w:eastAsia="楷体" w:hAnsi="楷体" w:hint="eastAsia"/>
          <w:color w:val="000000" w:themeColor="text1"/>
        </w:rPr>
      </w:pPr>
      <w:r w:rsidRPr="00660147">
        <w:rPr>
          <w:rFonts w:ascii="楷体" w:eastAsia="楷体" w:hAnsi="楷体" w:hint="eastAsia"/>
          <w:color w:val="000000" w:themeColor="text1"/>
        </w:rPr>
        <w:t>在开发者生态方面，领先企业正通过提供精细化工具链、优化计费策略与强化调试支持，系统提升开发效率与应用创新活力。与此相对应，除了注册开发者规模，API月度调用</w:t>
      </w:r>
      <w:r w:rsidRPr="00660147">
        <w:rPr>
          <w:rFonts w:ascii="楷体" w:eastAsia="楷体" w:hAnsi="楷体" w:hint="eastAsia"/>
          <w:color w:val="000000" w:themeColor="text1"/>
        </w:rPr>
        <w:lastRenderedPageBreak/>
        <w:t>总量与高质量原生应用产出率成为能够真实反映生态活跃度与价值转化能力的关键指标。</w:t>
      </w:r>
    </w:p>
    <w:p w14:paraId="31BD3D64" w14:textId="3711F059" w:rsidR="007C2934" w:rsidRPr="00157396" w:rsidRDefault="00914D6F" w:rsidP="00845816">
      <w:pPr>
        <w:pStyle w:val="3"/>
        <w:jc w:val="both"/>
        <w:rPr>
          <w:rFonts w:ascii="楷体" w:eastAsia="楷体" w:hAnsi="楷体" w:hint="eastAsia"/>
          <w:color w:val="000000" w:themeColor="text1"/>
          <w:sz w:val="30"/>
          <w:szCs w:val="30"/>
        </w:rPr>
      </w:pPr>
      <w:bookmarkStart w:id="31" w:name="_Toc228444781"/>
      <w:r w:rsidRPr="00157396">
        <w:rPr>
          <w:rFonts w:ascii="楷体" w:eastAsia="楷体" w:hAnsi="楷体" w:hint="eastAsia"/>
          <w:color w:val="000000" w:themeColor="text1"/>
          <w:sz w:val="30"/>
          <w:szCs w:val="30"/>
        </w:rPr>
        <w:t>3.3.2</w:t>
      </w:r>
      <w:r w:rsidR="007C2934" w:rsidRPr="00157396">
        <w:rPr>
          <w:rFonts w:ascii="楷体" w:eastAsia="楷体" w:hAnsi="楷体" w:hint="eastAsia"/>
          <w:color w:val="000000" w:themeColor="text1"/>
          <w:sz w:val="30"/>
          <w:szCs w:val="30"/>
        </w:rPr>
        <w:t>技术研发能力：持续迭代与战略路线的双重壁垒</w:t>
      </w:r>
      <w:bookmarkEnd w:id="31"/>
    </w:p>
    <w:p w14:paraId="584D9770" w14:textId="4078A8BC" w:rsidR="007C2934" w:rsidRPr="00660147" w:rsidRDefault="007C2934" w:rsidP="00845816">
      <w:pPr>
        <w:jc w:val="both"/>
        <w:rPr>
          <w:rFonts w:ascii="楷体" w:eastAsia="楷体" w:hAnsi="楷体" w:hint="eastAsia"/>
          <w:color w:val="000000" w:themeColor="text1"/>
        </w:rPr>
      </w:pPr>
      <w:r w:rsidRPr="00660147">
        <w:rPr>
          <w:rFonts w:ascii="楷体" w:eastAsia="楷体" w:hAnsi="楷体" w:hint="eastAsia"/>
          <w:color w:val="000000" w:themeColor="text1"/>
        </w:rPr>
        <w:t>技术研发能力是企业维持长期竞争力的根本，其评价需关注投入强度、迭代效率与战略路径选择。</w:t>
      </w:r>
    </w:p>
    <w:p w14:paraId="33B7762F" w14:textId="002CDED9" w:rsidR="007C2934" w:rsidRPr="00660147" w:rsidRDefault="007C2934" w:rsidP="00845816">
      <w:pPr>
        <w:jc w:val="both"/>
        <w:rPr>
          <w:rFonts w:ascii="楷体" w:eastAsia="楷体" w:hAnsi="楷体" w:hint="eastAsia"/>
          <w:color w:val="000000" w:themeColor="text1"/>
        </w:rPr>
      </w:pPr>
      <w:r w:rsidRPr="00660147">
        <w:rPr>
          <w:rFonts w:ascii="楷体" w:eastAsia="楷体" w:hAnsi="楷体" w:hint="eastAsia"/>
          <w:color w:val="000000" w:themeColor="text1"/>
        </w:rPr>
        <w:t>研发投入与迭代速度：高比例的研发投入与稳定的大版本更新频率是维持技术领先的关键保障。</w:t>
      </w:r>
    </w:p>
    <w:p w14:paraId="637ECDC8" w14:textId="72D1AF59" w:rsidR="002A00D4" w:rsidRPr="00660147" w:rsidRDefault="002A00D4" w:rsidP="00845816">
      <w:pPr>
        <w:jc w:val="both"/>
        <w:rPr>
          <w:rFonts w:ascii="楷体" w:eastAsia="楷体" w:hAnsi="楷体" w:hint="eastAsia"/>
          <w:color w:val="000000" w:themeColor="text1"/>
        </w:rPr>
      </w:pPr>
      <w:r w:rsidRPr="00660147">
        <w:rPr>
          <w:rFonts w:ascii="楷体" w:eastAsia="楷体" w:hAnsi="楷体" w:hint="eastAsia"/>
          <w:color w:val="000000" w:themeColor="text1"/>
        </w:rPr>
        <w:t>表：</w:t>
      </w:r>
      <w:r w:rsidR="000B5284" w:rsidRPr="00660147">
        <w:rPr>
          <w:rFonts w:ascii="楷体" w:eastAsia="楷体" w:hAnsi="楷体" w:hint="eastAsia"/>
          <w:color w:val="000000" w:themeColor="text1"/>
        </w:rPr>
        <w:t>2025年来主流大模型厂商模型更新情况一览</w:t>
      </w:r>
    </w:p>
    <w:tbl>
      <w:tblPr>
        <w:tblStyle w:val="af2"/>
        <w:tblW w:w="9640" w:type="dxa"/>
        <w:tblInd w:w="-714" w:type="dxa"/>
        <w:tblLook w:val="04A0" w:firstRow="1" w:lastRow="0" w:firstColumn="1" w:lastColumn="0" w:noHBand="0" w:noVBand="1"/>
      </w:tblPr>
      <w:tblGrid>
        <w:gridCol w:w="1309"/>
        <w:gridCol w:w="3795"/>
        <w:gridCol w:w="850"/>
        <w:gridCol w:w="3686"/>
      </w:tblGrid>
      <w:tr w:rsidR="00911C7E" w:rsidRPr="00660147" w14:paraId="5DCE495D" w14:textId="77777777" w:rsidTr="00911C7E">
        <w:trPr>
          <w:trHeight w:val="285"/>
        </w:trPr>
        <w:tc>
          <w:tcPr>
            <w:tcW w:w="1309" w:type="dxa"/>
            <w:noWrap/>
            <w:hideMark/>
          </w:tcPr>
          <w:p w14:paraId="53EAF1B9" w14:textId="77777777" w:rsidR="00911C7E" w:rsidRPr="00660147" w:rsidRDefault="00911C7E" w:rsidP="00845816">
            <w:pPr>
              <w:jc w:val="both"/>
              <w:rPr>
                <w:rFonts w:ascii="楷体" w:eastAsia="楷体" w:hAnsi="楷体" w:hint="eastAsia"/>
                <w:color w:val="000000" w:themeColor="text1"/>
              </w:rPr>
            </w:pPr>
            <w:r w:rsidRPr="00660147">
              <w:rPr>
                <w:rFonts w:ascii="楷体" w:eastAsia="楷体" w:hAnsi="楷体"/>
                <w:color w:val="000000" w:themeColor="text1"/>
              </w:rPr>
              <w:t>厂商</w:t>
            </w:r>
          </w:p>
        </w:tc>
        <w:tc>
          <w:tcPr>
            <w:tcW w:w="3795" w:type="dxa"/>
            <w:noWrap/>
            <w:hideMark/>
          </w:tcPr>
          <w:p w14:paraId="77482523" w14:textId="77777777" w:rsidR="00911C7E" w:rsidRPr="00660147" w:rsidRDefault="00911C7E" w:rsidP="00845816">
            <w:pPr>
              <w:jc w:val="both"/>
              <w:rPr>
                <w:rFonts w:ascii="楷体" w:eastAsia="楷体" w:hAnsi="楷体" w:hint="eastAsia"/>
                <w:color w:val="000000" w:themeColor="text1"/>
              </w:rPr>
            </w:pPr>
            <w:r w:rsidRPr="00660147">
              <w:rPr>
                <w:rFonts w:ascii="楷体" w:eastAsia="楷体" w:hAnsi="楷体"/>
                <w:color w:val="000000" w:themeColor="text1"/>
              </w:rPr>
              <w:t>2025年至今主要迭代版本</w:t>
            </w:r>
          </w:p>
        </w:tc>
        <w:tc>
          <w:tcPr>
            <w:tcW w:w="850" w:type="dxa"/>
            <w:noWrap/>
            <w:hideMark/>
          </w:tcPr>
          <w:p w14:paraId="25C5B53D" w14:textId="77777777" w:rsidR="00911C7E" w:rsidRPr="00660147" w:rsidRDefault="00911C7E" w:rsidP="00845816">
            <w:pPr>
              <w:jc w:val="both"/>
              <w:rPr>
                <w:rFonts w:ascii="楷体" w:eastAsia="楷体" w:hAnsi="楷体" w:hint="eastAsia"/>
                <w:color w:val="000000" w:themeColor="text1"/>
              </w:rPr>
            </w:pPr>
            <w:r w:rsidRPr="00660147">
              <w:rPr>
                <w:rFonts w:ascii="楷体" w:eastAsia="楷体" w:hAnsi="楷体"/>
                <w:color w:val="000000" w:themeColor="text1"/>
              </w:rPr>
              <w:t>版本数量</w:t>
            </w:r>
          </w:p>
        </w:tc>
        <w:tc>
          <w:tcPr>
            <w:tcW w:w="3686" w:type="dxa"/>
            <w:noWrap/>
            <w:hideMark/>
          </w:tcPr>
          <w:p w14:paraId="2CC6B303" w14:textId="77777777" w:rsidR="00911C7E" w:rsidRPr="00660147" w:rsidRDefault="00911C7E" w:rsidP="00845816">
            <w:pPr>
              <w:jc w:val="both"/>
              <w:rPr>
                <w:rFonts w:ascii="楷体" w:eastAsia="楷体" w:hAnsi="楷体" w:hint="eastAsia"/>
                <w:color w:val="000000" w:themeColor="text1"/>
              </w:rPr>
            </w:pPr>
            <w:r w:rsidRPr="00660147">
              <w:rPr>
                <w:rFonts w:ascii="楷体" w:eastAsia="楷体" w:hAnsi="楷体"/>
                <w:color w:val="000000" w:themeColor="text1"/>
              </w:rPr>
              <w:t>关键时间节点</w:t>
            </w:r>
          </w:p>
        </w:tc>
      </w:tr>
      <w:tr w:rsidR="00911C7E" w:rsidRPr="00660147" w14:paraId="54739688" w14:textId="77777777" w:rsidTr="00911C7E">
        <w:trPr>
          <w:trHeight w:val="285"/>
        </w:trPr>
        <w:tc>
          <w:tcPr>
            <w:tcW w:w="1309" w:type="dxa"/>
            <w:noWrap/>
            <w:hideMark/>
          </w:tcPr>
          <w:p w14:paraId="4DE1555E"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OpenAI</w:t>
            </w:r>
          </w:p>
        </w:tc>
        <w:tc>
          <w:tcPr>
            <w:tcW w:w="3795" w:type="dxa"/>
            <w:noWrap/>
            <w:hideMark/>
          </w:tcPr>
          <w:p w14:paraId="5894D628"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o3-mini → GPT-4.5 → o3 / o4-mini → GPT-4.1 / 4.1-mini → o3-pro → GPT-5 → GPT-5.1 → GPT-5.2</w:t>
            </w:r>
          </w:p>
        </w:tc>
        <w:tc>
          <w:tcPr>
            <w:tcW w:w="850" w:type="dxa"/>
            <w:noWrap/>
            <w:hideMark/>
          </w:tcPr>
          <w:p w14:paraId="60E8A2A8"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8版</w:t>
            </w:r>
          </w:p>
        </w:tc>
        <w:tc>
          <w:tcPr>
            <w:tcW w:w="3686" w:type="dxa"/>
            <w:noWrap/>
            <w:hideMark/>
          </w:tcPr>
          <w:p w14:paraId="57B4F6F9"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2025.01–2025.12密集发布，2026年初对GPT-5.2进行个性系统更新</w:t>
            </w:r>
            <w:r w:rsidRPr="00660147">
              <w:rPr>
                <w:rFonts w:ascii="Calibri" w:eastAsia="楷体" w:hAnsi="Calibri" w:cs="Calibri"/>
                <w:color w:val="000000" w:themeColor="text1"/>
              </w:rPr>
              <w:t> </w:t>
            </w:r>
          </w:p>
        </w:tc>
      </w:tr>
      <w:tr w:rsidR="00911C7E" w:rsidRPr="00660147" w14:paraId="7E3FE558" w14:textId="77777777" w:rsidTr="00911C7E">
        <w:trPr>
          <w:trHeight w:val="285"/>
        </w:trPr>
        <w:tc>
          <w:tcPr>
            <w:tcW w:w="1309" w:type="dxa"/>
            <w:noWrap/>
            <w:hideMark/>
          </w:tcPr>
          <w:p w14:paraId="7162C4B5"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DeepSeek</w:t>
            </w:r>
          </w:p>
        </w:tc>
        <w:tc>
          <w:tcPr>
            <w:tcW w:w="3795" w:type="dxa"/>
            <w:noWrap/>
            <w:hideMark/>
          </w:tcPr>
          <w:p w14:paraId="752143C5"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R1 → V3-0324 → R1-0528 → V3.1 → V3.1-Terminus → V3.2-Exp → OCR → Math-V2 → V3.2正式版</w:t>
            </w:r>
          </w:p>
        </w:tc>
        <w:tc>
          <w:tcPr>
            <w:tcW w:w="850" w:type="dxa"/>
            <w:noWrap/>
            <w:hideMark/>
          </w:tcPr>
          <w:p w14:paraId="1831CBB0"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9版</w:t>
            </w:r>
          </w:p>
        </w:tc>
        <w:tc>
          <w:tcPr>
            <w:tcW w:w="3686" w:type="dxa"/>
            <w:noWrap/>
            <w:hideMark/>
          </w:tcPr>
          <w:p w14:paraId="495FE0CD"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2025年全年保持月均迭代节奏，聚焦架构优化与推理成本下降</w:t>
            </w:r>
            <w:r w:rsidRPr="00660147">
              <w:rPr>
                <w:rFonts w:ascii="Calibri" w:eastAsia="楷体" w:hAnsi="Calibri" w:cs="Calibri"/>
                <w:color w:val="000000" w:themeColor="text1"/>
              </w:rPr>
              <w:t> </w:t>
            </w:r>
          </w:p>
        </w:tc>
      </w:tr>
      <w:tr w:rsidR="00911C7E" w:rsidRPr="00660147" w14:paraId="3B599A01" w14:textId="77777777" w:rsidTr="00911C7E">
        <w:trPr>
          <w:trHeight w:val="285"/>
        </w:trPr>
        <w:tc>
          <w:tcPr>
            <w:tcW w:w="1309" w:type="dxa"/>
            <w:noWrap/>
            <w:hideMark/>
          </w:tcPr>
          <w:p w14:paraId="744E6F1B"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MiniMax</w:t>
            </w:r>
          </w:p>
        </w:tc>
        <w:tc>
          <w:tcPr>
            <w:tcW w:w="3795" w:type="dxa"/>
            <w:noWrap/>
            <w:hideMark/>
          </w:tcPr>
          <w:p w14:paraId="00094EAE"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Text-01 / VL-01 → Speech-02 → Hailuo-02 → M2 → M2.1 → Music-2.5 → Speech-2.8 → M2.5 → M2.7 → Music2.5+ → Music-2.6</w:t>
            </w:r>
          </w:p>
        </w:tc>
        <w:tc>
          <w:tcPr>
            <w:tcW w:w="850" w:type="dxa"/>
            <w:noWrap/>
            <w:hideMark/>
          </w:tcPr>
          <w:p w14:paraId="001C2409"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11版</w:t>
            </w:r>
          </w:p>
        </w:tc>
        <w:tc>
          <w:tcPr>
            <w:tcW w:w="3686" w:type="dxa"/>
            <w:noWrap/>
            <w:hideMark/>
          </w:tcPr>
          <w:p w14:paraId="529F10F0"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跨文本、语音、视频、音乐多模态全线推进，2026年2月M2.5带动Token消耗量较2025年12月增长超6倍</w:t>
            </w:r>
            <w:r w:rsidRPr="00660147">
              <w:rPr>
                <w:rFonts w:ascii="Calibri" w:eastAsia="楷体" w:hAnsi="Calibri" w:cs="Calibri"/>
                <w:color w:val="000000" w:themeColor="text1"/>
              </w:rPr>
              <w:t> </w:t>
            </w:r>
          </w:p>
        </w:tc>
      </w:tr>
      <w:tr w:rsidR="00911C7E" w:rsidRPr="00660147" w14:paraId="5A60DE04" w14:textId="77777777" w:rsidTr="00911C7E">
        <w:trPr>
          <w:trHeight w:val="285"/>
        </w:trPr>
        <w:tc>
          <w:tcPr>
            <w:tcW w:w="1309" w:type="dxa"/>
            <w:noWrap/>
            <w:hideMark/>
          </w:tcPr>
          <w:p w14:paraId="7775DC78"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Anthropic</w:t>
            </w:r>
          </w:p>
        </w:tc>
        <w:tc>
          <w:tcPr>
            <w:tcW w:w="3795" w:type="dxa"/>
            <w:noWrap/>
            <w:hideMark/>
          </w:tcPr>
          <w:p w14:paraId="7F97EC10"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Claude 3.7 Sonnet → Claude Sonnet 4.5 → Claude Haiku 4.5 → Claude Opus 4.5</w:t>
            </w:r>
          </w:p>
        </w:tc>
        <w:tc>
          <w:tcPr>
            <w:tcW w:w="850" w:type="dxa"/>
            <w:noWrap/>
            <w:hideMark/>
          </w:tcPr>
          <w:p w14:paraId="0248276A"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4版</w:t>
            </w:r>
          </w:p>
        </w:tc>
        <w:tc>
          <w:tcPr>
            <w:tcW w:w="3686" w:type="dxa"/>
            <w:noWrap/>
            <w:hideMark/>
          </w:tcPr>
          <w:p w14:paraId="251CBBE4"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2025.02首发3.7，Q4密集发布4.5系列三档模型</w:t>
            </w:r>
            <w:r w:rsidRPr="00660147">
              <w:rPr>
                <w:rFonts w:ascii="Calibri" w:eastAsia="楷体" w:hAnsi="Calibri" w:cs="Calibri"/>
                <w:color w:val="000000" w:themeColor="text1"/>
              </w:rPr>
              <w:t> </w:t>
            </w:r>
          </w:p>
        </w:tc>
      </w:tr>
      <w:tr w:rsidR="00911C7E" w:rsidRPr="00660147" w14:paraId="7CB9DCA1" w14:textId="77777777" w:rsidTr="00911C7E">
        <w:trPr>
          <w:trHeight w:val="285"/>
        </w:trPr>
        <w:tc>
          <w:tcPr>
            <w:tcW w:w="1309" w:type="dxa"/>
            <w:noWrap/>
            <w:hideMark/>
          </w:tcPr>
          <w:p w14:paraId="5132152C"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智谱 / GLM</w:t>
            </w:r>
          </w:p>
        </w:tc>
        <w:tc>
          <w:tcPr>
            <w:tcW w:w="3795" w:type="dxa"/>
            <w:noWrap/>
            <w:hideMark/>
          </w:tcPr>
          <w:p w14:paraId="09630B09"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GLM-4.5 → GLM-4.7 → GLM-5</w:t>
            </w:r>
          </w:p>
        </w:tc>
        <w:tc>
          <w:tcPr>
            <w:tcW w:w="850" w:type="dxa"/>
            <w:noWrap/>
            <w:hideMark/>
          </w:tcPr>
          <w:p w14:paraId="37AB07C6"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3版</w:t>
            </w:r>
          </w:p>
        </w:tc>
        <w:tc>
          <w:tcPr>
            <w:tcW w:w="3686" w:type="dxa"/>
            <w:noWrap/>
            <w:hideMark/>
          </w:tcPr>
          <w:p w14:paraId="375616EA"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2025.07至2026.02七个月内三代旗舰，定位从ARC统一基座演进至Agentic Engineering</w:t>
            </w:r>
            <w:r w:rsidRPr="00660147">
              <w:rPr>
                <w:rFonts w:ascii="Calibri" w:eastAsia="楷体" w:hAnsi="Calibri" w:cs="Calibri"/>
                <w:color w:val="000000" w:themeColor="text1"/>
              </w:rPr>
              <w:t> </w:t>
            </w:r>
          </w:p>
        </w:tc>
      </w:tr>
      <w:tr w:rsidR="00911C7E" w:rsidRPr="00660147" w14:paraId="24DD6492" w14:textId="77777777" w:rsidTr="00911C7E">
        <w:trPr>
          <w:trHeight w:val="285"/>
        </w:trPr>
        <w:tc>
          <w:tcPr>
            <w:tcW w:w="1309" w:type="dxa"/>
            <w:noWrap/>
            <w:hideMark/>
          </w:tcPr>
          <w:p w14:paraId="01521397"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Google / Gemini</w:t>
            </w:r>
          </w:p>
        </w:tc>
        <w:tc>
          <w:tcPr>
            <w:tcW w:w="3795" w:type="dxa"/>
            <w:noWrap/>
            <w:hideMark/>
          </w:tcPr>
          <w:p w14:paraId="44C62826"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Gemini 2.5 Pro → Gemini 2.5 Flash</w:t>
            </w:r>
          </w:p>
        </w:tc>
        <w:tc>
          <w:tcPr>
            <w:tcW w:w="850" w:type="dxa"/>
            <w:noWrap/>
            <w:hideMark/>
          </w:tcPr>
          <w:p w14:paraId="00FF1EAA"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2版</w:t>
            </w:r>
          </w:p>
        </w:tc>
        <w:tc>
          <w:tcPr>
            <w:tcW w:w="3686" w:type="dxa"/>
            <w:noWrap/>
            <w:hideMark/>
          </w:tcPr>
          <w:p w14:paraId="56480B11"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2025年中发布2.5系列，Pro版GA时间为2025.06.17</w:t>
            </w:r>
            <w:r w:rsidRPr="00660147">
              <w:rPr>
                <w:rFonts w:ascii="Calibri" w:eastAsia="楷体" w:hAnsi="Calibri" w:cs="Calibri"/>
                <w:color w:val="000000" w:themeColor="text1"/>
              </w:rPr>
              <w:t> </w:t>
            </w:r>
          </w:p>
        </w:tc>
      </w:tr>
      <w:tr w:rsidR="00911C7E" w:rsidRPr="00660147" w14:paraId="04F48FBB" w14:textId="77777777" w:rsidTr="00911C7E">
        <w:trPr>
          <w:trHeight w:val="285"/>
        </w:trPr>
        <w:tc>
          <w:tcPr>
            <w:tcW w:w="1309" w:type="dxa"/>
            <w:noWrap/>
            <w:hideMark/>
          </w:tcPr>
          <w:p w14:paraId="5C67E85D"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Kimi / 月之暗面</w:t>
            </w:r>
          </w:p>
        </w:tc>
        <w:tc>
          <w:tcPr>
            <w:tcW w:w="3795" w:type="dxa"/>
            <w:noWrap/>
            <w:hideMark/>
          </w:tcPr>
          <w:p w14:paraId="194A21E3"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Kimi 1.5 → kimi 2.0 → kimi 2.5 → kimi 2.6</w:t>
            </w:r>
          </w:p>
        </w:tc>
        <w:tc>
          <w:tcPr>
            <w:tcW w:w="850" w:type="dxa"/>
            <w:noWrap/>
            <w:hideMark/>
          </w:tcPr>
          <w:p w14:paraId="4C02BCBC"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4版</w:t>
            </w:r>
          </w:p>
        </w:tc>
        <w:tc>
          <w:tcPr>
            <w:tcW w:w="3686" w:type="dxa"/>
            <w:noWrap/>
            <w:hideMark/>
          </w:tcPr>
          <w:p w14:paraId="200F45C6" w14:textId="77777777" w:rsidR="00911C7E" w:rsidRPr="00660147" w:rsidRDefault="00911C7E" w:rsidP="00A44FB8">
            <w:pPr>
              <w:jc w:val="both"/>
              <w:rPr>
                <w:rFonts w:ascii="楷体" w:eastAsia="楷体" w:hAnsi="楷体" w:hint="eastAsia"/>
                <w:color w:val="000000" w:themeColor="text1"/>
              </w:rPr>
            </w:pPr>
            <w:r w:rsidRPr="00660147">
              <w:rPr>
                <w:rFonts w:ascii="楷体" w:eastAsia="楷体" w:hAnsi="楷体"/>
                <w:color w:val="000000" w:themeColor="text1"/>
              </w:rPr>
              <w:t>2025.01 1.x系列收官，到2026年初，发布kimi 2.6</w:t>
            </w:r>
          </w:p>
        </w:tc>
      </w:tr>
    </w:tbl>
    <w:p w14:paraId="62577DFF" w14:textId="4026FD92" w:rsidR="000B5284" w:rsidRPr="00660147" w:rsidRDefault="000B528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数据来源：网络公开</w:t>
      </w:r>
    </w:p>
    <w:p w14:paraId="7C573D95" w14:textId="7140E9D5"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核心能力指标</w:t>
      </w:r>
      <w:r w:rsidR="002A00D4" w:rsidRPr="00660147">
        <w:rPr>
          <w:rFonts w:ascii="楷体" w:eastAsia="楷体" w:hAnsi="楷体" w:hint="eastAsia"/>
          <w:color w:val="000000" w:themeColor="text1"/>
        </w:rPr>
        <w:t>的追踪上，要注意</w:t>
      </w:r>
      <w:r w:rsidRPr="00660147">
        <w:rPr>
          <w:rFonts w:ascii="楷体" w:eastAsia="楷体" w:hAnsi="楷体" w:hint="eastAsia"/>
          <w:color w:val="000000" w:themeColor="text1"/>
        </w:rPr>
        <w:t>技术能力的先进性具体体现在上下文长度、多模态任务支持数、可调用工具数及任务执行可靠性等方面，这些直接决定了模型处理复杂场景的上限。</w:t>
      </w:r>
    </w:p>
    <w:p w14:paraId="39E2735E" w14:textId="6A0AE6E6" w:rsidR="007C2934" w:rsidRPr="00157396" w:rsidRDefault="00914D6F" w:rsidP="00A44FB8">
      <w:pPr>
        <w:pStyle w:val="3"/>
        <w:jc w:val="both"/>
        <w:rPr>
          <w:rFonts w:ascii="楷体" w:eastAsia="楷体" w:hAnsi="楷体" w:hint="eastAsia"/>
          <w:color w:val="000000" w:themeColor="text1"/>
          <w:sz w:val="30"/>
          <w:szCs w:val="30"/>
        </w:rPr>
      </w:pPr>
      <w:bookmarkStart w:id="32" w:name="_Toc228444782"/>
      <w:r w:rsidRPr="00157396">
        <w:rPr>
          <w:rFonts w:ascii="楷体" w:eastAsia="楷体" w:hAnsi="楷体" w:hint="eastAsia"/>
          <w:color w:val="000000" w:themeColor="text1"/>
          <w:sz w:val="30"/>
          <w:szCs w:val="30"/>
        </w:rPr>
        <w:lastRenderedPageBreak/>
        <w:t>3.3.3</w:t>
      </w:r>
      <w:r w:rsidR="007C2934" w:rsidRPr="00157396">
        <w:rPr>
          <w:rFonts w:ascii="楷体" w:eastAsia="楷体" w:hAnsi="楷体" w:hint="eastAsia"/>
          <w:color w:val="000000" w:themeColor="text1"/>
          <w:sz w:val="30"/>
          <w:szCs w:val="30"/>
        </w:rPr>
        <w:t>行业赋能能力：从技术工具到业务流程的重构</w:t>
      </w:r>
      <w:bookmarkEnd w:id="32"/>
    </w:p>
    <w:p w14:paraId="27EC5C22" w14:textId="3C662488" w:rsidR="001F4CD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行业赋能能力直接衡量大模型技术从实验室走向产业实践的深度与实效，是检验其商业价值的核心维度。这一过程正经历从技术工具的单点应用向与行业知识、业务流程深度重构的根本性转变</w:t>
      </w:r>
      <w:r w:rsidR="00B82F03" w:rsidRPr="00660147">
        <w:rPr>
          <w:rFonts w:ascii="楷体" w:eastAsia="楷体" w:hAnsi="楷体" w:hint="eastAsia"/>
          <w:color w:val="000000" w:themeColor="text1"/>
        </w:rPr>
        <w:t>，并且已经积累了一些成功案例</w:t>
      </w:r>
      <w:r w:rsidR="00594FB2">
        <w:rPr>
          <w:rFonts w:ascii="楷体" w:eastAsia="楷体" w:hAnsi="楷体" w:hint="eastAsia"/>
          <w:color w:val="000000" w:themeColor="text1"/>
        </w:rPr>
        <w:t>。</w:t>
      </w:r>
    </w:p>
    <w:p w14:paraId="6F87643F" w14:textId="4612461C" w:rsidR="00364B87" w:rsidRPr="00660147" w:rsidRDefault="00364B87" w:rsidP="00A44FB8">
      <w:pPr>
        <w:jc w:val="both"/>
        <w:rPr>
          <w:rFonts w:ascii="楷体" w:eastAsia="楷体" w:hAnsi="楷体" w:hint="eastAsia"/>
          <w:color w:val="000000" w:themeColor="text1"/>
        </w:rPr>
      </w:pPr>
      <w:bookmarkStart w:id="33" w:name="OLE_LINK2"/>
      <w:r w:rsidRPr="00660147">
        <w:rPr>
          <w:rFonts w:ascii="楷体" w:eastAsia="楷体" w:hAnsi="楷体" w:hint="eastAsia"/>
          <w:color w:val="000000" w:themeColor="text1"/>
        </w:rPr>
        <w:t>在国内，</w:t>
      </w:r>
      <w:r w:rsidRPr="00660147">
        <w:rPr>
          <w:rFonts w:ascii="楷体" w:eastAsia="楷体" w:hAnsi="楷体"/>
          <w:color w:val="000000" w:themeColor="text1"/>
        </w:rPr>
        <w:t>美的集团通过AI面试系统将单厂单日面试量从人工处理的20人提升至数百人，显著缓解用工高峰压力。联想集团推出的制造领域首个智能体已落地全球34座工厂，实现智能计划排产、AI视觉防错与设备预测性维护的全链路覆盖。葛洲坝三峡建设公司自</w:t>
      </w:r>
      <w:proofErr w:type="gramStart"/>
      <w:r w:rsidRPr="00660147">
        <w:rPr>
          <w:rFonts w:ascii="楷体" w:eastAsia="楷体" w:hAnsi="楷体"/>
          <w:color w:val="000000" w:themeColor="text1"/>
        </w:rPr>
        <w:t>研</w:t>
      </w:r>
      <w:proofErr w:type="gramEnd"/>
      <w:r w:rsidRPr="00660147">
        <w:rPr>
          <w:rFonts w:ascii="楷体" w:eastAsia="楷体" w:hAnsi="楷体"/>
          <w:color w:val="000000" w:themeColor="text1"/>
        </w:rPr>
        <w:t>财务智能体聚焦报销场景，使审核效率较传统模式跃升500%，单单从15分钟缩短至3分钟</w:t>
      </w:r>
      <w:r w:rsidRPr="00660147">
        <w:rPr>
          <w:rFonts w:ascii="楷体" w:eastAsia="楷体" w:hAnsi="楷体" w:hint="eastAsia"/>
          <w:color w:val="000000" w:themeColor="text1"/>
        </w:rPr>
        <w:t>。在海外</w:t>
      </w:r>
      <w:r w:rsidR="00B82F03" w:rsidRPr="00660147">
        <w:rPr>
          <w:rFonts w:ascii="楷体" w:eastAsia="楷体" w:hAnsi="楷体" w:hint="eastAsia"/>
          <w:color w:val="000000" w:themeColor="text1"/>
        </w:rPr>
        <w:t>，</w:t>
      </w:r>
      <w:r w:rsidRPr="00660147">
        <w:rPr>
          <w:rFonts w:ascii="楷体" w:eastAsia="楷体" w:hAnsi="楷体"/>
          <w:color w:val="000000" w:themeColor="text1"/>
        </w:rPr>
        <w:t>波士顿咨询集团（BCG）内部全面部署生成式AI工具后，针对750名员工的受控实验显示，重复性简单任务效率提升达30%—40%；AI辅助的访谈转录与报告生成将原本两周的工作流压缩至数天</w:t>
      </w:r>
      <w:r w:rsidRPr="00660147">
        <w:rPr>
          <w:rFonts w:ascii="楷体" w:eastAsia="楷体" w:hAnsi="楷体" w:hint="eastAsia"/>
          <w:color w:val="000000" w:themeColor="text1"/>
        </w:rPr>
        <w:t>。</w:t>
      </w:r>
    </w:p>
    <w:bookmarkEnd w:id="33"/>
    <w:p w14:paraId="64D2906B" w14:textId="5CF7B333"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竞争力</w:t>
      </w:r>
      <w:r w:rsidR="008E1DED" w:rsidRPr="00660147">
        <w:rPr>
          <w:rFonts w:ascii="楷体" w:eastAsia="楷体" w:hAnsi="楷体" w:hint="eastAsia"/>
          <w:color w:val="000000" w:themeColor="text1"/>
        </w:rPr>
        <w:t>组要</w:t>
      </w:r>
      <w:r w:rsidRPr="00660147">
        <w:rPr>
          <w:rFonts w:ascii="楷体" w:eastAsia="楷体" w:hAnsi="楷体" w:hint="eastAsia"/>
          <w:color w:val="000000" w:themeColor="text1"/>
        </w:rPr>
        <w:t>体现在解决方案的深度与广度上。企业已发布的行业解决方案总数反映其技术应用的覆盖范围，而解决方案是否深度集成行业知识库、工作流和业务逻辑，则决定了其解决实际问题的精准度与有效性。其次，应用效果的量化验证成为最具说服力的竞争要素，典型客户案例中通过效率提升百分比、成本降低率等具体数据，直观展现技术带来的实际价值。最后，持续的用户满意度是解决方案成熟度与客户忠诚度的体现。在金融、政务、工业等垂直领域，能够提供深度融合的端到端解决方案并展现出显著降本增效成果的企业，正在构筑起差异化竞争力。</w:t>
      </w:r>
    </w:p>
    <w:p w14:paraId="7CFB54E0" w14:textId="6CCDE79F" w:rsidR="007C2934" w:rsidRPr="00157396" w:rsidRDefault="00914D6F" w:rsidP="00A44FB8">
      <w:pPr>
        <w:pStyle w:val="3"/>
        <w:jc w:val="both"/>
        <w:rPr>
          <w:rFonts w:ascii="楷体" w:eastAsia="楷体" w:hAnsi="楷体" w:hint="eastAsia"/>
          <w:color w:val="000000" w:themeColor="text1"/>
          <w:sz w:val="30"/>
          <w:szCs w:val="30"/>
        </w:rPr>
      </w:pPr>
      <w:bookmarkStart w:id="34" w:name="_Toc228444783"/>
      <w:r w:rsidRPr="00157396">
        <w:rPr>
          <w:rFonts w:ascii="楷体" w:eastAsia="楷体" w:hAnsi="楷体" w:hint="eastAsia"/>
          <w:color w:val="000000" w:themeColor="text1"/>
          <w:sz w:val="30"/>
          <w:szCs w:val="30"/>
        </w:rPr>
        <w:t>3.3.4</w:t>
      </w:r>
      <w:r w:rsidR="007C2934" w:rsidRPr="00157396">
        <w:rPr>
          <w:rFonts w:ascii="楷体" w:eastAsia="楷体" w:hAnsi="楷体" w:hint="eastAsia"/>
          <w:color w:val="000000" w:themeColor="text1"/>
          <w:sz w:val="30"/>
          <w:szCs w:val="30"/>
        </w:rPr>
        <w:t>商业变现能力：从探索期到规模化变现的跨越</w:t>
      </w:r>
      <w:bookmarkEnd w:id="34"/>
    </w:p>
    <w:p w14:paraId="3CB65A11" w14:textId="3EAE55D3"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商业变现能力是将技术投资转化为可持续增长的动力源泉。2024-2025年，中国大模型行业整体从商业模式探索期迈入初步的规模化变现阶段。</w:t>
      </w:r>
    </w:p>
    <w:p w14:paraId="3AAA055C" w14:textId="77777777"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市场占有率与模式升级：市场占有率通过API调用付费金额这一硬指标得以体现。然而，单纯的API调用模式面临算力成本高和价格战压缩利润的挑战。因此，商业模式转向高附加值的解决方案与模型授权成为趋势，这直接体现在年度经常性收入（ARR） 和企业级客户平均合同金额（ACV） 的提升上。</w:t>
      </w:r>
    </w:p>
    <w:p w14:paraId="279C6354" w14:textId="6A5E3C71"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政企市场的主导地位：政企市场已成为变现主阵地。2024年全年，可统计的有931家央国企开展大模型招标，数量占比为61.25%，其中551个披露金额的项目总额约32.2亿元，占整体市场的49.8%。这类项目金额大、周期长，对企业的品牌公信力、服务能力和安全合规要求极高。因此，在政企市场斩获重大订单的能力，是衡量企业商业化落地实力的关键标尺。</w:t>
      </w:r>
    </w:p>
    <w:p w14:paraId="359B5D3E" w14:textId="04089D28" w:rsidR="007C2934" w:rsidRPr="00157396" w:rsidRDefault="00914D6F" w:rsidP="00A44FB8">
      <w:pPr>
        <w:pStyle w:val="3"/>
        <w:jc w:val="both"/>
        <w:rPr>
          <w:rFonts w:ascii="楷体" w:eastAsia="楷体" w:hAnsi="楷体" w:hint="eastAsia"/>
          <w:color w:val="000000" w:themeColor="text1"/>
          <w:sz w:val="30"/>
          <w:szCs w:val="30"/>
        </w:rPr>
      </w:pPr>
      <w:bookmarkStart w:id="35" w:name="_Toc228444784"/>
      <w:r w:rsidRPr="00157396">
        <w:rPr>
          <w:rFonts w:ascii="楷体" w:eastAsia="楷体" w:hAnsi="楷体" w:hint="eastAsia"/>
          <w:color w:val="000000" w:themeColor="text1"/>
          <w:sz w:val="30"/>
          <w:szCs w:val="30"/>
        </w:rPr>
        <w:t>3.3.5</w:t>
      </w:r>
      <w:r w:rsidR="007C2934" w:rsidRPr="00157396">
        <w:rPr>
          <w:rFonts w:ascii="楷体" w:eastAsia="楷体" w:hAnsi="楷体" w:hint="eastAsia"/>
          <w:color w:val="000000" w:themeColor="text1"/>
          <w:sz w:val="30"/>
          <w:szCs w:val="30"/>
        </w:rPr>
        <w:t>创新拓展能力：抢占未来生态制高点的前瞻布局</w:t>
      </w:r>
      <w:bookmarkEnd w:id="35"/>
    </w:p>
    <w:p w14:paraId="64EA0B15" w14:textId="6342A889"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创新拓展能力直接关乎企业在下一代产业变革中的生态位争夺，体现了其面向未来的战</w:t>
      </w:r>
      <w:r w:rsidRPr="00660147">
        <w:rPr>
          <w:rFonts w:ascii="楷体" w:eastAsia="楷体" w:hAnsi="楷体" w:hint="eastAsia"/>
          <w:color w:val="000000" w:themeColor="text1"/>
        </w:rPr>
        <w:lastRenderedPageBreak/>
        <w:t>略布局与前瞻视野。</w:t>
      </w:r>
    </w:p>
    <w:p w14:paraId="01B80D02" w14:textId="77777777" w:rsidR="007C2934"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软硬一体整合：大模型正加速与各类终端设备深度融合，其开放平台累计覆盖的终端设备数量成为衡量生态延展广度与未来影响力的关键先行指标。</w:t>
      </w:r>
    </w:p>
    <w:p w14:paraId="025F2BDA" w14:textId="4B0E2FE2" w:rsidR="00152E11" w:rsidRPr="00660147" w:rsidRDefault="007C293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前沿领域探索：具身智能作为公认的万亿级蓝海市场，吸引了战略性投入。其中，机器人/具身大模型作为实现智能体自主决策的“中枢大脑”已成为竞争焦点。这一探索的强度，通过企业的年度研发投入总额以及在相关领域的专利积累和行业标准制定参与度得以体现。例如，科大讯飞已赋能超过500家机器人企业，在机器人语音交互市占率领先，并作为起草单位参与制定《人形机器人语音交互技术规范》，展现了前瞻布局与产业影响力。</w:t>
      </w:r>
    </w:p>
    <w:p w14:paraId="587865CD" w14:textId="2941D96D" w:rsidR="0056725F" w:rsidRPr="00660147" w:rsidRDefault="00914D6F" w:rsidP="00A44FB8">
      <w:pPr>
        <w:pStyle w:val="1"/>
        <w:jc w:val="both"/>
        <w:rPr>
          <w:rFonts w:ascii="楷体" w:eastAsia="楷体" w:hAnsi="楷体" w:hint="eastAsia"/>
          <w:color w:val="000000" w:themeColor="text1"/>
          <w:sz w:val="36"/>
          <w:szCs w:val="36"/>
        </w:rPr>
      </w:pPr>
      <w:bookmarkStart w:id="36" w:name="_Toc228444785"/>
      <w:r w:rsidRPr="00660147">
        <w:rPr>
          <w:rFonts w:ascii="楷体" w:eastAsia="楷体" w:hAnsi="楷体" w:hint="eastAsia"/>
          <w:color w:val="000000" w:themeColor="text1"/>
          <w:sz w:val="36"/>
          <w:szCs w:val="36"/>
        </w:rPr>
        <w:t>4</w:t>
      </w:r>
      <w:r w:rsidR="00B23F1D" w:rsidRPr="00660147">
        <w:rPr>
          <w:rFonts w:ascii="楷体" w:eastAsia="楷体" w:hAnsi="楷体" w:hint="eastAsia"/>
          <w:color w:val="000000" w:themeColor="text1"/>
          <w:sz w:val="36"/>
          <w:szCs w:val="36"/>
        </w:rPr>
        <w:t>.</w:t>
      </w:r>
      <w:r w:rsidR="0056725F" w:rsidRPr="00660147">
        <w:rPr>
          <w:rFonts w:ascii="楷体" w:eastAsia="楷体" w:hAnsi="楷体" w:hint="eastAsia"/>
          <w:color w:val="000000" w:themeColor="text1"/>
          <w:sz w:val="36"/>
          <w:szCs w:val="36"/>
        </w:rPr>
        <w:t>未来趋势与展望</w:t>
      </w:r>
      <w:bookmarkEnd w:id="36"/>
    </w:p>
    <w:p w14:paraId="6224EA46" w14:textId="6CFE6C06" w:rsidR="0056725F" w:rsidRPr="00157396" w:rsidRDefault="00914D6F" w:rsidP="00A44FB8">
      <w:pPr>
        <w:pStyle w:val="2"/>
        <w:jc w:val="both"/>
        <w:rPr>
          <w:rFonts w:ascii="楷体" w:eastAsia="楷体" w:hAnsi="楷体" w:hint="eastAsia"/>
          <w:color w:val="000000" w:themeColor="text1"/>
          <w:sz w:val="32"/>
          <w:szCs w:val="32"/>
        </w:rPr>
      </w:pPr>
      <w:bookmarkStart w:id="37" w:name="_Toc228444786"/>
      <w:r w:rsidRPr="00157396">
        <w:rPr>
          <w:rFonts w:ascii="楷体" w:eastAsia="楷体" w:hAnsi="楷体" w:hint="eastAsia"/>
          <w:color w:val="000000" w:themeColor="text1"/>
          <w:sz w:val="32"/>
          <w:szCs w:val="32"/>
        </w:rPr>
        <w:t>4.1</w:t>
      </w:r>
      <w:r w:rsidR="0056725F" w:rsidRPr="00157396">
        <w:rPr>
          <w:rFonts w:ascii="楷体" w:eastAsia="楷体" w:hAnsi="楷体" w:hint="eastAsia"/>
          <w:color w:val="000000" w:themeColor="text1"/>
          <w:sz w:val="32"/>
          <w:szCs w:val="32"/>
        </w:rPr>
        <w:t>技术趋势</w:t>
      </w:r>
      <w:bookmarkEnd w:id="37"/>
    </w:p>
    <w:p w14:paraId="3B9EBE5A" w14:textId="56AD42CB" w:rsidR="00621C0E" w:rsidRPr="00157396" w:rsidRDefault="005C5417" w:rsidP="00A44FB8">
      <w:pPr>
        <w:pStyle w:val="3"/>
        <w:jc w:val="both"/>
        <w:rPr>
          <w:rFonts w:ascii="楷体" w:eastAsia="楷体" w:hAnsi="楷体" w:hint="eastAsia"/>
          <w:color w:val="000000" w:themeColor="text1"/>
          <w:sz w:val="30"/>
          <w:szCs w:val="30"/>
        </w:rPr>
      </w:pPr>
      <w:bookmarkStart w:id="38" w:name="_Toc228444787"/>
      <w:r w:rsidRPr="00157396">
        <w:rPr>
          <w:rFonts w:ascii="楷体" w:eastAsia="楷体" w:hAnsi="楷体" w:hint="eastAsia"/>
          <w:color w:val="000000" w:themeColor="text1"/>
          <w:sz w:val="30"/>
          <w:szCs w:val="30"/>
        </w:rPr>
        <w:t xml:space="preserve">4.1.1 </w:t>
      </w:r>
      <w:r w:rsidR="007C2934" w:rsidRPr="00157396">
        <w:rPr>
          <w:rFonts w:ascii="楷体" w:eastAsia="楷体" w:hAnsi="楷体" w:hint="eastAsia"/>
          <w:color w:val="000000" w:themeColor="text1"/>
          <w:sz w:val="30"/>
          <w:szCs w:val="30"/>
        </w:rPr>
        <w:t>应用模式</w:t>
      </w:r>
      <w:r w:rsidR="00621C0E" w:rsidRPr="00157396">
        <w:rPr>
          <w:rFonts w:ascii="楷体" w:eastAsia="楷体" w:hAnsi="楷体" w:hint="eastAsia"/>
          <w:color w:val="000000" w:themeColor="text1"/>
          <w:sz w:val="30"/>
          <w:szCs w:val="30"/>
        </w:rPr>
        <w:t>：Agent崛起拉动</w:t>
      </w:r>
      <w:r w:rsidR="004E59A8" w:rsidRPr="00157396">
        <w:rPr>
          <w:rFonts w:ascii="楷体" w:eastAsia="楷体" w:hAnsi="楷体" w:hint="eastAsia"/>
          <w:color w:val="000000" w:themeColor="text1"/>
          <w:sz w:val="30"/>
          <w:szCs w:val="30"/>
        </w:rPr>
        <w:t>需求增长</w:t>
      </w:r>
      <w:bookmarkEnd w:id="38"/>
      <w:r w:rsidR="0098006A" w:rsidRPr="00157396">
        <w:rPr>
          <w:rFonts w:ascii="楷体" w:eastAsia="楷体" w:hAnsi="楷体" w:hint="eastAsia"/>
          <w:color w:val="000000" w:themeColor="text1"/>
          <w:sz w:val="30"/>
          <w:szCs w:val="30"/>
        </w:rPr>
        <w:t xml:space="preserve"> </w:t>
      </w:r>
    </w:p>
    <w:p w14:paraId="2C07B242" w14:textId="4DD9E7CF" w:rsidR="00621C0E" w:rsidRPr="00660147" w:rsidRDefault="00621C0E" w:rsidP="00A44FB8">
      <w:pPr>
        <w:jc w:val="both"/>
        <w:rPr>
          <w:rFonts w:ascii="楷体" w:eastAsia="楷体" w:hAnsi="楷体" w:hint="eastAsia"/>
          <w:color w:val="000000" w:themeColor="text1"/>
        </w:rPr>
      </w:pPr>
      <w:r w:rsidRPr="00660147">
        <w:rPr>
          <w:rFonts w:ascii="楷体" w:eastAsia="楷体" w:hAnsi="楷体"/>
          <w:color w:val="000000" w:themeColor="text1"/>
        </w:rPr>
        <w:t>Agent的爆发，正是将宏大叙事转化为即时</w:t>
      </w:r>
      <w:r w:rsidRPr="00660147">
        <w:rPr>
          <w:rFonts w:ascii="楷体" w:eastAsia="楷体" w:hAnsi="楷体" w:hint="eastAsia"/>
          <w:color w:val="000000" w:themeColor="text1"/>
        </w:rPr>
        <w:t>可被观察的商业现象</w:t>
      </w:r>
      <w:r w:rsidRPr="00660147">
        <w:rPr>
          <w:rFonts w:ascii="楷体" w:eastAsia="楷体" w:hAnsi="楷体"/>
          <w:color w:val="000000" w:themeColor="text1"/>
        </w:rPr>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sidRPr="00660147">
        <w:rPr>
          <w:rFonts w:ascii="楷体" w:eastAsia="楷体" w:hAnsi="楷体" w:hint="eastAsia"/>
          <w:color w:val="000000" w:themeColor="text1"/>
        </w:rPr>
        <w:t>Agent从沙盒环境向物理网关的入驻意义重大，本质上是人工智能朝着AGI前进的一个重要进步，某种程度上标志着AI 2.0时代的开启。</w:t>
      </w:r>
    </w:p>
    <w:p w14:paraId="3E4E4799" w14:textId="77777777" w:rsidR="00621C0E" w:rsidRPr="00660147" w:rsidRDefault="00621C0E" w:rsidP="00A44FB8">
      <w:pPr>
        <w:jc w:val="both"/>
        <w:rPr>
          <w:rFonts w:ascii="楷体" w:eastAsia="楷体" w:hAnsi="楷体" w:hint="eastAsia"/>
          <w:color w:val="000000" w:themeColor="text1"/>
        </w:rPr>
      </w:pPr>
      <w:r w:rsidRPr="00660147">
        <w:rPr>
          <w:rFonts w:ascii="楷体" w:eastAsia="楷体" w:hAnsi="楷体"/>
          <w:color w:val="000000" w:themeColor="text1"/>
        </w:rPr>
        <w:t>单轮人机对话的平均Token消耗在数百至千级，且用户发起频率受限于人类注意力。但Agent的工作流是自主连续运转的：一个中等复杂度的企业任务（如"生成季度财报分析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基模厂面对的推理需求，已从"流量型"转向"产能型"——是可被年化预测、可被合同锁定的算力订单，而非不可预估的突发查询。</w:t>
      </w:r>
    </w:p>
    <w:p w14:paraId="5C1D8635" w14:textId="77777777" w:rsidR="00621C0E" w:rsidRPr="00660147" w:rsidRDefault="00621C0E"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图：Agent App一览</w:t>
      </w:r>
    </w:p>
    <w:p w14:paraId="73B27FFC" w14:textId="77777777" w:rsidR="00621C0E" w:rsidRPr="00660147" w:rsidRDefault="00621C0E" w:rsidP="00A44FB8">
      <w:pPr>
        <w:jc w:val="both"/>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111C0D06" wp14:editId="7C2C5C05">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24"/>
                    <a:stretch>
                      <a:fillRect/>
                    </a:stretch>
                  </pic:blipFill>
                  <pic:spPr>
                    <a:xfrm>
                      <a:off x="0" y="0"/>
                      <a:ext cx="5274310" cy="2520315"/>
                    </a:xfrm>
                    <a:prstGeom prst="rect">
                      <a:avLst/>
                    </a:prstGeom>
                  </pic:spPr>
                </pic:pic>
              </a:graphicData>
            </a:graphic>
          </wp:inline>
        </w:drawing>
      </w:r>
    </w:p>
    <w:p w14:paraId="21E4D37F" w14:textId="77777777" w:rsidR="00621C0E" w:rsidRPr="00660147" w:rsidRDefault="00621C0E"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数据来源：OpenRounter</w:t>
      </w:r>
    </w:p>
    <w:p w14:paraId="083C388F" w14:textId="4FE84055" w:rsidR="004E59A8" w:rsidRPr="00157396" w:rsidRDefault="005C5417" w:rsidP="00A44FB8">
      <w:pPr>
        <w:pStyle w:val="3"/>
        <w:jc w:val="both"/>
        <w:rPr>
          <w:rFonts w:ascii="楷体" w:eastAsia="楷体" w:hAnsi="楷体" w:hint="eastAsia"/>
          <w:color w:val="000000" w:themeColor="text1"/>
          <w:sz w:val="30"/>
          <w:szCs w:val="30"/>
        </w:rPr>
      </w:pPr>
      <w:bookmarkStart w:id="39" w:name="_Toc228444788"/>
      <w:r w:rsidRPr="00157396">
        <w:rPr>
          <w:rFonts w:ascii="楷体" w:eastAsia="楷体" w:hAnsi="楷体" w:hint="eastAsia"/>
          <w:color w:val="000000" w:themeColor="text1"/>
          <w:sz w:val="30"/>
          <w:szCs w:val="30"/>
        </w:rPr>
        <w:t xml:space="preserve">4.1.2 </w:t>
      </w:r>
      <w:r w:rsidR="004E59A8" w:rsidRPr="00157396">
        <w:rPr>
          <w:rFonts w:ascii="楷体" w:eastAsia="楷体" w:hAnsi="楷体" w:hint="eastAsia"/>
          <w:color w:val="000000" w:themeColor="text1"/>
          <w:sz w:val="30"/>
          <w:szCs w:val="30"/>
        </w:rPr>
        <w:t>模型架构与训练范式演进：Scaling Law重现与效率优化</w:t>
      </w:r>
      <w:bookmarkEnd w:id="39"/>
    </w:p>
    <w:p w14:paraId="2BA60D4F" w14:textId="6C97A7F1" w:rsidR="00621C0E" w:rsidRPr="00660147" w:rsidRDefault="004E59A8"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混合专家模型（MoE）架构因其能在保持性能的同时显著降低推理成本，已成为行业主流架构选择。展望2026年，随着英伟达GB系列等更高性能芯片的成熟与普及，预训练阶段的Scaling Law预计将重现，模型参数量和智能上限将再上一个台阶。与此同时，强化学习的重要性日益凸显，它通过“自我生成数据+多轮迭代”的方式，成为解锁模型高级逻辑与推理能力的关键，预计2026年海内外模型厂商对强化学习的投入占比将进一步提升。为应对大模型固有的“灾难性遗忘”问题，持续学习与模型记忆技术正成为研发重点，旨在让模型具备选择性记忆机制，实现更接近人类的学习方式。</w:t>
      </w:r>
    </w:p>
    <w:p w14:paraId="6103915E" w14:textId="347F5899" w:rsidR="004E59A8" w:rsidRPr="00157396" w:rsidRDefault="005C5417" w:rsidP="00A44FB8">
      <w:pPr>
        <w:pStyle w:val="3"/>
        <w:jc w:val="both"/>
        <w:rPr>
          <w:rFonts w:ascii="楷体" w:eastAsia="楷体" w:hAnsi="楷体" w:hint="eastAsia"/>
          <w:color w:val="000000" w:themeColor="text1"/>
          <w:sz w:val="30"/>
          <w:szCs w:val="30"/>
        </w:rPr>
      </w:pPr>
      <w:bookmarkStart w:id="40" w:name="_Toc228444789"/>
      <w:r w:rsidRPr="00157396">
        <w:rPr>
          <w:rFonts w:ascii="楷体" w:eastAsia="楷体" w:hAnsi="楷体" w:hint="eastAsia"/>
          <w:color w:val="000000" w:themeColor="text1"/>
          <w:sz w:val="30"/>
          <w:szCs w:val="30"/>
        </w:rPr>
        <w:t>4.1.</w:t>
      </w:r>
      <w:r w:rsidR="004E59A8" w:rsidRPr="00157396">
        <w:rPr>
          <w:rFonts w:ascii="楷体" w:eastAsia="楷体" w:hAnsi="楷体" w:hint="eastAsia"/>
          <w:color w:val="000000" w:themeColor="text1"/>
          <w:sz w:val="30"/>
          <w:szCs w:val="30"/>
        </w:rPr>
        <w:t>3 多模态融合与物理世界理解：从感知到生成一体化</w:t>
      </w:r>
      <w:bookmarkEnd w:id="40"/>
    </w:p>
    <w:p w14:paraId="18AF45A9" w14:textId="1BBFE2A5" w:rsidR="004E59A8" w:rsidRPr="00660147" w:rsidRDefault="004E59A8"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原生多模态理解与生成能力持续深化，已成为大模型的关键基础设施与交互界面。技术前沿正从早期的模态对齐向“理解-生成一体化”演进，例如通过特定架构将视觉理解与生成结合，大幅提高模型的一致性与可编辑性，推动多模态应用从随机“抽卡”进入确定性创作阶段。另一方面，“世界模型”正从学界走向产业落地，旨在让AI理解物理世界的因果规律。例如，通过生成可交互的、符合物理法则的视频环境或直接创建可编辑的3D场景，为机器人训练、复杂模拟等应用奠定基础</w:t>
      </w:r>
    </w:p>
    <w:p w14:paraId="6DE6B60C" w14:textId="2EBDD0AF" w:rsidR="0056725F" w:rsidRPr="00157396" w:rsidRDefault="00914D6F" w:rsidP="00A44FB8">
      <w:pPr>
        <w:pStyle w:val="2"/>
        <w:jc w:val="both"/>
        <w:rPr>
          <w:rFonts w:ascii="楷体" w:eastAsia="楷体" w:hAnsi="楷体" w:hint="eastAsia"/>
          <w:color w:val="000000" w:themeColor="text1"/>
          <w:sz w:val="32"/>
          <w:szCs w:val="32"/>
        </w:rPr>
      </w:pPr>
      <w:bookmarkStart w:id="41" w:name="_Toc228444790"/>
      <w:r w:rsidRPr="00157396">
        <w:rPr>
          <w:rFonts w:ascii="楷体" w:eastAsia="楷体" w:hAnsi="楷体" w:hint="eastAsia"/>
          <w:color w:val="000000" w:themeColor="text1"/>
          <w:sz w:val="32"/>
          <w:szCs w:val="32"/>
        </w:rPr>
        <w:t>4.2</w:t>
      </w:r>
      <w:r w:rsidR="0056725F" w:rsidRPr="00157396">
        <w:rPr>
          <w:rFonts w:ascii="楷体" w:eastAsia="楷体" w:hAnsi="楷体" w:hint="eastAsia"/>
          <w:color w:val="000000" w:themeColor="text1"/>
          <w:sz w:val="32"/>
          <w:szCs w:val="32"/>
        </w:rPr>
        <w:t>商业趋势</w:t>
      </w:r>
      <w:bookmarkEnd w:id="41"/>
    </w:p>
    <w:p w14:paraId="6069BB8D" w14:textId="3E12149B" w:rsidR="004E59A8" w:rsidRPr="00157396" w:rsidRDefault="005C5417" w:rsidP="00A44FB8">
      <w:pPr>
        <w:pStyle w:val="3"/>
        <w:jc w:val="both"/>
        <w:rPr>
          <w:rFonts w:ascii="楷体" w:eastAsia="楷体" w:hAnsi="楷体" w:hint="eastAsia"/>
          <w:color w:val="000000" w:themeColor="text1"/>
          <w:sz w:val="30"/>
          <w:szCs w:val="30"/>
        </w:rPr>
      </w:pPr>
      <w:bookmarkStart w:id="42" w:name="_Toc228444791"/>
      <w:r w:rsidRPr="00157396">
        <w:rPr>
          <w:rFonts w:ascii="楷体" w:eastAsia="楷体" w:hAnsi="楷体" w:hint="eastAsia"/>
          <w:color w:val="000000" w:themeColor="text1"/>
          <w:sz w:val="30"/>
          <w:szCs w:val="30"/>
        </w:rPr>
        <w:t>4.2.</w:t>
      </w:r>
      <w:r w:rsidR="004E59A8" w:rsidRPr="00157396">
        <w:rPr>
          <w:rFonts w:ascii="楷体" w:eastAsia="楷体" w:hAnsi="楷体" w:hint="eastAsia"/>
          <w:color w:val="000000" w:themeColor="text1"/>
          <w:sz w:val="30"/>
          <w:szCs w:val="30"/>
        </w:rPr>
        <w:t>1 商业化落地：从试点到规模化</w:t>
      </w:r>
      <w:r w:rsidR="00270210" w:rsidRPr="00157396">
        <w:rPr>
          <w:rFonts w:ascii="楷体" w:eastAsia="楷体" w:hAnsi="楷体" w:hint="eastAsia"/>
          <w:color w:val="000000" w:themeColor="text1"/>
          <w:sz w:val="30"/>
          <w:szCs w:val="30"/>
        </w:rPr>
        <w:t>展开至具体细分行业</w:t>
      </w:r>
      <w:bookmarkEnd w:id="42"/>
    </w:p>
    <w:p w14:paraId="1A60CE5A" w14:textId="77777777" w:rsidR="00270210" w:rsidRPr="00660147" w:rsidRDefault="004E59A8" w:rsidP="00A44FB8">
      <w:pPr>
        <w:jc w:val="both"/>
        <w:rPr>
          <w:rFonts w:ascii="楷体" w:eastAsia="楷体" w:hAnsi="楷体" w:hint="eastAsia"/>
          <w:color w:val="000000" w:themeColor="text1"/>
        </w:rPr>
      </w:pPr>
      <w:r w:rsidRPr="00660147">
        <w:rPr>
          <w:rFonts w:ascii="楷体" w:eastAsia="楷体" w:hAnsi="楷体" w:hint="eastAsia"/>
          <w:color w:val="000000" w:themeColor="text1"/>
        </w:rPr>
        <w:t>2025年以来，全球大模型Token调用量呈现指数级增长，例如2025年第四季度单周峰值已突破7万亿，较前一季度峰值接近翻倍，标志着AI产业正加速从技术验证走向规</w:t>
      </w:r>
      <w:r w:rsidRPr="00660147">
        <w:rPr>
          <w:rFonts w:ascii="楷体" w:eastAsia="楷体" w:hAnsi="楷体" w:hint="eastAsia"/>
          <w:color w:val="000000" w:themeColor="text1"/>
        </w:rPr>
        <w:lastRenderedPageBreak/>
        <w:t>模化应用。商业化落地已进入规模化复制阶段，尤其在金融、公共服务、能源等行业，大模型解决方案开始批量落地，成为行业收入增长的核心驱动力。</w:t>
      </w:r>
    </w:p>
    <w:p w14:paraId="4BAA77BB" w14:textId="0ED90BDE" w:rsidR="004E59A8" w:rsidRPr="00660147" w:rsidRDefault="00270210" w:rsidP="00A44FB8">
      <w:pPr>
        <w:jc w:val="both"/>
        <w:rPr>
          <w:rFonts w:ascii="楷体" w:eastAsia="楷体" w:hAnsi="楷体" w:hint="eastAsia"/>
          <w:color w:val="000000" w:themeColor="text1"/>
        </w:rPr>
      </w:pPr>
      <w:r w:rsidRPr="00660147">
        <w:rPr>
          <w:rFonts w:ascii="楷体" w:eastAsia="楷体" w:hAnsi="楷体" w:hint="eastAsia"/>
          <w:noProof/>
          <w:color w:val="000000" w:themeColor="text1"/>
        </w:rPr>
        <w:drawing>
          <wp:inline distT="0" distB="0" distL="0" distR="0" wp14:anchorId="37A90DD4" wp14:editId="435D4151">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r w:rsidR="004E59A8" w:rsidRPr="00660147">
        <w:rPr>
          <w:rFonts w:ascii="楷体" w:eastAsia="楷体" w:hAnsi="楷体" w:hint="eastAsia"/>
          <w:color w:val="000000" w:themeColor="text1"/>
        </w:rPr>
        <w:t>市场增长动力清晰，据预测，全球生成式AI收入总市场规模将从2023年的929亿美元增长至2032年的1.62万亿美元，年复合增长率约37%。</w:t>
      </w:r>
    </w:p>
    <w:p w14:paraId="65C018E6" w14:textId="080397F1" w:rsidR="004E59A8" w:rsidRPr="00157396" w:rsidRDefault="005C5417" w:rsidP="00A44FB8">
      <w:pPr>
        <w:pStyle w:val="3"/>
        <w:jc w:val="both"/>
        <w:rPr>
          <w:rFonts w:ascii="楷体" w:eastAsia="楷体" w:hAnsi="楷体" w:hint="eastAsia"/>
          <w:color w:val="000000" w:themeColor="text1"/>
          <w:sz w:val="30"/>
          <w:szCs w:val="30"/>
        </w:rPr>
      </w:pPr>
      <w:bookmarkStart w:id="43" w:name="_Toc228444792"/>
      <w:r w:rsidRPr="00157396">
        <w:rPr>
          <w:rFonts w:ascii="楷体" w:eastAsia="楷体" w:hAnsi="楷体" w:hint="eastAsia"/>
          <w:color w:val="000000" w:themeColor="text1"/>
          <w:sz w:val="30"/>
          <w:szCs w:val="30"/>
        </w:rPr>
        <w:t>4.2.</w:t>
      </w:r>
      <w:r w:rsidR="004E59A8" w:rsidRPr="00157396">
        <w:rPr>
          <w:rFonts w:ascii="楷体" w:eastAsia="楷体" w:hAnsi="楷体" w:hint="eastAsia"/>
          <w:color w:val="000000" w:themeColor="text1"/>
          <w:sz w:val="30"/>
          <w:szCs w:val="30"/>
        </w:rPr>
        <w:t>2 竞争与效率：格局收敛与盈利拐点</w:t>
      </w:r>
      <w:bookmarkEnd w:id="43"/>
    </w:p>
    <w:p w14:paraId="62873704" w14:textId="5FBC466B" w:rsidR="00621C0E" w:rsidRPr="00660147" w:rsidRDefault="004E59A8"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市场竞争正快速收敛至头部厂商，领先厂商已展现出强劲的商业化爆发力，营</w:t>
      </w:r>
      <w:proofErr w:type="gramStart"/>
      <w:r w:rsidRPr="00660147">
        <w:rPr>
          <w:rFonts w:ascii="楷体" w:eastAsia="楷体" w:hAnsi="楷体" w:hint="eastAsia"/>
          <w:color w:val="000000" w:themeColor="text1"/>
        </w:rPr>
        <w:t>收规模</w:t>
      </w:r>
      <w:proofErr w:type="gramEnd"/>
      <w:r w:rsidRPr="00660147">
        <w:rPr>
          <w:rFonts w:ascii="楷体" w:eastAsia="楷体" w:hAnsi="楷体" w:hint="eastAsia"/>
          <w:color w:val="000000" w:themeColor="text1"/>
        </w:rPr>
        <w:t>实现数量级跨越。在此背景下，商业化效率已成为核心估值锚。资本市场的关注点已从最初的技术叙事，转向收入质量、毛利率改善、现金流管理等本质指标。能否展示出清晰的盈利拐点预期，是支撑长期市值的关键。与此同时，模型调用成本随着时间推移持续下降，相同智能水平下的使用门槛不断降低，进一步推动了应用生态的繁荣。</w:t>
      </w:r>
    </w:p>
    <w:p w14:paraId="31E29365" w14:textId="256EDF29" w:rsidR="00715D18" w:rsidRPr="00157396" w:rsidRDefault="00914D6F" w:rsidP="00A44FB8">
      <w:pPr>
        <w:pStyle w:val="2"/>
        <w:jc w:val="both"/>
        <w:rPr>
          <w:rFonts w:ascii="楷体" w:eastAsia="楷体" w:hAnsi="楷体" w:hint="eastAsia"/>
          <w:color w:val="000000" w:themeColor="text1"/>
          <w:sz w:val="32"/>
          <w:szCs w:val="32"/>
        </w:rPr>
      </w:pPr>
      <w:bookmarkStart w:id="44" w:name="_Toc228444793"/>
      <w:r w:rsidRPr="00157396">
        <w:rPr>
          <w:rFonts w:ascii="楷体" w:eastAsia="楷体" w:hAnsi="楷体" w:hint="eastAsia"/>
          <w:color w:val="000000" w:themeColor="text1"/>
          <w:sz w:val="32"/>
          <w:szCs w:val="32"/>
        </w:rPr>
        <w:t>4.</w:t>
      </w:r>
      <w:r w:rsidR="00392D61">
        <w:rPr>
          <w:rFonts w:ascii="楷体" w:eastAsia="楷体" w:hAnsi="楷体" w:hint="eastAsia"/>
          <w:color w:val="000000" w:themeColor="text1"/>
          <w:sz w:val="32"/>
          <w:szCs w:val="32"/>
        </w:rPr>
        <w:t>3</w:t>
      </w:r>
      <w:r w:rsidR="00715D18" w:rsidRPr="00157396">
        <w:rPr>
          <w:rFonts w:ascii="楷体" w:eastAsia="楷体" w:hAnsi="楷体" w:hint="eastAsia"/>
          <w:color w:val="000000" w:themeColor="text1"/>
          <w:sz w:val="32"/>
          <w:szCs w:val="32"/>
        </w:rPr>
        <w:t>潜在风险提示</w:t>
      </w:r>
      <w:bookmarkEnd w:id="44"/>
    </w:p>
    <w:p w14:paraId="506F2F4C" w14:textId="5CC4DC68" w:rsidR="00323214" w:rsidRPr="00157396" w:rsidRDefault="00B04FB9" w:rsidP="00A44FB8">
      <w:pPr>
        <w:pStyle w:val="3"/>
        <w:jc w:val="both"/>
        <w:rPr>
          <w:rFonts w:ascii="楷体" w:eastAsia="楷体" w:hAnsi="楷体" w:hint="eastAsia"/>
          <w:color w:val="000000" w:themeColor="text1"/>
          <w:sz w:val="30"/>
          <w:szCs w:val="30"/>
        </w:rPr>
      </w:pPr>
      <w:bookmarkStart w:id="45" w:name="_Toc228444794"/>
      <w:r w:rsidRPr="00157396">
        <w:rPr>
          <w:rFonts w:ascii="楷体" w:eastAsia="楷体" w:hAnsi="楷体" w:hint="eastAsia"/>
          <w:color w:val="000000" w:themeColor="text1"/>
          <w:sz w:val="30"/>
          <w:szCs w:val="30"/>
        </w:rPr>
        <w:t>4.</w:t>
      </w:r>
      <w:r w:rsidR="00392D61">
        <w:rPr>
          <w:rFonts w:ascii="楷体" w:eastAsia="楷体" w:hAnsi="楷体" w:hint="eastAsia"/>
          <w:color w:val="000000" w:themeColor="text1"/>
          <w:sz w:val="30"/>
          <w:szCs w:val="30"/>
        </w:rPr>
        <w:t>3</w:t>
      </w:r>
      <w:r w:rsidRPr="00157396">
        <w:rPr>
          <w:rFonts w:ascii="楷体" w:eastAsia="楷体" w:hAnsi="楷体" w:hint="eastAsia"/>
          <w:color w:val="000000" w:themeColor="text1"/>
          <w:sz w:val="30"/>
          <w:szCs w:val="30"/>
        </w:rPr>
        <w:t xml:space="preserve">.1 </w:t>
      </w:r>
      <w:r w:rsidR="00323214" w:rsidRPr="00157396">
        <w:rPr>
          <w:rFonts w:ascii="楷体" w:eastAsia="楷体" w:hAnsi="楷体" w:hint="eastAsia"/>
          <w:color w:val="000000" w:themeColor="text1"/>
          <w:sz w:val="30"/>
          <w:szCs w:val="30"/>
        </w:rPr>
        <w:t>商业模式与盈利路径的不确定性</w:t>
      </w:r>
      <w:bookmarkEnd w:id="45"/>
    </w:p>
    <w:p w14:paraId="597AA323" w14:textId="618F6396"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当前大模型产业面临的核心商业风险在于，天文数字级的资本投入与清晰、可持续的盈利模式之间存在巨大鸿沟。产业尚未证明其能产生与互联网时代相匹敌的规模经济与垄断利润。</w:t>
      </w:r>
    </w:p>
    <w:p w14:paraId="0D01DCEE" w14:textId="0E8F3EB2"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高昂成本与模糊的变现能力构成根本矛盾：大模型的训练与推理消耗巨大的算力与电力，属于典型的重资产投入。然而，其商业模式却面临双重挑战：在收益端，AI产品的用户效用通常不具备网络效应，即用户数量的增加并不直接提升单个用户的体验或产品的护城河，这限制了企业的定价权。在成本端，随着用户规模扩大，所需的算力成本几乎线</w:t>
      </w:r>
      <w:r w:rsidRPr="00660147">
        <w:rPr>
          <w:rFonts w:ascii="楷体" w:eastAsia="楷体" w:hAnsi="楷体" w:hint="eastAsia"/>
          <w:color w:val="000000" w:themeColor="text1"/>
        </w:rPr>
        <w:lastRenderedPageBreak/>
        <w:t>性甚至指数增长（由于transformer架构的特性，即使良优化后的模型结构，其成本也是几近于线性的），难以实现互联网式的边际成本递减。这使得“烧钱换增长”的互联网经典模式在大模型领域可能难以为继。</w:t>
      </w:r>
    </w:p>
    <w:p w14:paraId="1B080D16" w14:textId="6AB47F17"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产业内部存在“循环融资”与利润虚高的风险。以美国为例，AI产业呈现一种头部企业相互投资、互为客户的紧密生态。科技巨头的资本开支流向英伟达等算力公司，后者再将部分利润以投资形式投向应用层企业。这种内部循环能够在财务报表上层层计提巨额利润，但真正的价值源泉——终端用户实际支付的费用——规模相对有限（2025年估计约460亿美元），与支撑万亿级别美元市值的产业利润预期形成巨大反差。这种结构使得整个产业的真实盈利能力和健康状况被掩盖，存在巨大的财务泡沫风险。</w:t>
      </w:r>
    </w:p>
    <w:p w14:paraId="01B02D38" w14:textId="7FE99DAB" w:rsidR="00323214" w:rsidRPr="00157396" w:rsidRDefault="00B04FB9" w:rsidP="00A44FB8">
      <w:pPr>
        <w:pStyle w:val="3"/>
        <w:jc w:val="both"/>
        <w:rPr>
          <w:rFonts w:ascii="楷体" w:eastAsia="楷体" w:hAnsi="楷体" w:hint="eastAsia"/>
          <w:color w:val="000000" w:themeColor="text1"/>
          <w:sz w:val="30"/>
          <w:szCs w:val="30"/>
        </w:rPr>
      </w:pPr>
      <w:bookmarkStart w:id="46" w:name="_Toc228444795"/>
      <w:r w:rsidRPr="00157396">
        <w:rPr>
          <w:rFonts w:ascii="楷体" w:eastAsia="楷体" w:hAnsi="楷体" w:hint="eastAsia"/>
          <w:color w:val="000000" w:themeColor="text1"/>
          <w:sz w:val="30"/>
          <w:szCs w:val="30"/>
        </w:rPr>
        <w:t>4.</w:t>
      </w:r>
      <w:r w:rsidR="00392D61">
        <w:rPr>
          <w:rFonts w:ascii="楷体" w:eastAsia="楷体" w:hAnsi="楷体" w:hint="eastAsia"/>
          <w:color w:val="000000" w:themeColor="text1"/>
          <w:sz w:val="30"/>
          <w:szCs w:val="30"/>
        </w:rPr>
        <w:t>3</w:t>
      </w:r>
      <w:r w:rsidRPr="00157396">
        <w:rPr>
          <w:rFonts w:ascii="楷体" w:eastAsia="楷体" w:hAnsi="楷体" w:hint="eastAsia"/>
          <w:color w:val="000000" w:themeColor="text1"/>
          <w:sz w:val="30"/>
          <w:szCs w:val="30"/>
        </w:rPr>
        <w:t xml:space="preserve">.2 </w:t>
      </w:r>
      <w:r w:rsidR="00323214" w:rsidRPr="00157396">
        <w:rPr>
          <w:rFonts w:ascii="楷体" w:eastAsia="楷体" w:hAnsi="楷体" w:hint="eastAsia"/>
          <w:color w:val="000000" w:themeColor="text1"/>
          <w:sz w:val="30"/>
          <w:szCs w:val="30"/>
        </w:rPr>
        <w:t>数据瓶颈与治理挑战</w:t>
      </w:r>
      <w:bookmarkEnd w:id="46"/>
    </w:p>
    <w:p w14:paraId="0D1EFF32" w14:textId="0B90145B"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数据是AI的“燃料”，但其质量、获取与使用的可持续性正成为产业发展的关键制约。</w:t>
      </w:r>
    </w:p>
    <w:p w14:paraId="635FD1F8" w14:textId="3E4B698F"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高质量训练数据面临枯竭风险。当前大语言模型的训练主要基于互联网公开文本数据（从字节到字节）。随着模型参数规模指数级增长，互联网上有价值的高质量数据即将被耗尽。产业下一步发展需要转向“从原子到字节”，即从现实世界实时获取并处理数据，而这需要与实体经济深度融合，其复杂度和成本将呈数量级上升。</w:t>
      </w:r>
    </w:p>
    <w:p w14:paraId="5D6886DD" w14:textId="17322ECD"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数据质量、隐私与版权问题日益尖锐。数据的污染（如故意投喂虚假信息）可直接导致模型输出错误，甚至被用于操纵金融市场。同时，使用受版权保护的内容进行训练引发的法律诉讼，以及由于数据隔离失效，导致用户隐私数据泄露的风险，都将使企业面临严峻的法律和合规挑战，增加运营成本与不确定性。</w:t>
      </w:r>
    </w:p>
    <w:p w14:paraId="70DABC53" w14:textId="3EAF6178" w:rsidR="00323214" w:rsidRPr="00157396" w:rsidRDefault="00B04FB9" w:rsidP="00A44FB8">
      <w:pPr>
        <w:pStyle w:val="3"/>
        <w:jc w:val="both"/>
        <w:rPr>
          <w:rFonts w:ascii="楷体" w:eastAsia="楷体" w:hAnsi="楷体" w:hint="eastAsia"/>
          <w:color w:val="000000" w:themeColor="text1"/>
          <w:sz w:val="30"/>
          <w:szCs w:val="30"/>
        </w:rPr>
      </w:pPr>
      <w:bookmarkStart w:id="47" w:name="_Toc228444796"/>
      <w:r w:rsidRPr="00157396">
        <w:rPr>
          <w:rFonts w:ascii="楷体" w:eastAsia="楷体" w:hAnsi="楷体" w:hint="eastAsia"/>
          <w:color w:val="000000" w:themeColor="text1"/>
          <w:sz w:val="30"/>
          <w:szCs w:val="30"/>
        </w:rPr>
        <w:t>4.</w:t>
      </w:r>
      <w:r w:rsidR="00392D61">
        <w:rPr>
          <w:rFonts w:ascii="楷体" w:eastAsia="楷体" w:hAnsi="楷体" w:hint="eastAsia"/>
          <w:color w:val="000000" w:themeColor="text1"/>
          <w:sz w:val="30"/>
          <w:szCs w:val="30"/>
        </w:rPr>
        <w:t>3</w:t>
      </w:r>
      <w:r w:rsidRPr="00157396">
        <w:rPr>
          <w:rFonts w:ascii="楷体" w:eastAsia="楷体" w:hAnsi="楷体" w:hint="eastAsia"/>
          <w:color w:val="000000" w:themeColor="text1"/>
          <w:sz w:val="30"/>
          <w:szCs w:val="30"/>
        </w:rPr>
        <w:t xml:space="preserve">.3 </w:t>
      </w:r>
      <w:r w:rsidR="00323214" w:rsidRPr="00157396">
        <w:rPr>
          <w:rFonts w:ascii="楷体" w:eastAsia="楷体" w:hAnsi="楷体" w:hint="eastAsia"/>
          <w:color w:val="000000" w:themeColor="text1"/>
          <w:sz w:val="30"/>
          <w:szCs w:val="30"/>
        </w:rPr>
        <w:t>社会接受度与监管风险</w:t>
      </w:r>
      <w:bookmarkEnd w:id="47"/>
    </w:p>
    <w:p w14:paraId="1725995D" w14:textId="2B09A727"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技术的快速迭代远超社会规范与法律框架建立的速度，导致“技术-社会”摩擦加剧。</w:t>
      </w:r>
    </w:p>
    <w:p w14:paraId="7CA9DCEF" w14:textId="27A7CC30"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幻觉”等技术缺陷严重制约关键领域落地。在金融、医疗等要求高确定性与高精度的领域，大模型存在的“幻觉”（生成不准确或虚构内容）风险是致命伤。这导致许多严肃应用场景持观望态度，阻碍了技术的大规模商业化渗透。</w:t>
      </w:r>
    </w:p>
    <w:p w14:paraId="0074761C" w14:textId="19D8A7BD"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监管滞后与伦理困境带来政策不确定性。全球各国政府对AI的监管仍处于探索阶段，未来在数据安全、算法透明度、内容责任、就业冲击等方面的政策收紧是大概率事件。严厉的监管可能大幅增加研发和合规成本，甚至限制某些技术路径的应用。此外，AI深度伪造技术已导致声纹识别等传统安全手段失效，人脸识别等也可能面临挑战，社会信任体系的修复与重建需要巨大的监管与技术成本。</w:t>
      </w:r>
    </w:p>
    <w:p w14:paraId="2AE05530" w14:textId="1847F4A1" w:rsidR="00323214" w:rsidRPr="00157396" w:rsidRDefault="00B04FB9" w:rsidP="00A44FB8">
      <w:pPr>
        <w:pStyle w:val="3"/>
        <w:jc w:val="both"/>
        <w:rPr>
          <w:rFonts w:ascii="楷体" w:eastAsia="楷体" w:hAnsi="楷体" w:hint="eastAsia"/>
          <w:color w:val="000000" w:themeColor="text1"/>
          <w:sz w:val="30"/>
          <w:szCs w:val="30"/>
        </w:rPr>
      </w:pPr>
      <w:bookmarkStart w:id="48" w:name="_Toc228444797"/>
      <w:r w:rsidRPr="00157396">
        <w:rPr>
          <w:rFonts w:ascii="楷体" w:eastAsia="楷体" w:hAnsi="楷体" w:hint="eastAsia"/>
          <w:color w:val="000000" w:themeColor="text1"/>
          <w:sz w:val="30"/>
          <w:szCs w:val="30"/>
        </w:rPr>
        <w:t>4.</w:t>
      </w:r>
      <w:r w:rsidR="00392D61">
        <w:rPr>
          <w:rFonts w:ascii="楷体" w:eastAsia="楷体" w:hAnsi="楷体" w:hint="eastAsia"/>
          <w:color w:val="000000" w:themeColor="text1"/>
          <w:sz w:val="30"/>
          <w:szCs w:val="30"/>
        </w:rPr>
        <w:t>3</w:t>
      </w:r>
      <w:r w:rsidRPr="00157396">
        <w:rPr>
          <w:rFonts w:ascii="楷体" w:eastAsia="楷体" w:hAnsi="楷体" w:hint="eastAsia"/>
          <w:color w:val="000000" w:themeColor="text1"/>
          <w:sz w:val="30"/>
          <w:szCs w:val="30"/>
        </w:rPr>
        <w:t xml:space="preserve">.4 </w:t>
      </w:r>
      <w:r w:rsidR="00323214" w:rsidRPr="00157396">
        <w:rPr>
          <w:rFonts w:ascii="楷体" w:eastAsia="楷体" w:hAnsi="楷体" w:hint="eastAsia"/>
          <w:color w:val="000000" w:themeColor="text1"/>
          <w:sz w:val="30"/>
          <w:szCs w:val="30"/>
        </w:rPr>
        <w:t>地缘政治与供应链风险</w:t>
      </w:r>
      <w:bookmarkEnd w:id="48"/>
    </w:p>
    <w:p w14:paraId="29F28C4E" w14:textId="5ACDD6DE"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AI作为战略技术，已深度卷入大国竞争，其全球产业链的稳定性面临挑战。技术封锁与</w:t>
      </w:r>
      <w:r w:rsidRPr="00660147">
        <w:rPr>
          <w:rFonts w:ascii="楷体" w:eastAsia="楷体" w:hAnsi="楷体" w:hint="eastAsia"/>
          <w:color w:val="000000" w:themeColor="text1"/>
        </w:rPr>
        <w:lastRenderedPageBreak/>
        <w:t>市场分割成为新常态。地缘政治紧张导致AI芯片、先进制造设备等关键技术的国际流动受到限制。例如，美国从2025年末开始就英伟达芯片出口问题一事上进行反复的政治操弄，将AI算力基建供应链武器化。其现实迫使企业构建本土化供应链</w:t>
      </w:r>
      <w:r w:rsidR="00B9788C" w:rsidRPr="00660147">
        <w:rPr>
          <w:rFonts w:ascii="楷体" w:eastAsia="楷体" w:hAnsi="楷体" w:hint="eastAsia"/>
          <w:color w:val="000000" w:themeColor="text1"/>
        </w:rPr>
        <w:t>（一个案例是即将在2026年下半年面试的华为昇腾超节点服务器），</w:t>
      </w:r>
      <w:r w:rsidRPr="00660147">
        <w:rPr>
          <w:rFonts w:ascii="楷体" w:eastAsia="楷体" w:hAnsi="楷体" w:hint="eastAsia"/>
          <w:color w:val="000000" w:themeColor="text1"/>
        </w:rPr>
        <w:t>但在短期内可能面临成本上升、性能折衷和技术迭代速度放缓的问题。</w:t>
      </w:r>
    </w:p>
    <w:p w14:paraId="0B262AF5" w14:textId="626DE3B1"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全球市场可能分裂为不同技术标准与生态的“孤岛”。各国出于数据主权和安全考虑，可能要求数据本地化并培育本土AI企业，这将碎片化全球统一市场，削弱领先企业的规模优势，并导致重复建设和资源浪费。</w:t>
      </w:r>
    </w:p>
    <w:p w14:paraId="524AA224" w14:textId="2F0D7C49" w:rsidR="00323214" w:rsidRPr="00157396" w:rsidRDefault="00B04FB9" w:rsidP="00A44FB8">
      <w:pPr>
        <w:pStyle w:val="3"/>
        <w:jc w:val="both"/>
        <w:rPr>
          <w:rFonts w:ascii="楷体" w:eastAsia="楷体" w:hAnsi="楷体" w:hint="eastAsia"/>
          <w:color w:val="000000" w:themeColor="text1"/>
          <w:sz w:val="30"/>
          <w:szCs w:val="30"/>
        </w:rPr>
      </w:pPr>
      <w:bookmarkStart w:id="49" w:name="_Toc228444798"/>
      <w:r w:rsidRPr="00157396">
        <w:rPr>
          <w:rFonts w:ascii="楷体" w:eastAsia="楷体" w:hAnsi="楷体" w:hint="eastAsia"/>
          <w:color w:val="000000" w:themeColor="text1"/>
          <w:sz w:val="30"/>
          <w:szCs w:val="30"/>
        </w:rPr>
        <w:t>4.</w:t>
      </w:r>
      <w:r w:rsidR="00392D61">
        <w:rPr>
          <w:rFonts w:ascii="楷体" w:eastAsia="楷体" w:hAnsi="楷体" w:hint="eastAsia"/>
          <w:color w:val="000000" w:themeColor="text1"/>
          <w:sz w:val="30"/>
          <w:szCs w:val="30"/>
        </w:rPr>
        <w:t>3</w:t>
      </w:r>
      <w:r w:rsidRPr="00157396">
        <w:rPr>
          <w:rFonts w:ascii="楷体" w:eastAsia="楷体" w:hAnsi="楷体" w:hint="eastAsia"/>
          <w:color w:val="000000" w:themeColor="text1"/>
          <w:sz w:val="30"/>
          <w:szCs w:val="30"/>
        </w:rPr>
        <w:t xml:space="preserve">.5 </w:t>
      </w:r>
      <w:r w:rsidR="00323214" w:rsidRPr="00157396">
        <w:rPr>
          <w:rFonts w:ascii="楷体" w:eastAsia="楷体" w:hAnsi="楷体" w:hint="eastAsia"/>
          <w:color w:val="000000" w:themeColor="text1"/>
          <w:sz w:val="30"/>
          <w:szCs w:val="30"/>
        </w:rPr>
        <w:t>竞争失焦风险</w:t>
      </w:r>
      <w:bookmarkEnd w:id="49"/>
    </w:p>
    <w:p w14:paraId="1CDC8332" w14:textId="6D8475E1"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产业的爆炸式增长掩盖了其底层生态的某些脆弱性，并可能引发非理性的竞争。</w:t>
      </w:r>
    </w:p>
    <w:p w14:paraId="27FC1AD1" w14:textId="26BE712D"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早期阶段的激烈竞争可能导致资源错配。尽管产业处于早期，但竞争已白热化。知名投资人指出，对于最终技术路线和胜出者的判断“难度非常大”。在不确定性极高的情况下，大量资本可能涌入相似或尚未验证的赛道，造成泡沫。同时，企业为争夺人才和算力资源而进行的非理性投入，可能透支长期发展潜力。</w:t>
      </w:r>
    </w:p>
    <w:p w14:paraId="1FADCAE3" w14:textId="2899AFC2" w:rsidR="00323214" w:rsidRPr="00660147" w:rsidRDefault="00323214"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竞争焦点可能从技术创新转向资本与宣传战。当技术突破进入平台期，部分企业或投资者可能倾向于通过制造营销热点、进行复杂的资本运作来维持估值，而非沉心于艰苦的底层技术创新，这将对产业的健康发展造成损害。</w:t>
      </w:r>
      <w:r w:rsidR="00B9788C" w:rsidRPr="00660147">
        <w:rPr>
          <w:rFonts w:ascii="楷体" w:eastAsia="楷体" w:hAnsi="楷体" w:hint="eastAsia"/>
          <w:color w:val="000000" w:themeColor="text1"/>
        </w:rPr>
        <w:t>Kimi与minimax</w:t>
      </w:r>
      <w:r w:rsidR="009C2B03" w:rsidRPr="00660147">
        <w:rPr>
          <w:rFonts w:ascii="楷体" w:eastAsia="楷体" w:hAnsi="楷体" w:hint="eastAsia"/>
          <w:color w:val="000000" w:themeColor="text1"/>
        </w:rPr>
        <w:t>的高层都</w:t>
      </w:r>
      <w:r w:rsidR="00A803F3" w:rsidRPr="00660147">
        <w:rPr>
          <w:rFonts w:ascii="楷体" w:eastAsia="楷体" w:hAnsi="楷体" w:hint="eastAsia"/>
          <w:color w:val="000000" w:themeColor="text1"/>
        </w:rPr>
        <w:t>曾坦言经历过对于宣发的痴迷阶段，但是最终</w:t>
      </w:r>
      <w:r w:rsidR="009C2B03" w:rsidRPr="00660147">
        <w:rPr>
          <w:rFonts w:ascii="楷体" w:eastAsia="楷体" w:hAnsi="楷体" w:hint="eastAsia"/>
          <w:color w:val="000000" w:themeColor="text1"/>
        </w:rPr>
        <w:t>调用量和业绩的反馈</w:t>
      </w:r>
      <w:r w:rsidR="00A803F3" w:rsidRPr="00660147">
        <w:rPr>
          <w:rFonts w:ascii="楷体" w:eastAsia="楷体" w:hAnsi="楷体" w:hint="eastAsia"/>
          <w:color w:val="000000" w:themeColor="text1"/>
        </w:rPr>
        <w:t>还是</w:t>
      </w:r>
      <w:r w:rsidR="009C2B03" w:rsidRPr="00660147">
        <w:rPr>
          <w:rFonts w:ascii="楷体" w:eastAsia="楷体" w:hAnsi="楷体" w:hint="eastAsia"/>
          <w:color w:val="000000" w:themeColor="text1"/>
        </w:rPr>
        <w:t>使之</w:t>
      </w:r>
      <w:r w:rsidR="00A803F3" w:rsidRPr="00660147">
        <w:rPr>
          <w:rFonts w:ascii="楷体" w:eastAsia="楷体" w:hAnsi="楷体" w:hint="eastAsia"/>
          <w:color w:val="000000" w:themeColor="text1"/>
        </w:rPr>
        <w:t>回归</w:t>
      </w:r>
      <w:r w:rsidR="009C2B03" w:rsidRPr="00660147">
        <w:rPr>
          <w:rFonts w:ascii="楷体" w:eastAsia="楷体" w:hAnsi="楷体" w:hint="eastAsia"/>
          <w:color w:val="000000" w:themeColor="text1"/>
        </w:rPr>
        <w:t>到</w:t>
      </w:r>
      <w:r w:rsidR="00A803F3" w:rsidRPr="00660147">
        <w:rPr>
          <w:rFonts w:ascii="楷体" w:eastAsia="楷体" w:hAnsi="楷体" w:hint="eastAsia"/>
          <w:color w:val="000000" w:themeColor="text1"/>
        </w:rPr>
        <w:t>了以技术和效率优先的道路上。</w:t>
      </w:r>
    </w:p>
    <w:p w14:paraId="4B4DC7B2" w14:textId="631FCD23" w:rsidR="00A803F3" w:rsidRPr="00157396" w:rsidRDefault="00AB21D0" w:rsidP="00A44FB8">
      <w:pPr>
        <w:pStyle w:val="3"/>
        <w:jc w:val="both"/>
        <w:rPr>
          <w:rFonts w:ascii="楷体" w:eastAsia="楷体" w:hAnsi="楷体" w:hint="eastAsia"/>
          <w:color w:val="000000" w:themeColor="text1"/>
          <w:sz w:val="30"/>
          <w:szCs w:val="30"/>
        </w:rPr>
      </w:pPr>
      <w:bookmarkStart w:id="50" w:name="_Toc228444799"/>
      <w:r w:rsidRPr="00157396">
        <w:rPr>
          <w:rFonts w:ascii="楷体" w:eastAsia="楷体" w:hAnsi="楷体" w:hint="eastAsia"/>
          <w:color w:val="000000" w:themeColor="text1"/>
          <w:sz w:val="30"/>
          <w:szCs w:val="30"/>
        </w:rPr>
        <w:t>4.</w:t>
      </w:r>
      <w:r w:rsidR="00392D61">
        <w:rPr>
          <w:rFonts w:ascii="楷体" w:eastAsia="楷体" w:hAnsi="楷体" w:hint="eastAsia"/>
          <w:color w:val="000000" w:themeColor="text1"/>
          <w:sz w:val="30"/>
          <w:szCs w:val="30"/>
        </w:rPr>
        <w:t>3</w:t>
      </w:r>
      <w:r w:rsidRPr="00157396">
        <w:rPr>
          <w:rFonts w:ascii="楷体" w:eastAsia="楷体" w:hAnsi="楷体" w:hint="eastAsia"/>
          <w:color w:val="000000" w:themeColor="text1"/>
          <w:sz w:val="30"/>
          <w:szCs w:val="30"/>
        </w:rPr>
        <w:t xml:space="preserve">.6 </w:t>
      </w:r>
      <w:r w:rsidR="00A803F3" w:rsidRPr="00157396">
        <w:rPr>
          <w:rFonts w:ascii="楷体" w:eastAsia="楷体" w:hAnsi="楷体" w:hint="eastAsia"/>
          <w:color w:val="000000" w:themeColor="text1"/>
          <w:sz w:val="30"/>
          <w:szCs w:val="30"/>
        </w:rPr>
        <w:t>远期技术路线错误的可能性</w:t>
      </w:r>
      <w:bookmarkEnd w:id="50"/>
      <w:r w:rsidR="00A803F3" w:rsidRPr="00157396">
        <w:rPr>
          <w:rFonts w:ascii="楷体" w:eastAsia="楷体" w:hAnsi="楷体" w:hint="eastAsia"/>
          <w:color w:val="000000" w:themeColor="text1"/>
          <w:sz w:val="30"/>
          <w:szCs w:val="30"/>
        </w:rPr>
        <w:t xml:space="preserve"> </w:t>
      </w:r>
    </w:p>
    <w:p w14:paraId="01F2E6C9" w14:textId="42B3253E" w:rsidR="00A803F3" w:rsidRPr="00660147" w:rsidRDefault="00A803F3" w:rsidP="00A44FB8">
      <w:pPr>
        <w:jc w:val="both"/>
        <w:rPr>
          <w:rFonts w:ascii="楷体" w:eastAsia="楷体" w:hAnsi="楷体" w:hint="eastAsia"/>
          <w:color w:val="000000" w:themeColor="text1"/>
        </w:rPr>
      </w:pPr>
      <w:bookmarkStart w:id="51" w:name="OLE_LINK3"/>
      <w:r w:rsidRPr="00660147">
        <w:rPr>
          <w:rFonts w:ascii="楷体" w:eastAsia="楷体" w:hAnsi="楷体" w:hint="eastAsia"/>
          <w:color w:val="000000" w:themeColor="text1"/>
        </w:rPr>
        <w:t>当前大模型产业将核心赌注押在改良</w:t>
      </w:r>
      <w:r w:rsidR="00FF5EF9" w:rsidRPr="00660147">
        <w:rPr>
          <w:rFonts w:ascii="楷体" w:eastAsia="楷体" w:hAnsi="楷体" w:hint="eastAsia"/>
          <w:color w:val="000000" w:themeColor="text1"/>
        </w:rPr>
        <w:t>的</w:t>
      </w:r>
      <w:r w:rsidRPr="00660147">
        <w:rPr>
          <w:rFonts w:ascii="楷体" w:eastAsia="楷体" w:hAnsi="楷体" w:hint="eastAsia"/>
          <w:color w:val="000000" w:themeColor="text1"/>
        </w:rPr>
        <w:t>Transformer</w:t>
      </w:r>
      <w:r w:rsidR="009C2B03" w:rsidRPr="00660147">
        <w:rPr>
          <w:rFonts w:ascii="楷体" w:eastAsia="楷体" w:hAnsi="楷体" w:hint="eastAsia"/>
          <w:color w:val="000000" w:themeColor="text1"/>
        </w:rPr>
        <w:t>和MoE</w:t>
      </w:r>
      <w:r w:rsidR="00FF5EF9" w:rsidRPr="00660147">
        <w:rPr>
          <w:rFonts w:ascii="楷体" w:eastAsia="楷体" w:hAnsi="楷体" w:hint="eastAsia"/>
          <w:color w:val="000000" w:themeColor="text1"/>
        </w:rPr>
        <w:t>混合</w:t>
      </w:r>
      <w:r w:rsidRPr="00660147">
        <w:rPr>
          <w:rFonts w:ascii="楷体" w:eastAsia="楷体" w:hAnsi="楷体" w:hint="eastAsia"/>
          <w:color w:val="000000" w:themeColor="text1"/>
        </w:rPr>
        <w:t>架构、Scaling Law与预训练范式的组合上。</w:t>
      </w:r>
      <w:r w:rsidR="009C2B03" w:rsidRPr="00660147">
        <w:rPr>
          <w:rFonts w:ascii="楷体" w:eastAsia="楷体" w:hAnsi="楷体" w:hint="eastAsia"/>
          <w:color w:val="000000" w:themeColor="text1"/>
        </w:rPr>
        <w:t>本质并未脱离植根于Transformer</w:t>
      </w:r>
      <w:r w:rsidR="009851AD" w:rsidRPr="00660147">
        <w:rPr>
          <w:rFonts w:ascii="楷体" w:eastAsia="楷体" w:hAnsi="楷体" w:hint="eastAsia"/>
          <w:color w:val="000000" w:themeColor="text1"/>
        </w:rPr>
        <w:t>的</w:t>
      </w:r>
      <w:r w:rsidR="002A75FD" w:rsidRPr="00660147">
        <w:rPr>
          <w:rFonts w:ascii="楷体" w:eastAsia="楷体" w:hAnsi="楷体" w:hint="eastAsia"/>
          <w:color w:val="000000" w:themeColor="text1"/>
        </w:rPr>
        <w:t>基本路线</w:t>
      </w:r>
      <w:r w:rsidR="009C2B03" w:rsidRPr="00660147">
        <w:rPr>
          <w:rFonts w:ascii="楷体" w:eastAsia="楷体" w:hAnsi="楷体" w:hint="eastAsia"/>
          <w:color w:val="000000" w:themeColor="text1"/>
        </w:rPr>
        <w:t>。</w:t>
      </w:r>
      <w:r w:rsidRPr="00660147">
        <w:rPr>
          <w:rFonts w:ascii="楷体" w:eastAsia="楷体" w:hAnsi="楷体" w:hint="eastAsia"/>
          <w:color w:val="000000" w:themeColor="text1"/>
        </w:rPr>
        <w:t>这一路线虽带来惊人进展，但存在被证伪或边际失效的系统性风险。</w:t>
      </w:r>
    </w:p>
    <w:p w14:paraId="5E8C6ECE" w14:textId="0574E188" w:rsidR="00A803F3" w:rsidRPr="00660147" w:rsidRDefault="00A803F3"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第一，Transformer可能不是通用智能的终极载体。 注意力机制的计算复杂度与序列长度呈平方关系，导致长上下文扩展面临严峻的算力边际递减。</w:t>
      </w:r>
      <w:r w:rsidR="00281984" w:rsidRPr="00660147">
        <w:rPr>
          <w:rFonts w:ascii="楷体" w:eastAsia="楷体" w:hAnsi="楷体" w:hint="eastAsia"/>
          <w:color w:val="000000" w:themeColor="text1"/>
        </w:rPr>
        <w:t>在成本上面临着和RNN时代类似的扩张不经济性。</w:t>
      </w:r>
      <w:r w:rsidRPr="00660147">
        <w:rPr>
          <w:rFonts w:ascii="楷体" w:eastAsia="楷体" w:hAnsi="楷体" w:hint="eastAsia"/>
          <w:color w:val="000000" w:themeColor="text1"/>
        </w:rPr>
        <w:t>更根本的是，Transformer的"一次性前向生成"缺乏人类认知中系统性的迭代回溯与因果验证能力，当前的"思维链"只是外部补丁而非架构内生。Mamba、状态空间模型及神经符号</w:t>
      </w:r>
      <w:r w:rsidR="00805DE6" w:rsidRPr="00660147">
        <w:rPr>
          <w:rFonts w:ascii="楷体" w:eastAsia="楷体" w:hAnsi="楷体" w:hint="eastAsia"/>
          <w:color w:val="000000" w:themeColor="text1"/>
        </w:rPr>
        <w:t>等将人类认知底层逻辑内化更深的</w:t>
      </w:r>
      <w:r w:rsidRPr="00660147">
        <w:rPr>
          <w:rFonts w:ascii="楷体" w:eastAsia="楷体" w:hAnsi="楷体" w:hint="eastAsia"/>
          <w:color w:val="000000" w:themeColor="text1"/>
        </w:rPr>
        <w:t>路线正在积蓄替代力量。</w:t>
      </w:r>
    </w:p>
    <w:p w14:paraId="4C83C11C" w14:textId="7E1D1DA7" w:rsidR="00A803F3" w:rsidRPr="00660147" w:rsidRDefault="00A803F3"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w:t>
      </w:r>
      <w:r w:rsidR="0036035B" w:rsidRPr="00660147">
        <w:rPr>
          <w:rFonts w:ascii="楷体" w:eastAsia="楷体" w:hAnsi="楷体" w:hint="eastAsia"/>
          <w:color w:val="000000" w:themeColor="text1"/>
        </w:rPr>
        <w:t>近年来顶级大</w:t>
      </w:r>
      <w:r w:rsidR="0036035B" w:rsidRPr="00660147">
        <w:rPr>
          <w:rFonts w:ascii="楷体" w:eastAsia="楷体" w:hAnsi="楷体" w:hint="eastAsia"/>
          <w:color w:val="000000" w:themeColor="text1"/>
        </w:rPr>
        <w:lastRenderedPageBreak/>
        <w:t>模型在一些简单形式逻辑计算问题上屡屡遭遇阻碍的现实已经体现</w:t>
      </w:r>
      <w:r w:rsidR="00135835" w:rsidRPr="00660147">
        <w:rPr>
          <w:rFonts w:ascii="楷体" w:eastAsia="楷体" w:hAnsi="楷体" w:hint="eastAsia"/>
          <w:color w:val="000000" w:themeColor="text1"/>
        </w:rPr>
        <w:t>这一观点的正确性。</w:t>
      </w:r>
      <w:r w:rsidRPr="00660147">
        <w:rPr>
          <w:rFonts w:ascii="楷体" w:eastAsia="楷体" w:hAnsi="楷体" w:hint="eastAsia"/>
          <w:color w:val="000000" w:themeColor="text1"/>
        </w:rPr>
        <w:t>若</w:t>
      </w:r>
      <w:r w:rsidR="00135835" w:rsidRPr="00660147">
        <w:rPr>
          <w:rFonts w:ascii="楷体" w:eastAsia="楷体" w:hAnsi="楷体" w:hint="eastAsia"/>
          <w:color w:val="000000" w:themeColor="text1"/>
        </w:rPr>
        <w:t>现有的模型</w:t>
      </w:r>
      <w:r w:rsidRPr="00660147">
        <w:rPr>
          <w:rFonts w:ascii="楷体" w:eastAsia="楷体" w:hAnsi="楷体" w:hint="eastAsia"/>
          <w:color w:val="000000" w:themeColor="text1"/>
        </w:rPr>
        <w:t>智能本质是</w:t>
      </w:r>
      <w:r w:rsidR="0036035B" w:rsidRPr="00660147">
        <w:rPr>
          <w:rFonts w:ascii="楷体" w:eastAsia="楷体" w:hAnsi="楷体" w:hint="eastAsia"/>
          <w:color w:val="000000" w:themeColor="text1"/>
        </w:rPr>
        <w:t>高复杂度下的</w:t>
      </w:r>
      <w:r w:rsidRPr="00660147">
        <w:rPr>
          <w:rFonts w:ascii="楷体" w:eastAsia="楷体" w:hAnsi="楷体" w:hint="eastAsia"/>
          <w:color w:val="000000" w:themeColor="text1"/>
        </w:rPr>
        <w:t>因果建模而非模式压缩，Scaling Law或只是在制造更大的鹦鹉。</w:t>
      </w:r>
    </w:p>
    <w:p w14:paraId="75942BB5" w14:textId="77777777" w:rsidR="00A803F3" w:rsidRPr="00660147" w:rsidRDefault="00A803F3"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第三，"预训练+对齐"范式可能误解了智能的形成机制。 预训练本质是对人类知识分布的记忆压缩与插值，而非因果发现与假设生成。RLHF对齐在提升安全性的同时，系统性地抑制了模型的探索性与创造性，可能难以产生真正的科学洞见。此外，当前路线是"语言中心主义"的，缺乏对世界物理因果的直接建模，可能本末倒置。</w:t>
      </w:r>
    </w:p>
    <w:p w14:paraId="505DA51B" w14:textId="1081ED20" w:rsidR="00A803F3" w:rsidRPr="00660147" w:rsidRDefault="00A803F3" w:rsidP="00A44FB8">
      <w:pPr>
        <w:jc w:val="both"/>
        <w:rPr>
          <w:rFonts w:ascii="楷体" w:eastAsia="楷体" w:hAnsi="楷体" w:hint="eastAsia"/>
          <w:color w:val="000000" w:themeColor="text1"/>
        </w:rPr>
      </w:pPr>
      <w:r w:rsidRPr="00660147">
        <w:rPr>
          <w:rFonts w:ascii="楷体" w:eastAsia="楷体" w:hAnsi="楷体" w:hint="eastAsia"/>
          <w:color w:val="000000" w:themeColor="text1"/>
        </w:rPr>
        <w:t>第四，算法效率革命可能瞬间瓦解算力壁垒。 DeepSeek以极低成本达到第一梯队性能，表明当前性能差距很大程度上源于工程优化不足而非算力投入不足。若算法效率存在十倍甚至百倍的提升空间，基于"算力军备竞赛"的产业格局将面临需求崩塌风险，巨额资本开支的叙事逻辑也将被撕裂。</w:t>
      </w:r>
      <w:r w:rsidR="00AB21D0" w:rsidRPr="00660147">
        <w:rPr>
          <w:rFonts w:ascii="楷体" w:eastAsia="楷体" w:hAnsi="楷体" w:hint="eastAsia"/>
          <w:color w:val="000000" w:themeColor="text1"/>
        </w:rPr>
        <w:t>押注工程能力还是算法总量将是长期内一个不能不深思熟虑</w:t>
      </w:r>
      <w:r w:rsidR="006D3DF1" w:rsidRPr="00660147">
        <w:rPr>
          <w:rFonts w:ascii="楷体" w:eastAsia="楷体" w:hAnsi="楷体" w:hint="eastAsia"/>
          <w:color w:val="000000" w:themeColor="text1"/>
        </w:rPr>
        <w:t>重要抉择。</w:t>
      </w:r>
    </w:p>
    <w:p w14:paraId="45579076" w14:textId="0F13B016" w:rsidR="00A803F3" w:rsidRPr="00660147" w:rsidRDefault="00A803F3" w:rsidP="00A44FB8">
      <w:pPr>
        <w:jc w:val="both"/>
        <w:rPr>
          <w:rFonts w:ascii="楷体" w:eastAsia="楷体" w:hAnsi="楷体" w:hint="eastAsia"/>
          <w:color w:val="000000" w:themeColor="text1"/>
        </w:rPr>
      </w:pPr>
      <w:r w:rsidRPr="00660147">
        <w:rPr>
          <w:rFonts w:ascii="楷体" w:eastAsia="楷体" w:hAnsi="楷体" w:hint="eastAsia"/>
          <w:color w:val="000000" w:themeColor="text1"/>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bookmarkEnd w:id="51"/>
    <w:p w14:paraId="24C907D6" w14:textId="77777777" w:rsidR="00D6092B" w:rsidRDefault="00D6092B" w:rsidP="00A44FB8">
      <w:pPr>
        <w:jc w:val="both"/>
        <w:rPr>
          <w:rFonts w:ascii="楷体" w:eastAsia="楷体" w:hAnsi="楷体"/>
          <w:color w:val="000000" w:themeColor="text1"/>
        </w:rPr>
      </w:pPr>
    </w:p>
    <w:p w14:paraId="2FB33707" w14:textId="77777777" w:rsidR="00C25053" w:rsidRDefault="00C25053" w:rsidP="00A44FB8">
      <w:pPr>
        <w:jc w:val="both"/>
        <w:rPr>
          <w:rFonts w:ascii="楷体" w:eastAsia="楷体" w:hAnsi="楷体"/>
          <w:color w:val="000000" w:themeColor="text1"/>
        </w:rPr>
      </w:pPr>
    </w:p>
    <w:p w14:paraId="499AB56C" w14:textId="77777777" w:rsidR="00C25053" w:rsidRDefault="00C25053" w:rsidP="00A44FB8">
      <w:pPr>
        <w:jc w:val="both"/>
        <w:rPr>
          <w:rFonts w:ascii="楷体" w:eastAsia="楷体" w:hAnsi="楷体"/>
          <w:color w:val="000000" w:themeColor="text1"/>
        </w:rPr>
      </w:pPr>
    </w:p>
    <w:p w14:paraId="5183E1B3" w14:textId="77777777" w:rsidR="00C25053" w:rsidRDefault="00C25053" w:rsidP="00A44FB8">
      <w:pPr>
        <w:jc w:val="both"/>
        <w:rPr>
          <w:rFonts w:ascii="楷体" w:eastAsia="楷体" w:hAnsi="楷体"/>
          <w:color w:val="000000" w:themeColor="text1"/>
        </w:rPr>
      </w:pPr>
    </w:p>
    <w:p w14:paraId="7762573C" w14:textId="77777777" w:rsidR="00C25053" w:rsidRDefault="00C25053" w:rsidP="00A44FB8">
      <w:pPr>
        <w:jc w:val="both"/>
        <w:rPr>
          <w:rFonts w:ascii="楷体" w:eastAsia="楷体" w:hAnsi="楷体"/>
          <w:color w:val="000000" w:themeColor="text1"/>
        </w:rPr>
      </w:pPr>
    </w:p>
    <w:p w14:paraId="0568A5D9" w14:textId="77777777" w:rsidR="00C25053" w:rsidRDefault="00C25053" w:rsidP="00A44FB8">
      <w:pPr>
        <w:jc w:val="both"/>
        <w:rPr>
          <w:rFonts w:ascii="楷体" w:eastAsia="楷体" w:hAnsi="楷体"/>
          <w:color w:val="000000" w:themeColor="text1"/>
        </w:rPr>
      </w:pPr>
    </w:p>
    <w:p w14:paraId="37D254F8" w14:textId="77777777" w:rsidR="00C25053" w:rsidRDefault="00C25053" w:rsidP="00A44FB8">
      <w:pPr>
        <w:jc w:val="both"/>
        <w:rPr>
          <w:rFonts w:ascii="楷体" w:eastAsia="楷体" w:hAnsi="楷体"/>
          <w:color w:val="000000" w:themeColor="text1"/>
        </w:rPr>
      </w:pPr>
    </w:p>
    <w:p w14:paraId="48DDCBC8" w14:textId="77777777" w:rsidR="00C25053" w:rsidRDefault="00C25053" w:rsidP="00A44FB8">
      <w:pPr>
        <w:jc w:val="both"/>
        <w:rPr>
          <w:rFonts w:ascii="楷体" w:eastAsia="楷体" w:hAnsi="楷体"/>
          <w:color w:val="000000" w:themeColor="text1"/>
        </w:rPr>
      </w:pPr>
    </w:p>
    <w:p w14:paraId="72678780" w14:textId="77777777" w:rsidR="00C25053" w:rsidRDefault="00C25053" w:rsidP="00A44FB8">
      <w:pPr>
        <w:jc w:val="both"/>
        <w:rPr>
          <w:rFonts w:ascii="楷体" w:eastAsia="楷体" w:hAnsi="楷体"/>
          <w:color w:val="000000" w:themeColor="text1"/>
        </w:rPr>
      </w:pPr>
    </w:p>
    <w:p w14:paraId="68A642BC" w14:textId="77777777" w:rsidR="00C25053" w:rsidRDefault="00C25053" w:rsidP="00A44FB8">
      <w:pPr>
        <w:jc w:val="both"/>
        <w:rPr>
          <w:rFonts w:ascii="楷体" w:eastAsia="楷体" w:hAnsi="楷体"/>
          <w:color w:val="000000" w:themeColor="text1"/>
        </w:rPr>
      </w:pPr>
    </w:p>
    <w:p w14:paraId="65948721" w14:textId="77777777" w:rsidR="00C25053" w:rsidRPr="00660147" w:rsidRDefault="00C25053" w:rsidP="00A44FB8">
      <w:pPr>
        <w:jc w:val="both"/>
        <w:rPr>
          <w:rFonts w:ascii="楷体" w:eastAsia="楷体" w:hAnsi="楷体" w:hint="eastAsia"/>
          <w:color w:val="000000" w:themeColor="text1"/>
        </w:rPr>
      </w:pPr>
    </w:p>
    <w:p w14:paraId="3AB9F6A4" w14:textId="41196ACA" w:rsidR="002B152A" w:rsidRPr="00660147" w:rsidRDefault="006D3DF1" w:rsidP="00A44FB8">
      <w:pPr>
        <w:pStyle w:val="1"/>
        <w:jc w:val="both"/>
        <w:rPr>
          <w:rFonts w:ascii="楷体" w:eastAsia="楷体" w:hAnsi="楷体" w:hint="eastAsia"/>
          <w:color w:val="000000" w:themeColor="text1"/>
          <w:sz w:val="36"/>
          <w:szCs w:val="36"/>
        </w:rPr>
      </w:pPr>
      <w:bookmarkStart w:id="52" w:name="_Toc228444800"/>
      <w:r w:rsidRPr="00660147">
        <w:rPr>
          <w:rFonts w:ascii="楷体" w:eastAsia="楷体" w:hAnsi="楷体" w:hint="eastAsia"/>
          <w:color w:val="000000" w:themeColor="text1"/>
          <w:sz w:val="36"/>
          <w:szCs w:val="36"/>
        </w:rPr>
        <w:lastRenderedPageBreak/>
        <w:t>5</w:t>
      </w:r>
      <w:r w:rsidR="002B152A" w:rsidRPr="00660147">
        <w:rPr>
          <w:rFonts w:ascii="楷体" w:eastAsia="楷体" w:hAnsi="楷体" w:hint="eastAsia"/>
          <w:color w:val="000000" w:themeColor="text1"/>
          <w:sz w:val="36"/>
          <w:szCs w:val="36"/>
        </w:rPr>
        <w:t>.附录</w:t>
      </w:r>
      <w:bookmarkEnd w:id="52"/>
    </w:p>
    <w:p w14:paraId="2E955F59" w14:textId="2C80E83F" w:rsidR="009B0704" w:rsidRPr="00157396" w:rsidRDefault="009B0704" w:rsidP="00A44FB8">
      <w:pPr>
        <w:pStyle w:val="2"/>
        <w:jc w:val="both"/>
        <w:rPr>
          <w:rFonts w:ascii="楷体" w:eastAsia="楷体" w:hAnsi="楷体" w:hint="eastAsia"/>
          <w:color w:val="000000" w:themeColor="text1"/>
          <w:sz w:val="32"/>
          <w:szCs w:val="32"/>
        </w:rPr>
      </w:pPr>
      <w:bookmarkStart w:id="53" w:name="_Toc228444801"/>
      <w:r w:rsidRPr="00157396">
        <w:rPr>
          <w:rFonts w:ascii="楷体" w:eastAsia="楷体" w:hAnsi="楷体" w:hint="eastAsia"/>
          <w:color w:val="000000" w:themeColor="text1"/>
          <w:sz w:val="32"/>
          <w:szCs w:val="32"/>
        </w:rPr>
        <w:t>5.1 技术原理</w:t>
      </w:r>
      <w:bookmarkEnd w:id="53"/>
    </w:p>
    <w:p w14:paraId="337795A7" w14:textId="77777777" w:rsidR="009B0704" w:rsidRPr="00660147" w:rsidRDefault="009B0704" w:rsidP="00A44FB8">
      <w:pPr>
        <w:pStyle w:val="FirstParagraph"/>
        <w:jc w:val="both"/>
        <w:rPr>
          <w:rFonts w:ascii="楷体" w:eastAsia="楷体" w:hAnsi="楷体" w:hint="eastAsia"/>
          <w:color w:val="000000" w:themeColor="text1"/>
          <w:lang w:eastAsia="zh-CN"/>
        </w:rPr>
      </w:pPr>
      <w:r w:rsidRPr="00660147">
        <w:rPr>
          <w:rFonts w:ascii="楷体" w:eastAsia="楷体" w:hAnsi="楷体"/>
          <w:color w:val="000000" w:themeColor="text1"/>
          <w:szCs w:val="22"/>
          <w:lang w:eastAsia="zh-CN"/>
        </w:rPr>
        <w:t>起点（2017）其技术本质根植于</w:t>
      </w:r>
      <w:r w:rsidRPr="00660147">
        <w:rPr>
          <w:rFonts w:ascii="楷体" w:eastAsia="楷体" w:hAnsi="楷体"/>
          <w:color w:val="000000" w:themeColor="text1"/>
          <w:lang w:eastAsia="zh-CN"/>
        </w:rPr>
        <w:t>Transformer架构的自注意力机制</w:t>
      </w:r>
      <w:r w:rsidRPr="00660147">
        <w:rPr>
          <w:rFonts w:ascii="楷体" w:eastAsia="楷体" w:hAnsi="楷体"/>
          <w:color w:val="000000" w:themeColor="text1"/>
          <w:szCs w:val="22"/>
          <w:lang w:eastAsia="zh-CN"/>
        </w:rPr>
        <w:t>与</w:t>
      </w:r>
      <w:r w:rsidRPr="00660147">
        <w:rPr>
          <w:rFonts w:ascii="楷体" w:eastAsia="楷体" w:hAnsi="楷体"/>
          <w:color w:val="000000" w:themeColor="text1"/>
          <w:lang w:eastAsia="zh-CN"/>
        </w:rPr>
        <w:t>大规模预训练范式</w:t>
      </w:r>
      <w:r w:rsidRPr="00660147">
        <w:rPr>
          <w:rFonts w:ascii="楷体" w:eastAsia="楷体" w:hAnsi="楷体"/>
          <w:color w:val="000000" w:themeColor="text1"/>
          <w:szCs w:val="22"/>
          <w:lang w:eastAsia="zh-CN"/>
        </w:rPr>
        <w:t>。Transformer架构由Vaswani等人于2017年提出，通过自注意力机制（Self-Attention）实现了序列数据的并行处理，彻底改变了自然语言处理的技术范式。</w:t>
      </w:r>
    </w:p>
    <w:p w14:paraId="0DB4E39D" w14:textId="77777777" w:rsidR="009B0704" w:rsidRPr="00660147" w:rsidRDefault="009B0704" w:rsidP="00A44FB8">
      <w:pPr>
        <w:pStyle w:val="FirstParagraph"/>
        <w:jc w:val="both"/>
        <w:rPr>
          <w:rFonts w:ascii="楷体" w:eastAsia="楷体" w:hAnsi="楷体" w:hint="eastAsia"/>
          <w:color w:val="000000" w:themeColor="text1"/>
          <w:lang w:eastAsia="zh-CN"/>
        </w:rPr>
      </w:pPr>
      <w:r w:rsidRPr="00660147">
        <w:rPr>
          <w:rFonts w:ascii="楷体" w:eastAsia="楷体" w:hAnsi="楷体"/>
          <w:noProof/>
          <w:color w:val="000000" w:themeColor="text1"/>
          <w:lang w:eastAsia="zh-CN"/>
        </w:rPr>
        <w:drawing>
          <wp:inline distT="0" distB="0" distL="0" distR="0" wp14:anchorId="18295B6B" wp14:editId="05A4C4FB">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6F8CBD7F" w14:textId="77777777" w:rsidR="009B0704" w:rsidRPr="00660147" w:rsidRDefault="009B0704" w:rsidP="00A44FB8">
      <w:pPr>
        <w:jc w:val="both"/>
        <w:rPr>
          <w:rFonts w:ascii="楷体" w:eastAsia="楷体" w:hAnsi="楷体" w:cs="Times New Roman (正文 CS 字体)" w:hint="eastAsia"/>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根节点与范式确立（2017-2020）：Transformer架构的提出是决定性起点，其自注意力机制实现了序列数据的并行处理，为模型规模指数级扩展提供了基础，直接催生了Scaling Law（规模定律）。随后，BERT和GPT分别确立了“预训练+微调”的范式，证明了大规模预训练模型的可迁移性，降低了下游任务的应用门槛。</w:t>
      </w:r>
    </w:p>
    <w:p w14:paraId="054EAB93" w14:textId="77777777" w:rsidR="009B0704" w:rsidRPr="00660147" w:rsidRDefault="009B0704" w:rsidP="00A44FB8">
      <w:pPr>
        <w:jc w:val="both"/>
        <w:rPr>
          <w:rFonts w:ascii="楷体" w:eastAsia="楷体" w:hAnsi="楷体" w:cs="Times New Roman (正文 CS 字体)" w:hint="eastAsia"/>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应用爆发与对齐技术（2021-2022）：GPT-3展示了少样本学习的潜力，而ChatGPT的推出标志着大模型进入公众视野。这一阶段的核心进展是后训练对齐技术的成熟，特别是监督微调（SFT）和基于人类反馈的强化学习（RLHF）的广泛应用，解决了模型输出与人类意图、安全性对齐的关键问题，大幅提升了模型的可用性和可靠性。</w:t>
      </w:r>
    </w:p>
    <w:p w14:paraId="3618D263" w14:textId="77777777" w:rsidR="009B0704" w:rsidRPr="00660147" w:rsidRDefault="009B0704" w:rsidP="00A44FB8">
      <w:pPr>
        <w:jc w:val="both"/>
        <w:rPr>
          <w:rFonts w:ascii="楷体" w:eastAsia="楷体" w:hAnsi="楷体" w:cs="Times New Roman (正文 CS 字体)" w:hint="eastAsia"/>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多模态与推理深化（2023年至今）：技术焦点转向多模态统一（文本、图像、音频、视频）和深度推理能力。模型从单一模态生成迈向跨模态理解与生成，并出</w:t>
      </w:r>
      <w:r w:rsidRPr="00660147">
        <w:rPr>
          <w:rFonts w:ascii="楷体" w:eastAsia="楷体" w:hAnsi="楷体" w:cs="Times New Roman (正文 CS 字体)" w:hint="eastAsia"/>
          <w:color w:val="000000" w:themeColor="text1"/>
          <w:sz w:val="24"/>
          <w:szCs w:val="22"/>
        </w:rPr>
        <w:lastRenderedPageBreak/>
        <w:t>现了专门强化逻辑推理的“慢思考”模型（如OpenAI o系列、DeepSeek R1）。同时，开源生态崛起，以DeepSeek为代表的开源模型通过MoE等架构创新，在实现高性能的同时显著降低了成本，推动了技术的民主化</w:t>
      </w:r>
    </w:p>
    <w:p w14:paraId="714BEB57" w14:textId="77777777" w:rsidR="009B0704" w:rsidRPr="00660147" w:rsidRDefault="009B0704" w:rsidP="00A44FB8">
      <w:pPr>
        <w:jc w:val="both"/>
        <w:rPr>
          <w:rFonts w:ascii="楷体" w:eastAsia="楷体" w:hAnsi="楷体" w:cs="Times New Roman (正文 CS 字体)" w:hint="eastAsia"/>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从工程流程上，现代大模型的研发是一个高度工程化、分阶段的系统性过程，需要经历数据准备，架构设计，预训练，后训练，推理部署五个流程：</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9"/>
        <w:gridCol w:w="2673"/>
        <w:gridCol w:w="3740"/>
      </w:tblGrid>
      <w:tr w:rsidR="009B0704" w:rsidRPr="00660147" w14:paraId="125D600E" w14:textId="77777777" w:rsidTr="000746E9">
        <w:trPr>
          <w:tblHeader/>
        </w:trPr>
        <w:tc>
          <w:tcPr>
            <w:tcW w:w="1584" w:type="dxa"/>
            <w:shd w:val="clear" w:color="auto" w:fill="F5F5F5"/>
            <w:tcMar>
              <w:top w:w="135" w:type="dxa"/>
              <w:left w:w="180" w:type="dxa"/>
              <w:bottom w:w="135" w:type="dxa"/>
              <w:right w:w="180" w:type="dxa"/>
            </w:tcMar>
            <w:vAlign w:val="center"/>
            <w:hideMark/>
          </w:tcPr>
          <w:p w14:paraId="08905E79" w14:textId="77777777" w:rsidR="009B0704" w:rsidRPr="00660147" w:rsidRDefault="009B0704" w:rsidP="00A44FB8">
            <w:pPr>
              <w:jc w:val="both"/>
              <w:rPr>
                <w:rFonts w:ascii="楷体" w:eastAsia="楷体" w:hAnsi="楷体" w:hint="eastAsia"/>
                <w:color w:val="000000" w:themeColor="text1"/>
              </w:rPr>
            </w:pPr>
            <w:r w:rsidRPr="00660147">
              <w:rPr>
                <w:rFonts w:ascii="楷体" w:eastAsia="楷体" w:hAnsi="楷体" w:hint="eastAsia"/>
                <w:color w:val="000000" w:themeColor="text1"/>
                <w:szCs w:val="22"/>
              </w:rPr>
              <w:t>阶段</w:t>
            </w:r>
          </w:p>
        </w:tc>
        <w:tc>
          <w:tcPr>
            <w:tcW w:w="1357" w:type="auto"/>
            <w:shd w:val="clear" w:color="auto" w:fill="F5F5F5"/>
            <w:tcMar>
              <w:top w:w="135" w:type="dxa"/>
              <w:left w:w="180" w:type="dxa"/>
              <w:bottom w:w="135" w:type="dxa"/>
              <w:right w:w="180" w:type="dxa"/>
            </w:tcMar>
            <w:vAlign w:val="center"/>
            <w:hideMark/>
          </w:tcPr>
          <w:p w14:paraId="2584F0CB" w14:textId="77777777" w:rsidR="009B0704" w:rsidRPr="00660147" w:rsidRDefault="009B0704" w:rsidP="00A44FB8">
            <w:pPr>
              <w:jc w:val="both"/>
              <w:rPr>
                <w:rFonts w:ascii="楷体" w:eastAsia="楷体" w:hAnsi="楷体" w:hint="eastAsia"/>
                <w:color w:val="000000" w:themeColor="text1"/>
              </w:rPr>
            </w:pPr>
            <w:r w:rsidRPr="00660147">
              <w:rPr>
                <w:rFonts w:ascii="楷体" w:eastAsia="楷体" w:hAnsi="楷体" w:hint="eastAsia"/>
                <w:color w:val="000000" w:themeColor="text1"/>
                <w:szCs w:val="22"/>
              </w:rPr>
              <w:t>核心任务</w:t>
            </w:r>
          </w:p>
        </w:tc>
        <w:tc>
          <w:tcPr>
            <w:tcW w:w="2675" w:type="auto"/>
            <w:shd w:val="clear" w:color="auto" w:fill="F5F5F5"/>
            <w:tcMar>
              <w:top w:w="135" w:type="dxa"/>
              <w:left w:w="180" w:type="dxa"/>
              <w:bottom w:w="135" w:type="dxa"/>
              <w:right w:w="180" w:type="dxa"/>
            </w:tcMar>
            <w:vAlign w:val="center"/>
            <w:hideMark/>
          </w:tcPr>
          <w:p w14:paraId="7816755B" w14:textId="77777777" w:rsidR="009B0704" w:rsidRPr="00660147" w:rsidRDefault="009B0704" w:rsidP="00A44FB8">
            <w:pPr>
              <w:jc w:val="both"/>
              <w:rPr>
                <w:rFonts w:ascii="楷体" w:eastAsia="楷体" w:hAnsi="楷体" w:hint="eastAsia"/>
                <w:color w:val="000000" w:themeColor="text1"/>
              </w:rPr>
            </w:pPr>
            <w:r w:rsidRPr="00660147">
              <w:rPr>
                <w:rFonts w:ascii="楷体" w:eastAsia="楷体" w:hAnsi="楷体" w:hint="eastAsia"/>
                <w:color w:val="000000" w:themeColor="text1"/>
                <w:szCs w:val="22"/>
              </w:rPr>
              <w:t>关键输入</w:t>
            </w:r>
          </w:p>
        </w:tc>
        <w:tc>
          <w:tcPr>
            <w:tcW w:w="3740" w:type="dxa"/>
            <w:shd w:val="clear" w:color="auto" w:fill="F5F5F5"/>
            <w:tcMar>
              <w:top w:w="135" w:type="dxa"/>
              <w:left w:w="180" w:type="dxa"/>
              <w:bottom w:w="135" w:type="dxa"/>
              <w:right w:w="180" w:type="dxa"/>
            </w:tcMar>
            <w:vAlign w:val="center"/>
            <w:hideMark/>
          </w:tcPr>
          <w:p w14:paraId="10A12D8E" w14:textId="77777777" w:rsidR="009B0704" w:rsidRPr="00660147" w:rsidRDefault="009B0704" w:rsidP="00A44FB8">
            <w:pPr>
              <w:jc w:val="both"/>
              <w:rPr>
                <w:rFonts w:ascii="楷体" w:eastAsia="楷体" w:hAnsi="楷体" w:hint="eastAsia"/>
                <w:color w:val="000000" w:themeColor="text1"/>
              </w:rPr>
            </w:pPr>
            <w:r w:rsidRPr="00660147">
              <w:rPr>
                <w:rFonts w:ascii="楷体" w:eastAsia="楷体" w:hAnsi="楷体" w:hint="eastAsia"/>
                <w:color w:val="000000" w:themeColor="text1"/>
                <w:szCs w:val="22"/>
              </w:rPr>
              <w:t>主要挑战与目标</w:t>
            </w:r>
          </w:p>
        </w:tc>
      </w:tr>
      <w:tr w:rsidR="009B0704" w:rsidRPr="00660147" w14:paraId="5A4858D9" w14:textId="77777777" w:rsidTr="000746E9">
        <w:tc>
          <w:tcPr>
            <w:tcW w:w="1584" w:type="dxa"/>
            <w:shd w:val="clear" w:color="auto" w:fill="FFFFFF"/>
            <w:tcMar>
              <w:top w:w="135" w:type="dxa"/>
              <w:left w:w="180" w:type="dxa"/>
              <w:bottom w:w="135" w:type="dxa"/>
              <w:right w:w="180" w:type="dxa"/>
            </w:tcMar>
            <w:vAlign w:val="center"/>
            <w:hideMark/>
          </w:tcPr>
          <w:p w14:paraId="233AA6CB"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数据准备</w:t>
            </w:r>
          </w:p>
        </w:tc>
        <w:tc>
          <w:tcPr>
            <w:tcW w:w="1357" w:type="auto"/>
            <w:shd w:val="clear" w:color="auto" w:fill="FFFFFF"/>
            <w:tcMar>
              <w:top w:w="135" w:type="dxa"/>
              <w:left w:w="180" w:type="dxa"/>
              <w:bottom w:w="135" w:type="dxa"/>
              <w:right w:w="180" w:type="dxa"/>
            </w:tcMar>
            <w:vAlign w:val="center"/>
            <w:hideMark/>
          </w:tcPr>
          <w:p w14:paraId="1C1D8BF2"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构建高质量训练数据集</w:t>
            </w:r>
          </w:p>
        </w:tc>
        <w:tc>
          <w:tcPr>
            <w:tcW w:w="2675" w:type="auto"/>
            <w:shd w:val="clear" w:color="auto" w:fill="FFFFFF"/>
            <w:tcMar>
              <w:top w:w="135" w:type="dxa"/>
              <w:left w:w="180" w:type="dxa"/>
              <w:bottom w:w="135" w:type="dxa"/>
              <w:right w:w="180" w:type="dxa"/>
            </w:tcMar>
            <w:vAlign w:val="center"/>
            <w:hideMark/>
          </w:tcPr>
          <w:p w14:paraId="348E805B"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多模态、多语言原始数据</w:t>
            </w:r>
          </w:p>
        </w:tc>
        <w:tc>
          <w:tcPr>
            <w:tcW w:w="3740" w:type="dxa"/>
            <w:shd w:val="clear" w:color="auto" w:fill="FFFFFF"/>
            <w:tcMar>
              <w:top w:w="135" w:type="dxa"/>
              <w:left w:w="180" w:type="dxa"/>
              <w:bottom w:w="135" w:type="dxa"/>
              <w:right w:w="180" w:type="dxa"/>
            </w:tcMar>
            <w:vAlign w:val="center"/>
            <w:hideMark/>
          </w:tcPr>
          <w:p w14:paraId="59DEFACC"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数据清洗、去噪、质量评估；确保数据代表性与多样性。</w:t>
            </w:r>
          </w:p>
        </w:tc>
      </w:tr>
      <w:tr w:rsidR="009B0704" w:rsidRPr="00660147" w14:paraId="554D9661" w14:textId="77777777" w:rsidTr="000746E9">
        <w:tc>
          <w:tcPr>
            <w:tcW w:w="1584" w:type="dxa"/>
            <w:shd w:val="clear" w:color="auto" w:fill="FFFFFF"/>
            <w:tcMar>
              <w:top w:w="135" w:type="dxa"/>
              <w:left w:w="180" w:type="dxa"/>
              <w:bottom w:w="135" w:type="dxa"/>
              <w:right w:w="180" w:type="dxa"/>
            </w:tcMar>
            <w:vAlign w:val="center"/>
            <w:hideMark/>
          </w:tcPr>
          <w:p w14:paraId="24855686"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架构设计</w:t>
            </w:r>
          </w:p>
        </w:tc>
        <w:tc>
          <w:tcPr>
            <w:tcW w:w="1357" w:type="auto"/>
            <w:shd w:val="clear" w:color="auto" w:fill="FFFFFF"/>
            <w:tcMar>
              <w:top w:w="135" w:type="dxa"/>
              <w:left w:w="180" w:type="dxa"/>
              <w:bottom w:w="135" w:type="dxa"/>
              <w:right w:w="180" w:type="dxa"/>
            </w:tcMar>
            <w:vAlign w:val="center"/>
            <w:hideMark/>
          </w:tcPr>
          <w:p w14:paraId="2A55166B"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确定模型基础结构</w:t>
            </w:r>
          </w:p>
        </w:tc>
        <w:tc>
          <w:tcPr>
            <w:tcW w:w="2675" w:type="auto"/>
            <w:shd w:val="clear" w:color="auto" w:fill="FFFFFF"/>
            <w:tcMar>
              <w:top w:w="135" w:type="dxa"/>
              <w:left w:w="180" w:type="dxa"/>
              <w:bottom w:w="135" w:type="dxa"/>
              <w:right w:w="180" w:type="dxa"/>
            </w:tcMar>
            <w:vAlign w:val="center"/>
            <w:hideMark/>
          </w:tcPr>
          <w:p w14:paraId="1D49C224"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Transformer及变体（MoE, 稀疏注意力）</w:t>
            </w:r>
          </w:p>
        </w:tc>
        <w:tc>
          <w:tcPr>
            <w:tcW w:w="3740" w:type="dxa"/>
            <w:shd w:val="clear" w:color="auto" w:fill="FFFFFF"/>
            <w:tcMar>
              <w:top w:w="135" w:type="dxa"/>
              <w:left w:w="180" w:type="dxa"/>
              <w:bottom w:w="135" w:type="dxa"/>
              <w:right w:w="180" w:type="dxa"/>
            </w:tcMar>
            <w:vAlign w:val="center"/>
            <w:hideMark/>
          </w:tcPr>
          <w:p w14:paraId="31A9AC8E"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平衡参数规模、训练/推理效率与长期成本；支持长上下文与多模态。</w:t>
            </w:r>
          </w:p>
        </w:tc>
      </w:tr>
      <w:tr w:rsidR="009B0704" w:rsidRPr="00660147" w14:paraId="6D5C2DB5" w14:textId="77777777" w:rsidTr="000746E9">
        <w:tc>
          <w:tcPr>
            <w:tcW w:w="1584" w:type="dxa"/>
            <w:shd w:val="clear" w:color="auto" w:fill="FFFFFF"/>
            <w:tcMar>
              <w:top w:w="135" w:type="dxa"/>
              <w:left w:w="180" w:type="dxa"/>
              <w:bottom w:w="135" w:type="dxa"/>
              <w:right w:w="180" w:type="dxa"/>
            </w:tcMar>
            <w:vAlign w:val="center"/>
            <w:hideMark/>
          </w:tcPr>
          <w:p w14:paraId="1C8EFC6E"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预训练</w:t>
            </w:r>
          </w:p>
        </w:tc>
        <w:tc>
          <w:tcPr>
            <w:tcW w:w="1357" w:type="auto"/>
            <w:shd w:val="clear" w:color="auto" w:fill="FFFFFF"/>
            <w:tcMar>
              <w:top w:w="135" w:type="dxa"/>
              <w:left w:w="180" w:type="dxa"/>
              <w:bottom w:w="135" w:type="dxa"/>
              <w:right w:w="180" w:type="dxa"/>
            </w:tcMar>
            <w:vAlign w:val="center"/>
            <w:hideMark/>
          </w:tcPr>
          <w:p w14:paraId="3476BEBC"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学习通用统计规律</w:t>
            </w:r>
          </w:p>
        </w:tc>
        <w:tc>
          <w:tcPr>
            <w:tcW w:w="2675" w:type="auto"/>
            <w:shd w:val="clear" w:color="auto" w:fill="FFFFFF"/>
            <w:tcMar>
              <w:top w:w="135" w:type="dxa"/>
              <w:left w:w="180" w:type="dxa"/>
              <w:bottom w:w="135" w:type="dxa"/>
              <w:right w:w="180" w:type="dxa"/>
            </w:tcMar>
            <w:vAlign w:val="center"/>
            <w:hideMark/>
          </w:tcPr>
          <w:p w14:paraId="4A8003AB"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大规模无监督/弱监督数据</w:t>
            </w:r>
          </w:p>
        </w:tc>
        <w:tc>
          <w:tcPr>
            <w:tcW w:w="3740" w:type="dxa"/>
            <w:shd w:val="clear" w:color="auto" w:fill="FFFFFF"/>
            <w:tcMar>
              <w:top w:w="135" w:type="dxa"/>
              <w:left w:w="180" w:type="dxa"/>
              <w:bottom w:w="135" w:type="dxa"/>
              <w:right w:w="180" w:type="dxa"/>
            </w:tcMar>
            <w:vAlign w:val="center"/>
            <w:hideMark/>
          </w:tcPr>
          <w:p w14:paraId="2C199B01"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极高的算力消耗与时间成本；是模型知识的主要来源。</w:t>
            </w:r>
          </w:p>
        </w:tc>
      </w:tr>
      <w:tr w:rsidR="009B0704" w:rsidRPr="00660147" w14:paraId="0810F52C" w14:textId="77777777" w:rsidTr="000746E9">
        <w:tc>
          <w:tcPr>
            <w:tcW w:w="1584" w:type="dxa"/>
            <w:shd w:val="clear" w:color="auto" w:fill="FFFFFF"/>
            <w:tcMar>
              <w:top w:w="135" w:type="dxa"/>
              <w:left w:w="180" w:type="dxa"/>
              <w:bottom w:w="135" w:type="dxa"/>
              <w:right w:w="180" w:type="dxa"/>
            </w:tcMar>
            <w:vAlign w:val="center"/>
            <w:hideMark/>
          </w:tcPr>
          <w:p w14:paraId="04526960"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后训练与对齐</w:t>
            </w:r>
          </w:p>
        </w:tc>
        <w:tc>
          <w:tcPr>
            <w:tcW w:w="1357" w:type="auto"/>
            <w:shd w:val="clear" w:color="auto" w:fill="FFFFFF"/>
            <w:tcMar>
              <w:top w:w="135" w:type="dxa"/>
              <w:left w:w="180" w:type="dxa"/>
              <w:bottom w:w="135" w:type="dxa"/>
              <w:right w:w="180" w:type="dxa"/>
            </w:tcMar>
            <w:vAlign w:val="center"/>
            <w:hideMark/>
          </w:tcPr>
          <w:p w14:paraId="68A13BA6"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使模型符合人类意图</w:t>
            </w:r>
          </w:p>
        </w:tc>
        <w:tc>
          <w:tcPr>
            <w:tcW w:w="2675" w:type="auto"/>
            <w:shd w:val="clear" w:color="auto" w:fill="FFFFFF"/>
            <w:tcMar>
              <w:top w:w="135" w:type="dxa"/>
              <w:left w:w="180" w:type="dxa"/>
              <w:bottom w:w="135" w:type="dxa"/>
              <w:right w:w="180" w:type="dxa"/>
            </w:tcMar>
            <w:vAlign w:val="center"/>
            <w:hideMark/>
          </w:tcPr>
          <w:p w14:paraId="0C7A3CDA"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人工标注数据、人类偏好反馈</w:t>
            </w:r>
          </w:p>
        </w:tc>
        <w:tc>
          <w:tcPr>
            <w:tcW w:w="3740" w:type="dxa"/>
            <w:shd w:val="clear" w:color="auto" w:fill="FFFFFF"/>
            <w:tcMar>
              <w:top w:w="135" w:type="dxa"/>
              <w:left w:w="180" w:type="dxa"/>
              <w:bottom w:w="135" w:type="dxa"/>
              <w:right w:w="180" w:type="dxa"/>
            </w:tcMar>
            <w:vAlign w:val="center"/>
            <w:hideMark/>
          </w:tcPr>
          <w:p w14:paraId="487D401A"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提升模型的安全性、可靠性与可用性；实现价值观对齐。</w:t>
            </w:r>
          </w:p>
        </w:tc>
      </w:tr>
      <w:tr w:rsidR="009B0704" w:rsidRPr="00660147" w14:paraId="2F457F17" w14:textId="77777777" w:rsidTr="000746E9">
        <w:tc>
          <w:tcPr>
            <w:tcW w:w="1584" w:type="dxa"/>
            <w:shd w:val="clear" w:color="auto" w:fill="FFFFFF"/>
            <w:tcMar>
              <w:top w:w="135" w:type="dxa"/>
              <w:left w:w="180" w:type="dxa"/>
              <w:bottom w:w="135" w:type="dxa"/>
              <w:right w:w="180" w:type="dxa"/>
            </w:tcMar>
            <w:vAlign w:val="center"/>
            <w:hideMark/>
          </w:tcPr>
          <w:p w14:paraId="0D9A56A7"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推理部署</w:t>
            </w:r>
          </w:p>
        </w:tc>
        <w:tc>
          <w:tcPr>
            <w:tcW w:w="1357" w:type="auto"/>
            <w:shd w:val="clear" w:color="auto" w:fill="FFFFFF"/>
            <w:tcMar>
              <w:top w:w="135" w:type="dxa"/>
              <w:left w:w="180" w:type="dxa"/>
              <w:bottom w:w="135" w:type="dxa"/>
              <w:right w:w="180" w:type="dxa"/>
            </w:tcMar>
            <w:vAlign w:val="center"/>
            <w:hideMark/>
          </w:tcPr>
          <w:p w14:paraId="74FB0AF3"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提供实时模型服务</w:t>
            </w:r>
          </w:p>
        </w:tc>
        <w:tc>
          <w:tcPr>
            <w:tcW w:w="2675" w:type="auto"/>
            <w:shd w:val="clear" w:color="auto" w:fill="FFFFFF"/>
            <w:tcMar>
              <w:top w:w="135" w:type="dxa"/>
              <w:left w:w="180" w:type="dxa"/>
              <w:bottom w:w="135" w:type="dxa"/>
              <w:right w:w="180" w:type="dxa"/>
            </w:tcMar>
            <w:vAlign w:val="center"/>
            <w:hideMark/>
          </w:tcPr>
          <w:p w14:paraId="5DDFF4A7"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用户查询（Prompts）</w:t>
            </w:r>
          </w:p>
        </w:tc>
        <w:tc>
          <w:tcPr>
            <w:tcW w:w="3740" w:type="dxa"/>
            <w:shd w:val="clear" w:color="auto" w:fill="FFFFFF"/>
            <w:tcMar>
              <w:top w:w="135" w:type="dxa"/>
              <w:left w:w="180" w:type="dxa"/>
              <w:bottom w:w="135" w:type="dxa"/>
              <w:right w:w="180" w:type="dxa"/>
            </w:tcMar>
            <w:vAlign w:val="center"/>
            <w:hideMark/>
          </w:tcPr>
          <w:p w14:paraId="73B9858E" w14:textId="77777777" w:rsidR="009B0704" w:rsidRPr="00660147" w:rsidRDefault="009B0704" w:rsidP="00774D99">
            <w:pPr>
              <w:jc w:val="both"/>
              <w:rPr>
                <w:rFonts w:ascii="楷体" w:eastAsia="楷体" w:hAnsi="楷体" w:hint="eastAsia"/>
                <w:color w:val="000000" w:themeColor="text1"/>
              </w:rPr>
            </w:pPr>
            <w:r w:rsidRPr="00660147">
              <w:rPr>
                <w:rFonts w:ascii="楷体" w:eastAsia="楷体" w:hAnsi="楷体" w:hint="eastAsia"/>
                <w:color w:val="000000" w:themeColor="text1"/>
                <w:szCs w:val="22"/>
              </w:rPr>
              <w:t>优化延迟、并发与成本效率；是价值转化的最终环节。</w:t>
            </w:r>
          </w:p>
        </w:tc>
      </w:tr>
    </w:tbl>
    <w:p w14:paraId="6479C55D" w14:textId="77777777" w:rsidR="009B0704" w:rsidRPr="00660147" w:rsidRDefault="009B0704" w:rsidP="00774D99">
      <w:pPr>
        <w:jc w:val="both"/>
        <w:rPr>
          <w:rFonts w:ascii="楷体" w:eastAsia="楷体" w:hAnsi="楷体" w:hint="eastAsia"/>
          <w:color w:val="000000" w:themeColor="text1"/>
        </w:rPr>
      </w:pPr>
    </w:p>
    <w:p w14:paraId="05D58BDE" w14:textId="70EA92B8" w:rsidR="002B152A" w:rsidRPr="00A67E74" w:rsidRDefault="009B0704" w:rsidP="00774D99">
      <w:pPr>
        <w:pStyle w:val="2"/>
        <w:jc w:val="both"/>
        <w:rPr>
          <w:rFonts w:ascii="楷体" w:eastAsia="楷体" w:hAnsi="楷体" w:hint="eastAsia"/>
          <w:color w:val="000000" w:themeColor="text1"/>
          <w:sz w:val="32"/>
          <w:szCs w:val="32"/>
        </w:rPr>
      </w:pPr>
      <w:bookmarkStart w:id="54" w:name="_Toc228444802"/>
      <w:r w:rsidRPr="00A67E74">
        <w:rPr>
          <w:rFonts w:ascii="楷体" w:eastAsia="楷体" w:hAnsi="楷体" w:hint="eastAsia"/>
          <w:color w:val="000000" w:themeColor="text1"/>
          <w:sz w:val="32"/>
          <w:szCs w:val="32"/>
        </w:rPr>
        <w:t xml:space="preserve">5.2 </w:t>
      </w:r>
      <w:r w:rsidR="002B152A" w:rsidRPr="00A67E74">
        <w:rPr>
          <w:rFonts w:ascii="楷体" w:eastAsia="楷体" w:hAnsi="楷体" w:hint="eastAsia"/>
          <w:color w:val="000000" w:themeColor="text1"/>
          <w:sz w:val="32"/>
          <w:szCs w:val="32"/>
        </w:rPr>
        <w:t>技术历史与突破过程</w:t>
      </w:r>
      <w:bookmarkEnd w:id="54"/>
      <w:r w:rsidR="002B152A" w:rsidRPr="00A67E74">
        <w:rPr>
          <w:rFonts w:ascii="楷体" w:eastAsia="楷体" w:hAnsi="楷体" w:hint="eastAsia"/>
          <w:color w:val="000000" w:themeColor="text1"/>
          <w:sz w:val="32"/>
          <w:szCs w:val="32"/>
        </w:rPr>
        <w:t xml:space="preserve"> </w:t>
      </w:r>
    </w:p>
    <w:p w14:paraId="6C6365F7"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一、RNN 时代：循环结构的统治与内在瓶颈</w:t>
      </w:r>
    </w:p>
    <w:p w14:paraId="3AC2FC1D"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在深度学习介入自然语言处理的早期阶段，循环神经网络（RNN）及其改进变体长短期记忆网络（LSTM）与门控循环单元（GRU）构成了主流技术范式。其核心机制在于按时间</w:t>
      </w:r>
      <w:r w:rsidRPr="00660147">
        <w:rPr>
          <w:rFonts w:ascii="楷体" w:eastAsia="楷体" w:hAnsi="楷体" w:hint="eastAsia"/>
          <w:color w:val="000000" w:themeColor="text1"/>
        </w:rPr>
        <w:lastRenderedPageBreak/>
        <w:t>步逐个处理输入 token，通过隐藏状态向量传递历史信息。</w:t>
      </w:r>
    </w:p>
    <w:p w14:paraId="654EB0A9"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并行加速能力无法充分利用。其三，所有历史信息被压缩至固定维度的隐藏向量中，远期信息的保真度随距离增加而指数级衰减。</w:t>
      </w:r>
    </w:p>
    <w:p w14:paraId="16DC3237"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二、2017 年：Transformer 的诞生与注意力机制的确立</w:t>
      </w:r>
    </w:p>
    <w:p w14:paraId="63049E5E"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2017 年 6 月，Google 发表重要论文论文Attention Is All You Need，正式提出 Transformer 架构，彻底摒弃了循环结构。</w:t>
      </w:r>
    </w:p>
    <w:p w14:paraId="433C668C"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该架构的核心创新在于自注意力机制（Self-Attention）。在这一机制下，序列中的每个 token 均可直接与所有其他 token 建立关联，关联强度通过缩放点积注意力计算得出。这意味着无论两个 token 在序列中相距多远，其信息交互都只需一步矩阵运算即可完成，从根本上解除了距离对信息传递的制约。</w:t>
      </w:r>
    </w:p>
    <w:p w14:paraId="7F36DFFF"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三、架构分化：三条预训练范式的形成（2018–2019）</w:t>
      </w:r>
    </w:p>
    <w:p w14:paraId="5DF0CE80"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Transformer问世后，其编码器-解码器结构被迅速拆解，演化出三种差异化的预训练路线。</w:t>
      </w:r>
    </w:p>
    <w:p w14:paraId="7A2EF99C"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第一条路线为编码器-only 架构，以 BERT（2018）为代表。该路线采用掩码语言模型（Masked Language Modeling）作为预训练目标，随机遮蔽输入序列中的部分 token，要求模型基于双向上下文进行预测。这一机制使模型在文本理解、分类与信息抽取任务上表现突出，但自回归生成能力相对受限。</w:t>
      </w:r>
    </w:p>
    <w:p w14:paraId="772AD233"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第二条路线为解码器-only 架构，以 GPT 系列为代表。该路线采用因果掩码（Causal Masking），强制模型从左至右逐词预测。这种自回归机制使生成流畅度显著提升，且后续被证明是 Scaling Law 表现最为显著的架构形态。此后的大模型浪潮，包括 GPT-4、Claude、Llama 及 DeepSeek 系列，均沿用了这一路线。</w:t>
      </w:r>
    </w:p>
    <w:p w14:paraId="40CEEA89"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lastRenderedPageBreak/>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四、规模革命：Scaling Law 与涌现能力（2020–2022）</w:t>
      </w:r>
    </w:p>
    <w:p w14:paraId="23AEC2B2"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OpenAI 发布的 GPT-3（1750 亿参数）验证了 Scaling Law 的有效性：当模型参数量、训练数据量与算力投入同步指数级增长时，模型能力会出现非线性的"涌现"现象，即在某一规模阈值后突然具备小模型无法实现的复杂能力。</w:t>
      </w:r>
    </w:p>
    <w:p w14:paraId="026FDBCB"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这一阶段的技术基础设施也趋于成熟。NVIDIA A100 等专用加速器、Megatron-LM 与 DeepSpeed 等分布式训练框架，以及模型并行与流水线并行技术，使万亿参数级别的训练成为可能。上下文窗口从早期的 2K 逐步扩展，少样本学习（Few-shot Learning）能力使模型无需微调即可通过提示词完成新任务。至此，大模型的性质发生根本转变：它不再仅是算法创新，而是算力、数据与系统工程的综合产物。</w:t>
      </w:r>
    </w:p>
    <w:p w14:paraId="184FA5E8"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五、对齐时代：从文本续写到意图遵循（2022–2023）</w:t>
      </w:r>
    </w:p>
    <w:p w14:paraId="429C80BD"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纯自回归模型存在生成有害内容、偏见言论及无效输出的倾向。2022 至 2023 年间，研究重心转向对齐技术（Alignment），旨在使模型输出符合人类意图与价值偏好。</w:t>
      </w:r>
    </w:p>
    <w:p w14:paraId="090399C5"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2022 年 11 月 ChatGPT 的发布标志着 Transformer 从技术演示转向产品化应用，对话式交互成为主流形态。</w:t>
      </w:r>
    </w:p>
    <w:p w14:paraId="22CE14B6"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六、效率与长上下文：突破二次复杂度约束（2023–2024）</w:t>
      </w:r>
    </w:p>
    <w:p w14:paraId="56FD4768"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标准自注意力的计算复杂度为序列长度的平方级 O(n^2)，即上下文窗口翻倍将导致算力消耗增至四倍。这一特性构成 Transformer 最核心的工程瓶颈，催生了多条优化路线。</w:t>
      </w:r>
    </w:p>
    <w:p w14:paraId="4DA950F3"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稀疏注意力（Sparse Attention）通过限制每个 token 的交互范围，将复杂度降至线性或次线性级别，代表性工作包括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lastRenderedPageBreak/>
        <w:t>位置编码层面，RoPE、ALiBi 与 xPos 等方案改善了模型对长距离相对位置的感知与外推能力。位置插值（Position Interpolation）、NTK-aware 扩展与 YaRN 等技术使预训练阶段的 4K 或 8K 模型能够被扩展至 128K、1M 乃至 10M  token 的上下文窗口。</w:t>
      </w:r>
    </w:p>
    <w:p w14:paraId="75933A21"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2024 年成为长上下文应用的里程碑年份：Gemini 1.5 Pro 实现 1M token 上下文，Claude 3 达到 200K，开源社区如 Llama 3 与 Qwen2.5 系列亦普遍推进至 128K 至 1M 级别。</w:t>
      </w:r>
    </w:p>
    <w:p w14:paraId="2C29F535"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七、多模态统一：从文本模型到世界模型（2023–2025）</w:t>
      </w:r>
    </w:p>
    <w:p w14:paraId="76792A15" w14:textId="6FED57FF"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Transformer 的通用性使其迅速超越自然语言处理领域，成为多模态大一统建模的骨架架构。</w:t>
      </w:r>
    </w:p>
    <w:p w14:paraId="215059E6"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通过双塔对比学习架构实现了图像与文本表征的统一对齐。在生成领域，扩散模型（Diffusion Model）的噪声预测网络逐渐从 U-Net 转向 Transformer 骨架，DiT（Diffusion Transformer）的出现尤为关键，它验证了 Transformer 在生成任务中的普适性。Sora 在此基础上进一步引入时空联合注意力机制，将视频帧作为时空 token 处理，实现了对物理世界动态的初步模拟。</w:t>
      </w:r>
    </w:p>
    <w:p w14:paraId="2295802F"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八、后 Transformer 探索：状态空间模型与混合架构（2023–2025）</w:t>
      </w:r>
    </w:p>
    <w:p w14:paraId="5C634451"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尽管 Transformer 保持主流地位，但其平方级复杂度催生了替代架构的持续探索。Mamba（2023）基于状态空间模型（State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则通过线性注意力或衰减机制保留部分全局感知能力，同时回归循环结构的常数级内存占用特征。</w:t>
      </w:r>
    </w:p>
    <w:p w14:paraId="6740CEEF"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当前行业共识倾向于混合架构路线：在局部上下文采用 SSM 或线性注意力降低开销，在全局聚合阶段保留标准注意力机制，而非完全替代 Transformer。这一选择主要受限于硬件生态（CUDA Kernel 优化）、训练框架成熟度及 Scaling 经验的积累。</w:t>
      </w:r>
    </w:p>
    <w:p w14:paraId="3C4F9C2A"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九、推理范式转移：从训练时规模到测试时计算（2024–2026）</w:t>
      </w:r>
    </w:p>
    <w:p w14:paraId="5526BBF7"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2024 年后，Transformer 的发展重心从"训练更大模型"转向"在推理阶段赋予模型更多计算资源"。</w:t>
      </w:r>
    </w:p>
    <w:p w14:paraId="4A05E239"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lastRenderedPageBreak/>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DeepSeek-R1 尤为值得关注：其采用 GRPO（Group Relative Policy Optimization）简化版强化学习算法，以极低的训练成本达到与 o1 相当的推理性能，直接引发了全球推理算力需求的井喷式增长。与此同时，测试时计算扩展（Test-time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Pr="00A67E74" w:rsidRDefault="002B152A" w:rsidP="00774D99">
      <w:pPr>
        <w:pStyle w:val="4"/>
        <w:jc w:val="both"/>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十、当前前沿：Agent 架构、混合专家与端侧部署（2025–2026）</w:t>
      </w:r>
    </w:p>
    <w:p w14:paraId="7D98D50C"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Transformer 的当代应用已远超对话机器人范畴，向三个方向深度延伸。</w:t>
      </w:r>
    </w:p>
    <w:p w14:paraId="6B323188"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第一，Agent 架构。当前的前沿系统由基础模型、工具调用接口（如 MCP 协议）、外部记忆模块与规划循环共同构成，使模型能够执行多步骤自主任务，如 OpenClaw 与 Manus 等系统所展示的能力。</w:t>
      </w:r>
    </w:p>
    <w:p w14:paraId="7FA31820"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第二，混合专家模型（Mixture of Experts, MoE）。通过稀疏激活机制，模型在每次前向传播中仅调用部分参数子集，以三分之一的算力消耗达到同等性能水平。DeepSeek-V3、Mixtral 与 Qwen3 等主流模型已广泛采用该架构。</w:t>
      </w:r>
    </w:p>
    <w:p w14:paraId="2EE18F38"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第三，端侧与本地推理。通过模型量化、剪枝与蒸馏等压缩技术，结合 NPU 专用芯片，使数十亿至数百亿参数规模的模型能够在消费级设备上运行，手机端部署 7B 至 70B 参数模型已成为常态。</w:t>
      </w:r>
    </w:p>
    <w:p w14:paraId="1E401A1B"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在物理 AI 领域，Transformer 开始直接处理传感器 token 流并预测物理世界状态，应用于端到端自动驾驶（如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660147" w:rsidRDefault="002B152A" w:rsidP="00774D99">
      <w:pPr>
        <w:jc w:val="both"/>
        <w:rPr>
          <w:rFonts w:ascii="楷体" w:eastAsia="楷体" w:hAnsi="楷体" w:hint="eastAsia"/>
          <w:color w:val="000000" w:themeColor="text1"/>
        </w:rPr>
      </w:pPr>
      <w:r w:rsidRPr="00660147">
        <w:rPr>
          <w:rFonts w:ascii="楷体" w:eastAsia="楷体" w:hAnsi="楷体" w:hint="eastAsia"/>
          <w:color w:val="000000" w:themeColor="text1"/>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660147" w:rsidRDefault="002B152A" w:rsidP="00774D99">
      <w:pPr>
        <w:jc w:val="both"/>
        <w:rPr>
          <w:rFonts w:ascii="楷体" w:eastAsia="楷体" w:hAnsi="楷体" w:hint="eastAsia"/>
          <w:color w:val="000000" w:themeColor="text1"/>
        </w:rPr>
      </w:pPr>
    </w:p>
    <w:sectPr w:rsidR="002B152A" w:rsidRPr="00660147" w:rsidSect="00BE4BF4">
      <w:headerReference w:type="default" r:id="rId27"/>
      <w:footerReference w:type="default" r:id="rId2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612A" w14:textId="77777777" w:rsidR="00AC3546" w:rsidRDefault="00AC3546" w:rsidP="00ED5BD8">
      <w:pPr>
        <w:spacing w:after="0" w:line="240" w:lineRule="auto"/>
        <w:rPr>
          <w:rFonts w:hint="eastAsia"/>
        </w:rPr>
      </w:pPr>
      <w:r>
        <w:separator/>
      </w:r>
    </w:p>
  </w:endnote>
  <w:endnote w:type="continuationSeparator" w:id="0">
    <w:p w14:paraId="0CE5956F" w14:textId="77777777" w:rsidR="00AC3546" w:rsidRDefault="00AC3546"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正文 CS 字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381680"/>
      <w:docPartObj>
        <w:docPartGallery w:val="Page Numbers (Bottom of Page)"/>
        <w:docPartUnique/>
      </w:docPartObj>
    </w:sdtPr>
    <w:sdtContent>
      <w:p w14:paraId="04492BA5" w14:textId="34297995" w:rsidR="00C6712C" w:rsidRDefault="00C6712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0C8B661" w14:textId="77777777" w:rsidR="00AA19D2" w:rsidRDefault="00AA19D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03DA1" w14:textId="77777777" w:rsidR="00AC3546" w:rsidRDefault="00AC3546" w:rsidP="00ED5BD8">
      <w:pPr>
        <w:spacing w:after="0" w:line="240" w:lineRule="auto"/>
        <w:rPr>
          <w:rFonts w:hint="eastAsia"/>
        </w:rPr>
      </w:pPr>
      <w:r>
        <w:separator/>
      </w:r>
    </w:p>
  </w:footnote>
  <w:footnote w:type="continuationSeparator" w:id="0">
    <w:p w14:paraId="0F4C4DB1" w14:textId="77777777" w:rsidR="00AC3546" w:rsidRDefault="00AC3546" w:rsidP="00ED5BD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AF7D" w14:textId="77777777" w:rsidR="00007D41" w:rsidRDefault="00007D41">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9F"/>
    <w:multiLevelType w:val="hybridMultilevel"/>
    <w:tmpl w:val="8CAAF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323A4C"/>
    <w:multiLevelType w:val="hybridMultilevel"/>
    <w:tmpl w:val="78C81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3C59"/>
    <w:multiLevelType w:val="hybridMultilevel"/>
    <w:tmpl w:val="E2C2F0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5624A"/>
    <w:multiLevelType w:val="hybridMultilevel"/>
    <w:tmpl w:val="FB22F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2F63B23"/>
    <w:multiLevelType w:val="hybridMultilevel"/>
    <w:tmpl w:val="EEDE53B2"/>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8249C"/>
    <w:multiLevelType w:val="hybridMultilevel"/>
    <w:tmpl w:val="E4785832"/>
    <w:lvl w:ilvl="0" w:tplc="5082F53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D1F65E0"/>
    <w:multiLevelType w:val="multilevel"/>
    <w:tmpl w:val="9080EF3E"/>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14EE4"/>
    <w:multiLevelType w:val="hybridMultilevel"/>
    <w:tmpl w:val="B13AB2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A6DF2"/>
    <w:multiLevelType w:val="multilevel"/>
    <w:tmpl w:val="4D7E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D326D"/>
    <w:multiLevelType w:val="hybridMultilevel"/>
    <w:tmpl w:val="919A5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9EC596A"/>
    <w:multiLevelType w:val="hybridMultilevel"/>
    <w:tmpl w:val="82DA68DC"/>
    <w:lvl w:ilvl="0" w:tplc="3780923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A492ED9"/>
    <w:multiLevelType w:val="hybridMultilevel"/>
    <w:tmpl w:val="D986759A"/>
    <w:lvl w:ilvl="0" w:tplc="BF26C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0C4173"/>
    <w:multiLevelType w:val="hybridMultilevel"/>
    <w:tmpl w:val="E4B464EE"/>
    <w:lvl w:ilvl="0" w:tplc="5082F53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16724">
    <w:abstractNumId w:val="3"/>
  </w:num>
  <w:num w:numId="2" w16cid:durableId="1276331340">
    <w:abstractNumId w:val="13"/>
  </w:num>
  <w:num w:numId="3" w16cid:durableId="1749885008">
    <w:abstractNumId w:val="8"/>
  </w:num>
  <w:num w:numId="4" w16cid:durableId="1451164397">
    <w:abstractNumId w:val="0"/>
  </w:num>
  <w:num w:numId="5" w16cid:durableId="805704556">
    <w:abstractNumId w:val="10"/>
  </w:num>
  <w:num w:numId="6" w16cid:durableId="1243754326">
    <w:abstractNumId w:val="6"/>
  </w:num>
  <w:num w:numId="7" w16cid:durableId="631129675">
    <w:abstractNumId w:val="17"/>
  </w:num>
  <w:num w:numId="8" w16cid:durableId="1571427239">
    <w:abstractNumId w:val="5"/>
  </w:num>
  <w:num w:numId="9" w16cid:durableId="972246471">
    <w:abstractNumId w:val="1"/>
  </w:num>
  <w:num w:numId="10" w16cid:durableId="216018807">
    <w:abstractNumId w:val="2"/>
  </w:num>
  <w:num w:numId="11" w16cid:durableId="41171317">
    <w:abstractNumId w:val="15"/>
  </w:num>
  <w:num w:numId="12" w16cid:durableId="1879202220">
    <w:abstractNumId w:val="12"/>
  </w:num>
  <w:num w:numId="13" w16cid:durableId="1986738919">
    <w:abstractNumId w:val="11"/>
  </w:num>
  <w:num w:numId="14" w16cid:durableId="1160466914">
    <w:abstractNumId w:val="14"/>
  </w:num>
  <w:num w:numId="15" w16cid:durableId="1624457220">
    <w:abstractNumId w:val="16"/>
  </w:num>
  <w:num w:numId="16" w16cid:durableId="1747650394">
    <w:abstractNumId w:val="18"/>
  </w:num>
  <w:num w:numId="17" w16cid:durableId="1544056408">
    <w:abstractNumId w:val="9"/>
  </w:num>
  <w:num w:numId="18" w16cid:durableId="636836547">
    <w:abstractNumId w:val="7"/>
  </w:num>
  <w:num w:numId="19" w16cid:durableId="1836872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00513"/>
    <w:rsid w:val="00000867"/>
    <w:rsid w:val="00000F75"/>
    <w:rsid w:val="00007D41"/>
    <w:rsid w:val="0002120E"/>
    <w:rsid w:val="00022086"/>
    <w:rsid w:val="00024FDB"/>
    <w:rsid w:val="00025672"/>
    <w:rsid w:val="000271F1"/>
    <w:rsid w:val="0003199B"/>
    <w:rsid w:val="00043F4A"/>
    <w:rsid w:val="00051E29"/>
    <w:rsid w:val="00056BAE"/>
    <w:rsid w:val="000604DE"/>
    <w:rsid w:val="00091568"/>
    <w:rsid w:val="00095A8E"/>
    <w:rsid w:val="000A0741"/>
    <w:rsid w:val="000A5EFB"/>
    <w:rsid w:val="000B1790"/>
    <w:rsid w:val="000B5284"/>
    <w:rsid w:val="000B5933"/>
    <w:rsid w:val="000C7B8B"/>
    <w:rsid w:val="000E1CBC"/>
    <w:rsid w:val="000E3FAC"/>
    <w:rsid w:val="000E71F8"/>
    <w:rsid w:val="000F01B5"/>
    <w:rsid w:val="000F03F7"/>
    <w:rsid w:val="000F43AA"/>
    <w:rsid w:val="00106375"/>
    <w:rsid w:val="001205E7"/>
    <w:rsid w:val="00121A13"/>
    <w:rsid w:val="00121D89"/>
    <w:rsid w:val="00123A11"/>
    <w:rsid w:val="00123EB4"/>
    <w:rsid w:val="00125EBC"/>
    <w:rsid w:val="00135835"/>
    <w:rsid w:val="001455D4"/>
    <w:rsid w:val="001506AE"/>
    <w:rsid w:val="0015187D"/>
    <w:rsid w:val="00152E11"/>
    <w:rsid w:val="001530C3"/>
    <w:rsid w:val="00157396"/>
    <w:rsid w:val="001577D2"/>
    <w:rsid w:val="00160C84"/>
    <w:rsid w:val="001630F9"/>
    <w:rsid w:val="001650E9"/>
    <w:rsid w:val="001668B0"/>
    <w:rsid w:val="00186848"/>
    <w:rsid w:val="00191FB0"/>
    <w:rsid w:val="001A5243"/>
    <w:rsid w:val="001B02E5"/>
    <w:rsid w:val="001B6851"/>
    <w:rsid w:val="001C0665"/>
    <w:rsid w:val="001C0E59"/>
    <w:rsid w:val="001C7828"/>
    <w:rsid w:val="001D52C0"/>
    <w:rsid w:val="001E5969"/>
    <w:rsid w:val="001F2331"/>
    <w:rsid w:val="001F4CD4"/>
    <w:rsid w:val="001F5B5D"/>
    <w:rsid w:val="00200C80"/>
    <w:rsid w:val="00201B38"/>
    <w:rsid w:val="00202714"/>
    <w:rsid w:val="0020273E"/>
    <w:rsid w:val="002037D2"/>
    <w:rsid w:val="00226F19"/>
    <w:rsid w:val="00230CC8"/>
    <w:rsid w:val="0023317A"/>
    <w:rsid w:val="002576D6"/>
    <w:rsid w:val="00270210"/>
    <w:rsid w:val="00281984"/>
    <w:rsid w:val="00283F56"/>
    <w:rsid w:val="00284EEB"/>
    <w:rsid w:val="00285142"/>
    <w:rsid w:val="00285D82"/>
    <w:rsid w:val="002954BE"/>
    <w:rsid w:val="00295861"/>
    <w:rsid w:val="002A00D4"/>
    <w:rsid w:val="002A55D2"/>
    <w:rsid w:val="002A6C7F"/>
    <w:rsid w:val="002A75FD"/>
    <w:rsid w:val="002A7ABA"/>
    <w:rsid w:val="002B152A"/>
    <w:rsid w:val="002B7155"/>
    <w:rsid w:val="002D10AB"/>
    <w:rsid w:val="002D174D"/>
    <w:rsid w:val="002D2712"/>
    <w:rsid w:val="002D42B4"/>
    <w:rsid w:val="002E2ADA"/>
    <w:rsid w:val="002E4CCD"/>
    <w:rsid w:val="002F03E4"/>
    <w:rsid w:val="002F2E78"/>
    <w:rsid w:val="00300B7A"/>
    <w:rsid w:val="00302DA0"/>
    <w:rsid w:val="00303327"/>
    <w:rsid w:val="00305D10"/>
    <w:rsid w:val="00305EAD"/>
    <w:rsid w:val="0032078D"/>
    <w:rsid w:val="00321AA2"/>
    <w:rsid w:val="00323214"/>
    <w:rsid w:val="0032378F"/>
    <w:rsid w:val="0032523A"/>
    <w:rsid w:val="00326ECF"/>
    <w:rsid w:val="00327FD5"/>
    <w:rsid w:val="0033367F"/>
    <w:rsid w:val="00334673"/>
    <w:rsid w:val="003370CA"/>
    <w:rsid w:val="00342124"/>
    <w:rsid w:val="0034690D"/>
    <w:rsid w:val="00350397"/>
    <w:rsid w:val="003518D6"/>
    <w:rsid w:val="00352BE2"/>
    <w:rsid w:val="0035324D"/>
    <w:rsid w:val="00353B1A"/>
    <w:rsid w:val="00355EB6"/>
    <w:rsid w:val="0036035B"/>
    <w:rsid w:val="00364B87"/>
    <w:rsid w:val="00374E1B"/>
    <w:rsid w:val="00387C17"/>
    <w:rsid w:val="00392096"/>
    <w:rsid w:val="00392D61"/>
    <w:rsid w:val="00394936"/>
    <w:rsid w:val="003A6B8F"/>
    <w:rsid w:val="003C28D7"/>
    <w:rsid w:val="003C298E"/>
    <w:rsid w:val="003C3D71"/>
    <w:rsid w:val="003C612B"/>
    <w:rsid w:val="003D13CA"/>
    <w:rsid w:val="003D4DA5"/>
    <w:rsid w:val="003E30D3"/>
    <w:rsid w:val="003E3D4A"/>
    <w:rsid w:val="003F6332"/>
    <w:rsid w:val="00411C12"/>
    <w:rsid w:val="0041670E"/>
    <w:rsid w:val="00431645"/>
    <w:rsid w:val="00435E88"/>
    <w:rsid w:val="004447C8"/>
    <w:rsid w:val="004476CF"/>
    <w:rsid w:val="00455F9E"/>
    <w:rsid w:val="004726BD"/>
    <w:rsid w:val="004745AC"/>
    <w:rsid w:val="0049155E"/>
    <w:rsid w:val="004919A6"/>
    <w:rsid w:val="00497691"/>
    <w:rsid w:val="004A0C08"/>
    <w:rsid w:val="004B23DD"/>
    <w:rsid w:val="004C0C4B"/>
    <w:rsid w:val="004D3239"/>
    <w:rsid w:val="004D35EB"/>
    <w:rsid w:val="004D4EF4"/>
    <w:rsid w:val="004E0DBF"/>
    <w:rsid w:val="004E197F"/>
    <w:rsid w:val="004E2B3F"/>
    <w:rsid w:val="004E59A8"/>
    <w:rsid w:val="004E7111"/>
    <w:rsid w:val="004F5379"/>
    <w:rsid w:val="004F7E65"/>
    <w:rsid w:val="005021C0"/>
    <w:rsid w:val="00502A8D"/>
    <w:rsid w:val="00507D96"/>
    <w:rsid w:val="00517232"/>
    <w:rsid w:val="005207AD"/>
    <w:rsid w:val="00522A5F"/>
    <w:rsid w:val="0054546B"/>
    <w:rsid w:val="0054710A"/>
    <w:rsid w:val="0056114B"/>
    <w:rsid w:val="0056725F"/>
    <w:rsid w:val="00570231"/>
    <w:rsid w:val="00575254"/>
    <w:rsid w:val="00580D7A"/>
    <w:rsid w:val="00581952"/>
    <w:rsid w:val="00581CBB"/>
    <w:rsid w:val="00583DC5"/>
    <w:rsid w:val="005852F8"/>
    <w:rsid w:val="005870B1"/>
    <w:rsid w:val="00594F42"/>
    <w:rsid w:val="00594FB2"/>
    <w:rsid w:val="00595591"/>
    <w:rsid w:val="0059799C"/>
    <w:rsid w:val="005A4D99"/>
    <w:rsid w:val="005A7DD3"/>
    <w:rsid w:val="005B1233"/>
    <w:rsid w:val="005B66B5"/>
    <w:rsid w:val="005C20A7"/>
    <w:rsid w:val="005C37A9"/>
    <w:rsid w:val="005C5417"/>
    <w:rsid w:val="005C7CF0"/>
    <w:rsid w:val="005C7F4D"/>
    <w:rsid w:val="005D6D33"/>
    <w:rsid w:val="005E58C9"/>
    <w:rsid w:val="005F537F"/>
    <w:rsid w:val="005F60E0"/>
    <w:rsid w:val="00602FC8"/>
    <w:rsid w:val="006077D9"/>
    <w:rsid w:val="0061323D"/>
    <w:rsid w:val="00616A97"/>
    <w:rsid w:val="00616B09"/>
    <w:rsid w:val="00621C0E"/>
    <w:rsid w:val="00627615"/>
    <w:rsid w:val="00640657"/>
    <w:rsid w:val="00640E09"/>
    <w:rsid w:val="006458B1"/>
    <w:rsid w:val="00657620"/>
    <w:rsid w:val="00660147"/>
    <w:rsid w:val="00670567"/>
    <w:rsid w:val="00676291"/>
    <w:rsid w:val="00695D4E"/>
    <w:rsid w:val="00697D7C"/>
    <w:rsid w:val="006A1788"/>
    <w:rsid w:val="006A6901"/>
    <w:rsid w:val="006B17D5"/>
    <w:rsid w:val="006C08FF"/>
    <w:rsid w:val="006C2E81"/>
    <w:rsid w:val="006D3DF1"/>
    <w:rsid w:val="006D7A4C"/>
    <w:rsid w:val="006E3EE6"/>
    <w:rsid w:val="006E47D3"/>
    <w:rsid w:val="006F19A7"/>
    <w:rsid w:val="007017EE"/>
    <w:rsid w:val="0070608D"/>
    <w:rsid w:val="007066EE"/>
    <w:rsid w:val="00706CB6"/>
    <w:rsid w:val="00715D18"/>
    <w:rsid w:val="00717324"/>
    <w:rsid w:val="007331D0"/>
    <w:rsid w:val="007433F7"/>
    <w:rsid w:val="007437A2"/>
    <w:rsid w:val="007470EE"/>
    <w:rsid w:val="007529B1"/>
    <w:rsid w:val="007677B3"/>
    <w:rsid w:val="007677E5"/>
    <w:rsid w:val="00772A2F"/>
    <w:rsid w:val="00774D99"/>
    <w:rsid w:val="00776919"/>
    <w:rsid w:val="00786349"/>
    <w:rsid w:val="007877C6"/>
    <w:rsid w:val="00787DD9"/>
    <w:rsid w:val="007A5695"/>
    <w:rsid w:val="007A6F08"/>
    <w:rsid w:val="007B42F1"/>
    <w:rsid w:val="007B672F"/>
    <w:rsid w:val="007C2934"/>
    <w:rsid w:val="007C4D23"/>
    <w:rsid w:val="007C59C6"/>
    <w:rsid w:val="007C5F09"/>
    <w:rsid w:val="007D0D0D"/>
    <w:rsid w:val="007D73ED"/>
    <w:rsid w:val="007E3166"/>
    <w:rsid w:val="007E3262"/>
    <w:rsid w:val="007E5A00"/>
    <w:rsid w:val="007F032A"/>
    <w:rsid w:val="007F6AB9"/>
    <w:rsid w:val="00804767"/>
    <w:rsid w:val="00805DE6"/>
    <w:rsid w:val="00807A6A"/>
    <w:rsid w:val="00810AB6"/>
    <w:rsid w:val="00810DAC"/>
    <w:rsid w:val="008323C7"/>
    <w:rsid w:val="00834FE0"/>
    <w:rsid w:val="0084086B"/>
    <w:rsid w:val="00845816"/>
    <w:rsid w:val="00852E95"/>
    <w:rsid w:val="0086181D"/>
    <w:rsid w:val="008675F9"/>
    <w:rsid w:val="00875908"/>
    <w:rsid w:val="00880501"/>
    <w:rsid w:val="008A0847"/>
    <w:rsid w:val="008B727D"/>
    <w:rsid w:val="008C0151"/>
    <w:rsid w:val="008C081F"/>
    <w:rsid w:val="008C2032"/>
    <w:rsid w:val="008C207A"/>
    <w:rsid w:val="008C6C65"/>
    <w:rsid w:val="008D0FD5"/>
    <w:rsid w:val="008D416D"/>
    <w:rsid w:val="008D5F95"/>
    <w:rsid w:val="008D64F8"/>
    <w:rsid w:val="008D6F95"/>
    <w:rsid w:val="008E1DED"/>
    <w:rsid w:val="008F37E4"/>
    <w:rsid w:val="008F797B"/>
    <w:rsid w:val="00903F5B"/>
    <w:rsid w:val="00911C7E"/>
    <w:rsid w:val="00913B7F"/>
    <w:rsid w:val="00914D6F"/>
    <w:rsid w:val="00916A2C"/>
    <w:rsid w:val="0094272B"/>
    <w:rsid w:val="0094627B"/>
    <w:rsid w:val="00952AAA"/>
    <w:rsid w:val="009609A0"/>
    <w:rsid w:val="00963E1A"/>
    <w:rsid w:val="00967728"/>
    <w:rsid w:val="00973731"/>
    <w:rsid w:val="00976034"/>
    <w:rsid w:val="0098006A"/>
    <w:rsid w:val="009824F1"/>
    <w:rsid w:val="00983206"/>
    <w:rsid w:val="009851AD"/>
    <w:rsid w:val="00985A4E"/>
    <w:rsid w:val="009876D7"/>
    <w:rsid w:val="009933AA"/>
    <w:rsid w:val="009959AC"/>
    <w:rsid w:val="009A28A3"/>
    <w:rsid w:val="009B0704"/>
    <w:rsid w:val="009B1F6D"/>
    <w:rsid w:val="009B4A67"/>
    <w:rsid w:val="009C17F5"/>
    <w:rsid w:val="009C2B03"/>
    <w:rsid w:val="009C2CE9"/>
    <w:rsid w:val="009C4AF1"/>
    <w:rsid w:val="009C74CB"/>
    <w:rsid w:val="009D545F"/>
    <w:rsid w:val="009E6ACD"/>
    <w:rsid w:val="009F0B3E"/>
    <w:rsid w:val="00A054F9"/>
    <w:rsid w:val="00A175AC"/>
    <w:rsid w:val="00A2761B"/>
    <w:rsid w:val="00A27798"/>
    <w:rsid w:val="00A30AF7"/>
    <w:rsid w:val="00A33732"/>
    <w:rsid w:val="00A410A7"/>
    <w:rsid w:val="00A42112"/>
    <w:rsid w:val="00A44FB8"/>
    <w:rsid w:val="00A45C46"/>
    <w:rsid w:val="00A65C56"/>
    <w:rsid w:val="00A670C9"/>
    <w:rsid w:val="00A67E74"/>
    <w:rsid w:val="00A803F3"/>
    <w:rsid w:val="00A90954"/>
    <w:rsid w:val="00A91E4D"/>
    <w:rsid w:val="00A964AB"/>
    <w:rsid w:val="00A973A2"/>
    <w:rsid w:val="00AA19D2"/>
    <w:rsid w:val="00AB0E71"/>
    <w:rsid w:val="00AB1CFB"/>
    <w:rsid w:val="00AB21D0"/>
    <w:rsid w:val="00AB7A53"/>
    <w:rsid w:val="00AC20A2"/>
    <w:rsid w:val="00AC2313"/>
    <w:rsid w:val="00AC2670"/>
    <w:rsid w:val="00AC3546"/>
    <w:rsid w:val="00AC39E4"/>
    <w:rsid w:val="00AC637A"/>
    <w:rsid w:val="00AD42E7"/>
    <w:rsid w:val="00AD5736"/>
    <w:rsid w:val="00AD5738"/>
    <w:rsid w:val="00AD7077"/>
    <w:rsid w:val="00AE61E5"/>
    <w:rsid w:val="00B01A0A"/>
    <w:rsid w:val="00B04FB9"/>
    <w:rsid w:val="00B104F9"/>
    <w:rsid w:val="00B123F7"/>
    <w:rsid w:val="00B179FD"/>
    <w:rsid w:val="00B23F1D"/>
    <w:rsid w:val="00B2437D"/>
    <w:rsid w:val="00B358D3"/>
    <w:rsid w:val="00B417DC"/>
    <w:rsid w:val="00B471C8"/>
    <w:rsid w:val="00B4783E"/>
    <w:rsid w:val="00B47AA5"/>
    <w:rsid w:val="00B54E1E"/>
    <w:rsid w:val="00B563C8"/>
    <w:rsid w:val="00B65A6A"/>
    <w:rsid w:val="00B660DB"/>
    <w:rsid w:val="00B72D93"/>
    <w:rsid w:val="00B81B1A"/>
    <w:rsid w:val="00B82F03"/>
    <w:rsid w:val="00B9788C"/>
    <w:rsid w:val="00BA3AFA"/>
    <w:rsid w:val="00BA5607"/>
    <w:rsid w:val="00BB477E"/>
    <w:rsid w:val="00BC107F"/>
    <w:rsid w:val="00BC62F5"/>
    <w:rsid w:val="00BD1B9F"/>
    <w:rsid w:val="00BD42A1"/>
    <w:rsid w:val="00BD680F"/>
    <w:rsid w:val="00BE4BF4"/>
    <w:rsid w:val="00BE5EC9"/>
    <w:rsid w:val="00BF1C60"/>
    <w:rsid w:val="00BF2A01"/>
    <w:rsid w:val="00BF345B"/>
    <w:rsid w:val="00BF4974"/>
    <w:rsid w:val="00BF76FA"/>
    <w:rsid w:val="00BF7E9C"/>
    <w:rsid w:val="00C03062"/>
    <w:rsid w:val="00C04682"/>
    <w:rsid w:val="00C06109"/>
    <w:rsid w:val="00C10975"/>
    <w:rsid w:val="00C14DC4"/>
    <w:rsid w:val="00C162B2"/>
    <w:rsid w:val="00C16BA7"/>
    <w:rsid w:val="00C2236D"/>
    <w:rsid w:val="00C22F0C"/>
    <w:rsid w:val="00C25053"/>
    <w:rsid w:val="00C27806"/>
    <w:rsid w:val="00C3021C"/>
    <w:rsid w:val="00C3234E"/>
    <w:rsid w:val="00C343A8"/>
    <w:rsid w:val="00C35FE9"/>
    <w:rsid w:val="00C363A7"/>
    <w:rsid w:val="00C42458"/>
    <w:rsid w:val="00C51BBE"/>
    <w:rsid w:val="00C546AE"/>
    <w:rsid w:val="00C65B46"/>
    <w:rsid w:val="00C6712C"/>
    <w:rsid w:val="00C7160C"/>
    <w:rsid w:val="00C74216"/>
    <w:rsid w:val="00C756A5"/>
    <w:rsid w:val="00C958CC"/>
    <w:rsid w:val="00CA008E"/>
    <w:rsid w:val="00CB4E84"/>
    <w:rsid w:val="00CC04E8"/>
    <w:rsid w:val="00CD1D70"/>
    <w:rsid w:val="00CD458E"/>
    <w:rsid w:val="00CD58EE"/>
    <w:rsid w:val="00CD79AB"/>
    <w:rsid w:val="00CE3A56"/>
    <w:rsid w:val="00CE7213"/>
    <w:rsid w:val="00CF0BD1"/>
    <w:rsid w:val="00CF1798"/>
    <w:rsid w:val="00CF4646"/>
    <w:rsid w:val="00CF5688"/>
    <w:rsid w:val="00D0013B"/>
    <w:rsid w:val="00D030E0"/>
    <w:rsid w:val="00D102A8"/>
    <w:rsid w:val="00D1336A"/>
    <w:rsid w:val="00D161A8"/>
    <w:rsid w:val="00D22639"/>
    <w:rsid w:val="00D3403F"/>
    <w:rsid w:val="00D357CC"/>
    <w:rsid w:val="00D404E9"/>
    <w:rsid w:val="00D4361A"/>
    <w:rsid w:val="00D4502A"/>
    <w:rsid w:val="00D579FB"/>
    <w:rsid w:val="00D6092B"/>
    <w:rsid w:val="00D616A2"/>
    <w:rsid w:val="00D6582C"/>
    <w:rsid w:val="00D711DA"/>
    <w:rsid w:val="00D72D41"/>
    <w:rsid w:val="00D72F3D"/>
    <w:rsid w:val="00D747D7"/>
    <w:rsid w:val="00D7544C"/>
    <w:rsid w:val="00D75EE9"/>
    <w:rsid w:val="00D7733C"/>
    <w:rsid w:val="00D807B9"/>
    <w:rsid w:val="00D85A4D"/>
    <w:rsid w:val="00D878BB"/>
    <w:rsid w:val="00D941B8"/>
    <w:rsid w:val="00D94C6B"/>
    <w:rsid w:val="00D968D6"/>
    <w:rsid w:val="00DA0D1A"/>
    <w:rsid w:val="00DA25C8"/>
    <w:rsid w:val="00DA5D0F"/>
    <w:rsid w:val="00DB5844"/>
    <w:rsid w:val="00DC3515"/>
    <w:rsid w:val="00DC38C7"/>
    <w:rsid w:val="00DD3AD6"/>
    <w:rsid w:val="00DD5A00"/>
    <w:rsid w:val="00DE1C29"/>
    <w:rsid w:val="00DF7794"/>
    <w:rsid w:val="00E0149C"/>
    <w:rsid w:val="00E112F2"/>
    <w:rsid w:val="00E15B8F"/>
    <w:rsid w:val="00E250DA"/>
    <w:rsid w:val="00E2535F"/>
    <w:rsid w:val="00E26856"/>
    <w:rsid w:val="00E33054"/>
    <w:rsid w:val="00E33CB9"/>
    <w:rsid w:val="00E376BD"/>
    <w:rsid w:val="00E40B2D"/>
    <w:rsid w:val="00E42215"/>
    <w:rsid w:val="00E46432"/>
    <w:rsid w:val="00E5085E"/>
    <w:rsid w:val="00E5628C"/>
    <w:rsid w:val="00E57A34"/>
    <w:rsid w:val="00E62AF6"/>
    <w:rsid w:val="00E72EC0"/>
    <w:rsid w:val="00E7542E"/>
    <w:rsid w:val="00E77E17"/>
    <w:rsid w:val="00E82244"/>
    <w:rsid w:val="00E83A40"/>
    <w:rsid w:val="00E92071"/>
    <w:rsid w:val="00E97DA7"/>
    <w:rsid w:val="00EA085A"/>
    <w:rsid w:val="00EA19A3"/>
    <w:rsid w:val="00EB1A24"/>
    <w:rsid w:val="00EB261C"/>
    <w:rsid w:val="00EB5EA6"/>
    <w:rsid w:val="00EC0A6E"/>
    <w:rsid w:val="00EC4FE3"/>
    <w:rsid w:val="00ED3460"/>
    <w:rsid w:val="00ED491D"/>
    <w:rsid w:val="00ED5BD8"/>
    <w:rsid w:val="00ED7D24"/>
    <w:rsid w:val="00EE4224"/>
    <w:rsid w:val="00EE7B17"/>
    <w:rsid w:val="00EF2F07"/>
    <w:rsid w:val="00EF571A"/>
    <w:rsid w:val="00F02816"/>
    <w:rsid w:val="00F03515"/>
    <w:rsid w:val="00F06280"/>
    <w:rsid w:val="00F06836"/>
    <w:rsid w:val="00F07763"/>
    <w:rsid w:val="00F078F9"/>
    <w:rsid w:val="00F1171C"/>
    <w:rsid w:val="00F14E9B"/>
    <w:rsid w:val="00F23CFB"/>
    <w:rsid w:val="00F3119A"/>
    <w:rsid w:val="00F405DF"/>
    <w:rsid w:val="00F414BF"/>
    <w:rsid w:val="00F44C73"/>
    <w:rsid w:val="00F45977"/>
    <w:rsid w:val="00F4738C"/>
    <w:rsid w:val="00F528A0"/>
    <w:rsid w:val="00F52A30"/>
    <w:rsid w:val="00F5688C"/>
    <w:rsid w:val="00F632BD"/>
    <w:rsid w:val="00F65D79"/>
    <w:rsid w:val="00F72912"/>
    <w:rsid w:val="00F7444A"/>
    <w:rsid w:val="00F8698F"/>
    <w:rsid w:val="00FA494B"/>
    <w:rsid w:val="00FB02AD"/>
    <w:rsid w:val="00FB2BF4"/>
    <w:rsid w:val="00FB660C"/>
    <w:rsid w:val="00FB78B9"/>
    <w:rsid w:val="00FC19EA"/>
    <w:rsid w:val="00FC5A3D"/>
    <w:rsid w:val="00FD2C9B"/>
    <w:rsid w:val="00FF54E9"/>
    <w:rsid w:val="00FF5C51"/>
    <w:rsid w:val="00FF5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 w:type="paragraph" w:styleId="afc">
    <w:name w:val="Revision"/>
    <w:hidden/>
    <w:uiPriority w:val="99"/>
    <w:semiHidden/>
    <w:rsid w:val="00353B1A"/>
    <w:pPr>
      <w:spacing w:after="0" w:line="240" w:lineRule="auto"/>
    </w:pPr>
  </w:style>
  <w:style w:type="paragraph" w:styleId="TOC">
    <w:name w:val="TOC Heading"/>
    <w:basedOn w:val="1"/>
    <w:next w:val="a"/>
    <w:uiPriority w:val="39"/>
    <w:unhideWhenUsed/>
    <w:qFormat/>
    <w:rsid w:val="00BF345B"/>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BF345B"/>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BF345B"/>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BF345B"/>
    <w:pPr>
      <w:widowControl/>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03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492C1-7956-4BEF-95D2-3012C5667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51</Pages>
  <Words>6494</Words>
  <Characters>37018</Characters>
  <Application>Microsoft Office Word</Application>
  <DocSecurity>0</DocSecurity>
  <Lines>308</Lines>
  <Paragraphs>86</Paragraphs>
  <ScaleCrop>false</ScaleCrop>
  <Company/>
  <LinksUpToDate>false</LinksUpToDate>
  <CharactersWithSpaces>43426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5</cp:revision>
  <dcterms:created xsi:type="dcterms:W3CDTF">2026-04-30T04:30:00Z</dcterms:created>
  <dcterms:modified xsi:type="dcterms:W3CDTF">2026-04-30T04:32:00Z</dcterms:modified>
</cp:coreProperties>
</file>