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7A24"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456FC3D5"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26700972"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7F9F8F3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4BF35D26"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6033074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602E75B7" w14:textId="77777777" w:rsidR="00E40B2D" w:rsidRPr="00E40B2D" w:rsidRDefault="00E40B2D" w:rsidP="001A5243">
      <w:pPr>
        <w:spacing w:after="0" w:line="360" w:lineRule="auto"/>
        <w:jc w:val="center"/>
        <w:rPr>
          <w:rFonts w:ascii="Times New Roman" w:eastAsia="楷体" w:hAnsi="Times New Roman" w:cs="Times New Roman"/>
          <w:b/>
          <w:bCs/>
          <w:sz w:val="28"/>
          <w:szCs w:val="28"/>
          <w14:ligatures w14:val="none"/>
        </w:rPr>
      </w:pPr>
    </w:p>
    <w:p w14:paraId="1174A9E2" w14:textId="6ABEAA77" w:rsidR="00E40B2D" w:rsidRPr="00E40B2D" w:rsidRDefault="00E97DA7" w:rsidP="001A5243">
      <w:pPr>
        <w:spacing w:after="0" w:line="360" w:lineRule="auto"/>
        <w:jc w:val="center"/>
        <w:rPr>
          <w:rFonts w:ascii="Times New Roman" w:eastAsia="楷体" w:hAnsi="Times New Roman" w:cs="Times New Roman" w:hint="eastAsia"/>
          <w:b/>
          <w:bCs/>
          <w:sz w:val="48"/>
          <w:szCs w:val="48"/>
          <w14:ligatures w14:val="none"/>
        </w:rPr>
      </w:pPr>
      <w:r>
        <w:rPr>
          <w:rFonts w:ascii="Times New Roman" w:eastAsia="楷体" w:hAnsi="Times New Roman" w:cs="Times New Roman" w:hint="eastAsia"/>
          <w:b/>
          <w:bCs/>
          <w:sz w:val="48"/>
          <w:szCs w:val="48"/>
          <w14:ligatures w14:val="none"/>
        </w:rPr>
        <w:t>基础大模型行业</w:t>
      </w:r>
    </w:p>
    <w:p w14:paraId="52614CE2" w14:textId="63E2CD78" w:rsidR="00E40B2D" w:rsidRPr="00E40B2D" w:rsidRDefault="00E97DA7" w:rsidP="001A5243">
      <w:pPr>
        <w:spacing w:after="0" w:line="360" w:lineRule="auto"/>
        <w:jc w:val="center"/>
        <w:rPr>
          <w:rFonts w:ascii="Times New Roman" w:eastAsia="楷体" w:hAnsi="Times New Roman" w:cs="Times New Roman"/>
          <w:b/>
          <w:bCs/>
          <w:sz w:val="48"/>
          <w:szCs w:val="48"/>
          <w14:ligatures w14:val="none"/>
        </w:rPr>
      </w:pPr>
      <w:r>
        <w:rPr>
          <w:rFonts w:ascii="Times New Roman" w:eastAsia="楷体" w:hAnsi="Times New Roman" w:cs="Times New Roman" w:hint="eastAsia"/>
          <w:b/>
          <w:bCs/>
          <w:sz w:val="48"/>
          <w:szCs w:val="48"/>
          <w14:ligatures w14:val="none"/>
        </w:rPr>
        <w:t>深度研究报告</w:t>
      </w:r>
    </w:p>
    <w:p w14:paraId="2332C67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ECF600C"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2381497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06A7833"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22D8612B"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3BC227A"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06E5BB12"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1D3DC29"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014D2B8A" w14:textId="5C538E09" w:rsidR="00E40B2D" w:rsidRPr="00E97DA7" w:rsidRDefault="00E97DA7" w:rsidP="001A5243">
      <w:pPr>
        <w:spacing w:after="0" w:line="360" w:lineRule="auto"/>
        <w:jc w:val="center"/>
        <w:rPr>
          <w:rFonts w:ascii="Times New Roman" w:eastAsia="楷体" w:hAnsi="Times New Roman" w:cs="Times New Roman" w:hint="eastAsia"/>
          <w:sz w:val="48"/>
          <w:szCs w:val="48"/>
          <w14:ligatures w14:val="none"/>
        </w:rPr>
      </w:pPr>
      <w:r w:rsidRPr="00E97DA7">
        <w:rPr>
          <w:rFonts w:ascii="Times New Roman" w:eastAsia="楷体" w:hAnsi="Times New Roman" w:cs="Times New Roman" w:hint="eastAsia"/>
          <w:sz w:val="48"/>
          <w:szCs w:val="48"/>
          <w14:ligatures w14:val="none"/>
        </w:rPr>
        <w:t>2026</w:t>
      </w:r>
      <w:r w:rsidRPr="00E97DA7">
        <w:rPr>
          <w:rFonts w:ascii="Times New Roman" w:eastAsia="楷体" w:hAnsi="Times New Roman" w:cs="Times New Roman" w:hint="eastAsia"/>
          <w:sz w:val="48"/>
          <w:szCs w:val="48"/>
          <w14:ligatures w14:val="none"/>
        </w:rPr>
        <w:t>年</w:t>
      </w:r>
      <w:r w:rsidRPr="00E97DA7">
        <w:rPr>
          <w:rFonts w:ascii="Times New Roman" w:eastAsia="楷体" w:hAnsi="Times New Roman" w:cs="Times New Roman" w:hint="eastAsia"/>
          <w:sz w:val="48"/>
          <w:szCs w:val="48"/>
          <w14:ligatures w14:val="none"/>
        </w:rPr>
        <w:t>4</w:t>
      </w:r>
      <w:r w:rsidRPr="00E97DA7">
        <w:rPr>
          <w:rFonts w:ascii="Times New Roman" w:eastAsia="楷体" w:hAnsi="Times New Roman" w:cs="Times New Roman" w:hint="eastAsia"/>
          <w:sz w:val="48"/>
          <w:szCs w:val="48"/>
          <w14:ligatures w14:val="none"/>
        </w:rPr>
        <w:t>月</w:t>
      </w:r>
    </w:p>
    <w:p w14:paraId="7E17314F"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E12DC88"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4050E2A4" w14:textId="77777777" w:rsidR="00E40B2D" w:rsidRPr="00E40B2D" w:rsidRDefault="00E40B2D" w:rsidP="001A5243">
      <w:pPr>
        <w:spacing w:after="0" w:line="360" w:lineRule="auto"/>
        <w:jc w:val="center"/>
        <w:rPr>
          <w:rFonts w:ascii="Times New Roman" w:eastAsia="楷体" w:hAnsi="Times New Roman" w:cs="Times New Roman"/>
          <w:b/>
          <w:bCs/>
          <w:sz w:val="48"/>
          <w:szCs w:val="48"/>
          <w14:ligatures w14:val="none"/>
        </w:rPr>
      </w:pPr>
    </w:p>
    <w:p w14:paraId="3AC57BBA" w14:textId="77777777" w:rsidR="00E40B2D" w:rsidRPr="00E40B2D" w:rsidRDefault="00E40B2D" w:rsidP="00E40B2D">
      <w:pPr>
        <w:spacing w:after="0" w:line="360" w:lineRule="auto"/>
        <w:jc w:val="center"/>
        <w:rPr>
          <w:rFonts w:ascii="Times New Roman" w:eastAsia="楷体" w:hAnsi="Times New Roman" w:cs="Times New Roman"/>
          <w:b/>
          <w:bCs/>
          <w:sz w:val="48"/>
          <w:szCs w:val="48"/>
          <w14:ligatures w14:val="none"/>
        </w:rPr>
      </w:pPr>
    </w:p>
    <w:p w14:paraId="17DE465C" w14:textId="39C7A303" w:rsidR="001A5243" w:rsidRPr="001A5243" w:rsidRDefault="001A5243" w:rsidP="001A5243">
      <w:pPr>
        <w:spacing w:after="0" w:line="360" w:lineRule="auto"/>
        <w:jc w:val="center"/>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lastRenderedPageBreak/>
        <w:t>声</w:t>
      </w:r>
      <w:r w:rsidRPr="001A5243">
        <w:rPr>
          <w:rFonts w:ascii="Times New Roman" w:eastAsia="楷体" w:hAnsi="Times New Roman" w:cs="Times New Roman"/>
          <w:b/>
          <w:bCs/>
          <w:sz w:val="24"/>
          <w:szCs w:val="22"/>
          <w14:ligatures w14:val="none"/>
        </w:rPr>
        <w:t xml:space="preserve"> </w:t>
      </w:r>
      <w:r w:rsidRPr="001A5243">
        <w:rPr>
          <w:rFonts w:ascii="Times New Roman" w:eastAsia="楷体" w:hAnsi="Times New Roman" w:cs="Times New Roman"/>
          <w:b/>
          <w:bCs/>
          <w:sz w:val="24"/>
          <w:szCs w:val="22"/>
          <w14:ligatures w14:val="none"/>
        </w:rPr>
        <w:t>明</w:t>
      </w:r>
    </w:p>
    <w:p w14:paraId="453DE4FA" w14:textId="77777777" w:rsidR="001A5243" w:rsidRPr="001A5243" w:rsidRDefault="001A5243" w:rsidP="001A5243">
      <w:pPr>
        <w:spacing w:after="0" w:line="360" w:lineRule="auto"/>
        <w:jc w:val="center"/>
        <w:rPr>
          <w:rFonts w:ascii="Times New Roman" w:eastAsia="楷体" w:hAnsi="Times New Roman" w:cs="Times New Roman"/>
          <w:b/>
          <w:bCs/>
          <w:sz w:val="24"/>
          <w:szCs w:val="22"/>
          <w14:ligatures w14:val="none"/>
        </w:rPr>
      </w:pPr>
    </w:p>
    <w:p w14:paraId="72863571" w14:textId="0EBC6A12" w:rsidR="001A5243" w:rsidRPr="00810DAC" w:rsidRDefault="00810DAC" w:rsidP="00810DAC">
      <w:pPr>
        <w:adjustRightInd w:val="0"/>
        <w:snapToGrid w:val="0"/>
        <w:spacing w:after="0" w:line="360" w:lineRule="auto"/>
        <w:jc w:val="both"/>
        <w:rPr>
          <w:rFonts w:ascii="Times New Roman" w:eastAsia="楷体" w:hAnsi="Times New Roman" w:cs="Times New Roman"/>
          <w:b/>
          <w:bCs/>
          <w:sz w:val="24"/>
          <w:szCs w:val="22"/>
          <w14:ligatures w14:val="none"/>
        </w:rPr>
      </w:pPr>
      <w:r>
        <w:rPr>
          <w:rFonts w:ascii="Times New Roman" w:eastAsia="楷体" w:hAnsi="Times New Roman" w:cs="Times New Roman" w:hint="eastAsia"/>
          <w:b/>
          <w:bCs/>
          <w:sz w:val="24"/>
          <w:szCs w:val="22"/>
          <w14:ligatures w14:val="none"/>
        </w:rPr>
        <w:t>一、</w:t>
      </w:r>
      <w:r w:rsidR="001A5243" w:rsidRPr="00810DAC">
        <w:rPr>
          <w:rFonts w:ascii="Times New Roman" w:eastAsia="楷体" w:hAnsi="Times New Roman" w:cs="Times New Roman"/>
          <w:b/>
          <w:bCs/>
          <w:sz w:val="24"/>
          <w:szCs w:val="22"/>
          <w14:ligatures w14:val="none"/>
        </w:rPr>
        <w:t>工作过程说明</w:t>
      </w:r>
    </w:p>
    <w:p w14:paraId="21BD1C19"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本报告的编制基于专业的研究方法与规范的工作流程：研究团队通过多渠道收集整理相关数据与信息（主要信息来源包括但不限于行业主管部门、</w:t>
      </w:r>
      <w:proofErr w:type="gramStart"/>
      <w:r w:rsidRPr="001A5243">
        <w:rPr>
          <w:rFonts w:ascii="Times New Roman" w:eastAsia="楷体" w:hAnsi="Times New Roman" w:cs="Times New Roman"/>
          <w:sz w:val="24"/>
          <w:szCs w:val="22"/>
          <w14:ligatures w14:val="none"/>
        </w:rPr>
        <w:t>业协协会</w:t>
      </w:r>
      <w:proofErr w:type="gramEnd"/>
      <w:r w:rsidRPr="001A5243">
        <w:rPr>
          <w:rFonts w:ascii="Times New Roman" w:eastAsia="楷体" w:hAnsi="Times New Roman" w:cs="Times New Roman"/>
          <w:sz w:val="24"/>
          <w:szCs w:val="22"/>
          <w14:ligatures w14:val="none"/>
        </w:rPr>
        <w:t>、第三</w:t>
      </w:r>
      <w:proofErr w:type="gramStart"/>
      <w:r w:rsidRPr="001A5243">
        <w:rPr>
          <w:rFonts w:ascii="Times New Roman" w:eastAsia="楷体" w:hAnsi="Times New Roman" w:cs="Times New Roman"/>
          <w:sz w:val="24"/>
          <w:szCs w:val="22"/>
          <w14:ligatures w14:val="none"/>
        </w:rPr>
        <w:t>方咨询</w:t>
      </w:r>
      <w:proofErr w:type="gramEnd"/>
      <w:r w:rsidRPr="001A5243">
        <w:rPr>
          <w:rFonts w:ascii="Times New Roman" w:eastAsia="楷体" w:hAnsi="Times New Roman" w:cs="Times New Roman"/>
          <w:sz w:val="24"/>
          <w:szCs w:val="22"/>
          <w14:ligatures w14:val="none"/>
        </w:rPr>
        <w:t>机构、券商、</w:t>
      </w:r>
      <w:r w:rsidRPr="001A5243">
        <w:rPr>
          <w:rFonts w:ascii="Times New Roman" w:eastAsia="楷体" w:hAnsi="Times New Roman" w:cs="Times New Roman"/>
          <w:sz w:val="24"/>
          <w:szCs w:val="22"/>
          <w14:ligatures w14:val="none"/>
        </w:rPr>
        <w:t>Choice</w:t>
      </w:r>
      <w:r w:rsidRPr="001A5243">
        <w:rPr>
          <w:rFonts w:ascii="Times New Roman" w:eastAsia="楷体" w:hAnsi="Times New Roman" w:cs="Times New Roman"/>
          <w:sz w:val="24"/>
          <w:szCs w:val="22"/>
          <w14:ligatures w14:val="none"/>
        </w:rPr>
        <w:t>、</w:t>
      </w:r>
      <w:proofErr w:type="spellStart"/>
      <w:r w:rsidRPr="001A5243">
        <w:rPr>
          <w:rFonts w:ascii="Times New Roman" w:eastAsia="楷体" w:hAnsi="Times New Roman" w:cs="Times New Roman"/>
          <w:sz w:val="24"/>
          <w:szCs w:val="22"/>
          <w14:ligatures w14:val="none"/>
        </w:rPr>
        <w:t>iFinD</w:t>
      </w:r>
      <w:proofErr w:type="spellEnd"/>
      <w:r w:rsidRPr="001A5243">
        <w:rPr>
          <w:rFonts w:ascii="Times New Roman" w:eastAsia="楷体" w:hAnsi="Times New Roman" w:cs="Times New Roman"/>
          <w:sz w:val="24"/>
          <w:szCs w:val="22"/>
          <w14:ligatures w14:val="none"/>
        </w:rPr>
        <w:t>等专业金融终端，以及市场调研所获得的一手数据），在收集数据与信息后，经过交叉验证、筛选整理、分析</w:t>
      </w:r>
      <w:proofErr w:type="gramStart"/>
      <w:r w:rsidRPr="001A5243">
        <w:rPr>
          <w:rFonts w:ascii="Times New Roman" w:eastAsia="楷体" w:hAnsi="Times New Roman" w:cs="Times New Roman"/>
          <w:sz w:val="24"/>
          <w:szCs w:val="22"/>
          <w14:ligatures w14:val="none"/>
        </w:rPr>
        <w:t>研判等</w:t>
      </w:r>
      <w:proofErr w:type="gramEnd"/>
      <w:r w:rsidRPr="001A5243">
        <w:rPr>
          <w:rFonts w:ascii="Times New Roman" w:eastAsia="楷体" w:hAnsi="Times New Roman" w:cs="Times New Roman"/>
          <w:sz w:val="24"/>
          <w:szCs w:val="22"/>
          <w14:ligatures w14:val="none"/>
        </w:rPr>
        <w:t>环节，得出相关结论，形成报告。</w:t>
      </w:r>
    </w:p>
    <w:p w14:paraId="6EEBC239" w14:textId="77777777" w:rsidR="001A5243" w:rsidRPr="001A5243" w:rsidRDefault="001A5243" w:rsidP="001A5243">
      <w:pPr>
        <w:spacing w:after="0" w:line="360" w:lineRule="auto"/>
        <w:jc w:val="both"/>
        <w:rPr>
          <w:rFonts w:ascii="Times New Roman" w:eastAsia="楷体" w:hAnsi="Times New Roman" w:cs="Times New Roman"/>
          <w:sz w:val="24"/>
          <w:szCs w:val="22"/>
          <w14:ligatures w14:val="none"/>
        </w:rPr>
      </w:pPr>
    </w:p>
    <w:p w14:paraId="6586E80F"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二、报告局限性说明</w:t>
      </w:r>
    </w:p>
    <w:p w14:paraId="03818243" w14:textId="77777777" w:rsidR="001A5243" w:rsidRPr="00810DAC" w:rsidRDefault="001A5243" w:rsidP="002037D2">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数据与信息局限性：本报告所依赖的公开信息及数据由第三</w:t>
      </w:r>
      <w:proofErr w:type="gramStart"/>
      <w:r w:rsidRPr="00810DAC">
        <w:rPr>
          <w:rFonts w:ascii="Times New Roman" w:eastAsia="楷体" w:hAnsi="Times New Roman" w:cs="Times New Roman"/>
          <w:sz w:val="24"/>
          <w:szCs w:val="22"/>
          <w14:ligatures w14:val="none"/>
        </w:rPr>
        <w:t>方渠道</w:t>
      </w:r>
      <w:proofErr w:type="gramEnd"/>
      <w:r w:rsidRPr="00810DAC">
        <w:rPr>
          <w:rFonts w:ascii="Times New Roman" w:eastAsia="楷体" w:hAnsi="Times New Roman" w:cs="Times New Roman"/>
          <w:sz w:val="24"/>
          <w:szCs w:val="22"/>
          <w14:ligatures w14:val="none"/>
        </w:rPr>
        <w:t>提供，尽管我司已尽力进行核实，但无法完全保证其原始数据的准确性、完整性</w:t>
      </w:r>
      <w:proofErr w:type="gramStart"/>
      <w:r w:rsidRPr="00810DAC">
        <w:rPr>
          <w:rFonts w:ascii="Times New Roman" w:eastAsia="楷体" w:hAnsi="Times New Roman" w:cs="Times New Roman"/>
          <w:sz w:val="24"/>
          <w:szCs w:val="22"/>
          <w14:ligatures w14:val="none"/>
        </w:rPr>
        <w:t>及及时</w:t>
      </w:r>
      <w:proofErr w:type="gramEnd"/>
      <w:r w:rsidRPr="00810DAC">
        <w:rPr>
          <w:rFonts w:ascii="Times New Roman" w:eastAsia="楷体" w:hAnsi="Times New Roman" w:cs="Times New Roman"/>
          <w:sz w:val="24"/>
          <w:szCs w:val="22"/>
          <w14:ligatures w14:val="none"/>
        </w:rPr>
        <w:t>性；市场调研获取的信息受调研范围、调研对象配合程度等因素影响，存在一定的片面性，无法保证数据的准确性、完整性及真实性。</w:t>
      </w:r>
    </w:p>
    <w:p w14:paraId="1A6EECA7" w14:textId="24298031" w:rsidR="001A5243" w:rsidRPr="00810DAC" w:rsidRDefault="001A5243" w:rsidP="002037D2">
      <w:pPr>
        <w:pStyle w:val="a9"/>
        <w:numPr>
          <w:ilvl w:val="0"/>
          <w:numId w:val="18"/>
        </w:numPr>
        <w:adjustRightInd w:val="0"/>
        <w:snapToGrid w:val="0"/>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时效性局限：本报告的撰写时间为</w:t>
      </w:r>
      <w:r w:rsidR="002037D2">
        <w:rPr>
          <w:rFonts w:ascii="Times New Roman" w:eastAsia="楷体" w:hAnsi="Times New Roman" w:cs="Times New Roman" w:hint="eastAsia"/>
          <w:sz w:val="24"/>
          <w:szCs w:val="22"/>
          <w14:ligatures w14:val="none"/>
        </w:rPr>
        <w:t>2026</w:t>
      </w:r>
      <w:r w:rsidR="002037D2">
        <w:rPr>
          <w:rFonts w:ascii="Times New Roman" w:eastAsia="楷体" w:hAnsi="Times New Roman" w:cs="Times New Roman" w:hint="eastAsia"/>
          <w:sz w:val="24"/>
          <w:szCs w:val="22"/>
          <w14:ligatures w14:val="none"/>
        </w:rPr>
        <w:t>年四月</w:t>
      </w:r>
      <w:r w:rsidRPr="00810DAC">
        <w:rPr>
          <w:rFonts w:ascii="Times New Roman" w:eastAsia="楷体" w:hAnsi="Times New Roman" w:cs="Times New Roman"/>
          <w:sz w:val="24"/>
          <w:szCs w:val="22"/>
          <w14:ligatures w14:val="none"/>
        </w:rPr>
        <w:t>，行业及相关企业情况可能在此之后发生变化，但本报告未能覆盖。</w:t>
      </w:r>
    </w:p>
    <w:p w14:paraId="2C7991DE" w14:textId="77777777" w:rsidR="001A5243" w:rsidRPr="00810DAC" w:rsidRDefault="001A5243" w:rsidP="002037D2">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分析方法局限性：本报告的分析基于既定的行业研究框架与模型，仅反映特定时间节点下的行业状况，行业发展及企业经营具有动态变化性，过往数据及分析结论不能完全预示未来趋势。</w:t>
      </w:r>
    </w:p>
    <w:p w14:paraId="4EDDCB43" w14:textId="77777777" w:rsidR="001A5243" w:rsidRPr="00810DAC" w:rsidRDefault="001A5243" w:rsidP="002037D2">
      <w:pPr>
        <w:pStyle w:val="a9"/>
        <w:numPr>
          <w:ilvl w:val="0"/>
          <w:numId w:val="18"/>
        </w:numPr>
        <w:spacing w:after="0" w:line="360" w:lineRule="auto"/>
        <w:ind w:leftChars="150" w:left="772" w:hanging="442"/>
        <w:jc w:val="both"/>
        <w:rPr>
          <w:rFonts w:ascii="Times New Roman" w:eastAsia="楷体" w:hAnsi="Times New Roman" w:cs="Times New Roman"/>
          <w:sz w:val="24"/>
          <w:szCs w:val="22"/>
          <w14:ligatures w14:val="none"/>
        </w:rPr>
      </w:pPr>
      <w:r w:rsidRPr="00810DAC">
        <w:rPr>
          <w:rFonts w:ascii="Times New Roman" w:eastAsia="楷体" w:hAnsi="Times New Roman" w:cs="Times New Roman"/>
          <w:sz w:val="24"/>
          <w:szCs w:val="22"/>
          <w14:ligatures w14:val="none"/>
        </w:rPr>
        <w:t>范围局限性：本报告聚焦于细分行业，未涵盖全行业内全部企业及其他细分领域，相关分析结论仅适用于报告所界定的研究范围。</w:t>
      </w:r>
    </w:p>
    <w:p w14:paraId="2DCBAC79" w14:textId="77777777" w:rsidR="001A5243" w:rsidRPr="001A5243" w:rsidRDefault="001A5243" w:rsidP="001A5243">
      <w:pPr>
        <w:spacing w:after="0" w:line="360" w:lineRule="auto"/>
        <w:ind w:left="720"/>
        <w:jc w:val="both"/>
        <w:rPr>
          <w:rFonts w:ascii="Times New Roman" w:eastAsia="楷体" w:hAnsi="Times New Roman" w:cs="Times New Roman"/>
          <w:sz w:val="24"/>
          <w:szCs w:val="22"/>
          <w14:ligatures w14:val="none"/>
        </w:rPr>
      </w:pPr>
    </w:p>
    <w:p w14:paraId="79A45D58"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三、不得用于投资决策的提示</w:t>
      </w:r>
    </w:p>
    <w:p w14:paraId="319DEC6F" w14:textId="77777777" w:rsidR="001A5243" w:rsidRPr="001B02E5" w:rsidRDefault="001A5243" w:rsidP="001B02E5">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将不可避免的对行业内龙头企业、明星企业、相关上市公司进行提及或描述，任何对单一企业的提及或描述仅出于对行业研究之完整性而进行，不构成任何形式的投资建议（包括但不限于买入、卖出、持有等投资决策），也不代表我司对任何一家企业的投资价值判断。</w:t>
      </w:r>
    </w:p>
    <w:p w14:paraId="128434B8" w14:textId="77777777" w:rsidR="001A5243" w:rsidRPr="001B02E5" w:rsidRDefault="001A5243" w:rsidP="001B02E5">
      <w:pPr>
        <w:pStyle w:val="a9"/>
        <w:numPr>
          <w:ilvl w:val="0"/>
          <w:numId w:val="19"/>
        </w:numPr>
        <w:spacing w:after="0" w:line="360" w:lineRule="auto"/>
        <w:ind w:leftChars="150" w:left="772" w:hanging="442"/>
        <w:jc w:val="both"/>
        <w:rPr>
          <w:rFonts w:ascii="Times New Roman" w:eastAsia="楷体" w:hAnsi="Times New Roman" w:cs="Times New Roman"/>
          <w:sz w:val="24"/>
          <w:szCs w:val="22"/>
          <w14:ligatures w14:val="none"/>
        </w:rPr>
      </w:pPr>
      <w:r w:rsidRPr="001B02E5">
        <w:rPr>
          <w:rFonts w:ascii="Times New Roman" w:eastAsia="楷体" w:hAnsi="Times New Roman" w:cs="Times New Roman"/>
          <w:sz w:val="24"/>
          <w:szCs w:val="22"/>
          <w14:ligatures w14:val="none"/>
        </w:rPr>
        <w:t>本行业研究报告仅限于行业研究之用途，任何单位或个人不得将本报告内容擅自用于非约定用途、不得作为投资决策依据。我司不对任何单或个人在非约定用途下使用本报告产生的任何损失承担责任。</w:t>
      </w:r>
    </w:p>
    <w:p w14:paraId="74E73AE0" w14:textId="77777777" w:rsidR="001A5243" w:rsidRPr="001A5243" w:rsidRDefault="001A5243" w:rsidP="001A5243">
      <w:pPr>
        <w:spacing w:after="0" w:line="360" w:lineRule="auto"/>
        <w:ind w:left="720"/>
        <w:jc w:val="both"/>
        <w:rPr>
          <w:rFonts w:ascii="Times New Roman" w:eastAsia="楷体" w:hAnsi="Times New Roman" w:cs="Times New Roman"/>
          <w:sz w:val="24"/>
          <w:szCs w:val="22"/>
          <w14:ligatures w14:val="none"/>
        </w:rPr>
      </w:pPr>
    </w:p>
    <w:p w14:paraId="65CAA0E1" w14:textId="77777777" w:rsidR="001A5243" w:rsidRPr="001A5243" w:rsidRDefault="001A5243" w:rsidP="001A5243">
      <w:pPr>
        <w:spacing w:after="0" w:line="360" w:lineRule="auto"/>
        <w:jc w:val="both"/>
        <w:rPr>
          <w:rFonts w:ascii="Times New Roman" w:eastAsia="楷体" w:hAnsi="Times New Roman" w:cs="Times New Roman"/>
          <w:b/>
          <w:bCs/>
          <w:sz w:val="24"/>
          <w:szCs w:val="22"/>
          <w14:ligatures w14:val="none"/>
        </w:rPr>
      </w:pPr>
      <w:r w:rsidRPr="001A5243">
        <w:rPr>
          <w:rFonts w:ascii="Times New Roman" w:eastAsia="楷体" w:hAnsi="Times New Roman" w:cs="Times New Roman"/>
          <w:b/>
          <w:bCs/>
          <w:sz w:val="24"/>
          <w:szCs w:val="22"/>
          <w14:ligatures w14:val="none"/>
        </w:rPr>
        <w:t>四、其他说明</w:t>
      </w:r>
    </w:p>
    <w:p w14:paraId="298ABB2B"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本报告的知识产权归我司所有，未经我司书面许可，任何单位或个人不得擅自复制、传播、转载本报告全部或部分内容。本报告仅提供江南基金管理有限公司参考，我司不对除江南基金外的任何第三方因使用本报告内容而产生的任何直接或间接损失承担责任。</w:t>
      </w:r>
    </w:p>
    <w:p w14:paraId="4A3B3BE2" w14:textId="77777777" w:rsidR="001A5243" w:rsidRPr="001A5243" w:rsidRDefault="001A5243" w:rsidP="001A5243">
      <w:pPr>
        <w:spacing w:after="0" w:line="360" w:lineRule="auto"/>
        <w:jc w:val="both"/>
        <w:rPr>
          <w:rFonts w:ascii="Times New Roman" w:eastAsia="楷体" w:hAnsi="Times New Roman" w:cs="Times New Roman"/>
          <w:sz w:val="24"/>
          <w:szCs w:val="22"/>
          <w14:ligatures w14:val="none"/>
        </w:rPr>
      </w:pPr>
    </w:p>
    <w:p w14:paraId="5D753015"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r w:rsidRPr="001A5243">
        <w:rPr>
          <w:rFonts w:ascii="Times New Roman" w:eastAsia="楷体" w:hAnsi="Times New Roman" w:cs="Times New Roman"/>
          <w:sz w:val="24"/>
          <w:szCs w:val="22"/>
          <w14:ligatures w14:val="none"/>
        </w:rPr>
        <w:t>特此声明。</w:t>
      </w:r>
    </w:p>
    <w:p w14:paraId="73C26D71" w14:textId="77777777" w:rsidR="001A5243" w:rsidRPr="001A5243" w:rsidRDefault="001A5243" w:rsidP="001A5243">
      <w:pPr>
        <w:spacing w:after="0" w:line="360" w:lineRule="auto"/>
        <w:ind w:firstLineChars="200" w:firstLine="480"/>
        <w:jc w:val="both"/>
        <w:rPr>
          <w:rFonts w:ascii="Times New Roman" w:eastAsia="楷体" w:hAnsi="Times New Roman" w:cs="Times New Roman"/>
          <w:sz w:val="24"/>
          <w:szCs w:val="22"/>
          <w14:ligatures w14:val="none"/>
        </w:rPr>
      </w:pPr>
    </w:p>
    <w:p w14:paraId="04ED83C3" w14:textId="77777777" w:rsidR="001A5243" w:rsidRPr="001A5243" w:rsidRDefault="001A5243" w:rsidP="001A5243">
      <w:pPr>
        <w:spacing w:after="0" w:line="360" w:lineRule="auto"/>
        <w:ind w:firstLineChars="71" w:firstLine="170"/>
        <w:jc w:val="right"/>
        <w:rPr>
          <w:rFonts w:ascii="楷体" w:eastAsia="楷体" w:hAnsi="楷体"/>
          <w:sz w:val="24"/>
          <w:szCs w:val="21"/>
          <w14:ligatures w14:val="none"/>
        </w:rPr>
      </w:pPr>
      <w:r w:rsidRPr="001A5243">
        <w:rPr>
          <w:rFonts w:ascii="Times New Roman" w:eastAsia="楷体" w:hAnsi="Times New Roman" w:cs="Times New Roman"/>
          <w:sz w:val="24"/>
          <w:szCs w:val="21"/>
          <w14:ligatures w14:val="none"/>
        </w:rPr>
        <w:t>北京润稷管理咨询有限责任公司</w:t>
      </w:r>
    </w:p>
    <w:p w14:paraId="26E47F1F" w14:textId="77777777" w:rsidR="001A5243" w:rsidRPr="001A5243" w:rsidRDefault="001A5243" w:rsidP="001A5243">
      <w:pPr>
        <w:spacing w:after="0" w:line="360" w:lineRule="auto"/>
        <w:ind w:firstLineChars="200" w:firstLine="560"/>
        <w:jc w:val="both"/>
        <w:rPr>
          <w:rFonts w:eastAsia="楷体"/>
          <w:sz w:val="28"/>
          <w:szCs w:val="22"/>
          <w14:ligatures w14:val="none"/>
        </w:rPr>
      </w:pPr>
    </w:p>
    <w:p w14:paraId="1329DDEB" w14:textId="77777777" w:rsidR="001A5243" w:rsidRDefault="001A5243" w:rsidP="001A5243"/>
    <w:p w14:paraId="03F69CB7" w14:textId="77777777" w:rsidR="001B6851" w:rsidRDefault="001B6851" w:rsidP="001A5243"/>
    <w:p w14:paraId="7EC0EC75" w14:textId="77777777" w:rsidR="001B6851" w:rsidRDefault="001B6851" w:rsidP="001A5243"/>
    <w:p w14:paraId="04EE07E3" w14:textId="77777777" w:rsidR="001B6851" w:rsidRDefault="001B6851" w:rsidP="001A5243"/>
    <w:p w14:paraId="3D8D0749" w14:textId="77777777" w:rsidR="001B6851" w:rsidRDefault="001B6851" w:rsidP="001A5243"/>
    <w:p w14:paraId="220B855A" w14:textId="77777777" w:rsidR="001B6851" w:rsidRDefault="001B6851" w:rsidP="001A5243"/>
    <w:p w14:paraId="4F6BD5B7" w14:textId="77777777" w:rsidR="001B6851" w:rsidRDefault="001B6851" w:rsidP="001A5243"/>
    <w:p w14:paraId="558E2C05" w14:textId="77777777" w:rsidR="001B6851" w:rsidRDefault="001B6851" w:rsidP="001A5243"/>
    <w:p w14:paraId="6E69F75A" w14:textId="77777777" w:rsidR="001B6851" w:rsidRDefault="001B6851" w:rsidP="001A5243"/>
    <w:p w14:paraId="14BC2739" w14:textId="77777777" w:rsidR="001B6851" w:rsidRDefault="001B6851" w:rsidP="001A5243"/>
    <w:p w14:paraId="6387B61B" w14:textId="77777777" w:rsidR="001B6851" w:rsidRDefault="001B6851" w:rsidP="001A5243"/>
    <w:p w14:paraId="150A33C5" w14:textId="77777777" w:rsidR="001B6851" w:rsidRDefault="001B6851" w:rsidP="001A5243"/>
    <w:p w14:paraId="59A65F18" w14:textId="77777777" w:rsidR="001B6851" w:rsidRDefault="001B6851" w:rsidP="001A5243"/>
    <w:p w14:paraId="7D1E1A56" w14:textId="77777777" w:rsidR="001B6851" w:rsidRDefault="001B6851" w:rsidP="001A5243"/>
    <w:p w14:paraId="28257B7D" w14:textId="77777777" w:rsidR="001B6851" w:rsidRDefault="001B6851" w:rsidP="001A5243"/>
    <w:sdt>
      <w:sdtPr>
        <w:rPr>
          <w:lang w:val="zh-CN"/>
        </w:rPr>
        <w:id w:val="42061378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08EC499B" w14:textId="2A5EA914" w:rsidR="00BF345B" w:rsidRPr="00D102A8" w:rsidRDefault="00BF345B">
          <w:pPr>
            <w:pStyle w:val="TOC"/>
            <w:rPr>
              <w:rFonts w:ascii="楷体" w:eastAsia="楷体" w:hAnsi="楷体" w:hint="eastAsia"/>
              <w:color w:val="000000" w:themeColor="text1"/>
            </w:rPr>
          </w:pPr>
          <w:r w:rsidRPr="00D102A8">
            <w:rPr>
              <w:rFonts w:ascii="楷体" w:eastAsia="楷体" w:hAnsi="楷体"/>
              <w:color w:val="000000" w:themeColor="text1"/>
              <w:lang w:val="zh-CN"/>
            </w:rPr>
            <w:t>目录</w:t>
          </w:r>
        </w:p>
        <w:p w14:paraId="377E8D20" w14:textId="5A1B8B07" w:rsidR="00BF345B" w:rsidRDefault="00BF345B">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28374850" w:history="1">
            <w:r w:rsidRPr="00291F59">
              <w:rPr>
                <w:rStyle w:val="af3"/>
                <w:rFonts w:ascii="楷体" w:eastAsia="楷体" w:hAnsi="楷体"/>
                <w:noProof/>
              </w:rPr>
              <w:t>1.行业概览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0CF8D0D5" w14:textId="4C00B5F3" w:rsidR="00BF345B" w:rsidRDefault="00BF345B">
          <w:pPr>
            <w:pStyle w:val="TOC2"/>
            <w:tabs>
              <w:tab w:val="right" w:leader="dot" w:pos="8296"/>
            </w:tabs>
            <w:rPr>
              <w:rFonts w:cstheme="minorBidi" w:hint="eastAsia"/>
              <w:noProof/>
              <w:kern w:val="2"/>
              <w:szCs w:val="24"/>
              <w14:ligatures w14:val="standardContextual"/>
            </w:rPr>
          </w:pPr>
          <w:hyperlink w:anchor="_Toc228374851" w:history="1">
            <w:r w:rsidRPr="00291F59">
              <w:rPr>
                <w:rStyle w:val="af3"/>
                <w:rFonts w:ascii="楷体" w:eastAsia="楷体" w:hAnsi="楷体"/>
                <w:noProof/>
              </w:rPr>
              <w:t>1.1定义与分类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40702471" w14:textId="0BEA42CB" w:rsidR="00BF345B" w:rsidRDefault="00BF345B">
          <w:pPr>
            <w:pStyle w:val="TOC3"/>
            <w:tabs>
              <w:tab w:val="right" w:leader="dot" w:pos="8296"/>
            </w:tabs>
            <w:rPr>
              <w:rFonts w:cstheme="minorBidi" w:hint="eastAsia"/>
              <w:noProof/>
              <w:kern w:val="2"/>
              <w:szCs w:val="24"/>
              <w14:ligatures w14:val="standardContextual"/>
            </w:rPr>
          </w:pPr>
          <w:hyperlink w:anchor="_Toc228374852" w:history="1">
            <w:r w:rsidRPr="00291F59">
              <w:rPr>
                <w:rStyle w:val="af3"/>
                <w:rFonts w:ascii="楷体" w:eastAsia="楷体" w:hAnsi="楷体"/>
                <w:noProof/>
              </w:rPr>
              <w:t>1.1.1定义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w:t>
            </w:r>
            <w:r>
              <w:rPr>
                <w:rFonts w:hint="eastAsia"/>
                <w:noProof/>
                <w:webHidden/>
              </w:rPr>
              <w:fldChar w:fldCharType="end"/>
            </w:r>
          </w:hyperlink>
        </w:p>
        <w:p w14:paraId="2932CB35" w14:textId="6E6E5571" w:rsidR="00BF345B" w:rsidRDefault="00BF345B">
          <w:pPr>
            <w:pStyle w:val="TOC3"/>
            <w:tabs>
              <w:tab w:val="right" w:leader="dot" w:pos="8296"/>
            </w:tabs>
            <w:rPr>
              <w:rFonts w:cstheme="minorBidi" w:hint="eastAsia"/>
              <w:noProof/>
              <w:kern w:val="2"/>
              <w:szCs w:val="24"/>
              <w14:ligatures w14:val="standardContextual"/>
            </w:rPr>
          </w:pPr>
          <w:hyperlink w:anchor="_Toc228374853" w:history="1">
            <w:r w:rsidRPr="00291F59">
              <w:rPr>
                <w:rStyle w:val="af3"/>
                <w:rFonts w:ascii="楷体" w:eastAsia="楷体" w:hAnsi="楷体"/>
                <w:noProof/>
              </w:rPr>
              <w:t>1.1.2产业特性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w:t>
            </w:r>
            <w:r>
              <w:rPr>
                <w:rFonts w:hint="eastAsia"/>
                <w:noProof/>
                <w:webHidden/>
              </w:rPr>
              <w:fldChar w:fldCharType="end"/>
            </w:r>
          </w:hyperlink>
        </w:p>
        <w:p w14:paraId="1CAA8706" w14:textId="7995ED95" w:rsidR="00BF345B" w:rsidRDefault="00BF345B">
          <w:pPr>
            <w:pStyle w:val="TOC2"/>
            <w:tabs>
              <w:tab w:val="right" w:leader="dot" w:pos="8296"/>
            </w:tabs>
            <w:rPr>
              <w:rFonts w:cstheme="minorBidi" w:hint="eastAsia"/>
              <w:noProof/>
              <w:kern w:val="2"/>
              <w:szCs w:val="24"/>
              <w14:ligatures w14:val="standardContextual"/>
            </w:rPr>
          </w:pPr>
          <w:hyperlink w:anchor="_Toc228374854" w:history="1">
            <w:r w:rsidRPr="00291F59">
              <w:rPr>
                <w:rStyle w:val="af3"/>
                <w:rFonts w:ascii="楷体" w:eastAsia="楷体" w:hAnsi="楷体"/>
                <w:noProof/>
              </w:rPr>
              <w:t>1.2发展背景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w:t>
            </w:r>
            <w:r>
              <w:rPr>
                <w:rFonts w:hint="eastAsia"/>
                <w:noProof/>
                <w:webHidden/>
              </w:rPr>
              <w:fldChar w:fldCharType="end"/>
            </w:r>
          </w:hyperlink>
        </w:p>
        <w:p w14:paraId="550AB1B1" w14:textId="2F030875" w:rsidR="00BF345B" w:rsidRDefault="00BF345B">
          <w:pPr>
            <w:pStyle w:val="TOC3"/>
            <w:tabs>
              <w:tab w:val="right" w:leader="dot" w:pos="8296"/>
            </w:tabs>
            <w:rPr>
              <w:rFonts w:cstheme="minorBidi" w:hint="eastAsia"/>
              <w:noProof/>
              <w:kern w:val="2"/>
              <w:szCs w:val="24"/>
              <w14:ligatures w14:val="standardContextual"/>
            </w:rPr>
          </w:pPr>
          <w:hyperlink w:anchor="_Toc228374855" w:history="1">
            <w:r w:rsidRPr="00291F59">
              <w:rPr>
                <w:rStyle w:val="af3"/>
                <w:rFonts w:ascii="楷体" w:eastAsia="楷体" w:hAnsi="楷体"/>
                <w:noProof/>
              </w:rPr>
              <w:t>1.2.1政策环境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w:t>
            </w:r>
            <w:r>
              <w:rPr>
                <w:rFonts w:hint="eastAsia"/>
                <w:noProof/>
                <w:webHidden/>
              </w:rPr>
              <w:fldChar w:fldCharType="end"/>
            </w:r>
          </w:hyperlink>
        </w:p>
        <w:p w14:paraId="164FBC34" w14:textId="147A94D8" w:rsidR="00BF345B" w:rsidRDefault="00BF345B">
          <w:pPr>
            <w:pStyle w:val="TOC3"/>
            <w:tabs>
              <w:tab w:val="right" w:leader="dot" w:pos="8296"/>
            </w:tabs>
            <w:rPr>
              <w:rFonts w:cstheme="minorBidi" w:hint="eastAsia"/>
              <w:noProof/>
              <w:kern w:val="2"/>
              <w:szCs w:val="24"/>
              <w14:ligatures w14:val="standardContextual"/>
            </w:rPr>
          </w:pPr>
          <w:hyperlink w:anchor="_Toc228374856" w:history="1">
            <w:r w:rsidRPr="00291F59">
              <w:rPr>
                <w:rStyle w:val="af3"/>
                <w:rFonts w:ascii="楷体" w:eastAsia="楷体" w:hAnsi="楷体"/>
                <w:noProof/>
              </w:rPr>
              <w:t>1.2.2市场规模与产业阶段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6</w:t>
            </w:r>
            <w:r>
              <w:rPr>
                <w:rFonts w:hint="eastAsia"/>
                <w:noProof/>
                <w:webHidden/>
              </w:rPr>
              <w:fldChar w:fldCharType="end"/>
            </w:r>
          </w:hyperlink>
        </w:p>
        <w:p w14:paraId="0BF3D5C2" w14:textId="2C2DC45A" w:rsidR="00BF345B" w:rsidRDefault="00BF345B">
          <w:pPr>
            <w:pStyle w:val="TOC1"/>
            <w:tabs>
              <w:tab w:val="right" w:leader="dot" w:pos="8296"/>
            </w:tabs>
            <w:rPr>
              <w:rFonts w:cstheme="minorBidi" w:hint="eastAsia"/>
              <w:noProof/>
              <w:kern w:val="2"/>
              <w:szCs w:val="24"/>
              <w14:ligatures w14:val="standardContextual"/>
            </w:rPr>
          </w:pPr>
          <w:hyperlink w:anchor="_Toc228374857" w:history="1">
            <w:r w:rsidRPr="00291F59">
              <w:rPr>
                <w:rStyle w:val="af3"/>
                <w:rFonts w:ascii="楷体" w:eastAsia="楷体" w:hAnsi="楷体"/>
                <w:noProof/>
              </w:rPr>
              <w:t>2.产业链与商业模式深度解析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245C362A" w14:textId="1130A5EC" w:rsidR="00BF345B" w:rsidRDefault="00BF345B">
          <w:pPr>
            <w:pStyle w:val="TOC2"/>
            <w:tabs>
              <w:tab w:val="right" w:leader="dot" w:pos="8296"/>
            </w:tabs>
            <w:rPr>
              <w:rFonts w:cstheme="minorBidi" w:hint="eastAsia"/>
              <w:noProof/>
              <w:kern w:val="2"/>
              <w:szCs w:val="24"/>
              <w14:ligatures w14:val="standardContextual"/>
            </w:rPr>
          </w:pPr>
          <w:hyperlink w:anchor="_Toc228374858" w:history="1">
            <w:r w:rsidRPr="00291F59">
              <w:rPr>
                <w:rStyle w:val="af3"/>
                <w:rFonts w:ascii="楷体" w:eastAsia="楷体" w:hAnsi="楷体"/>
                <w:noProof/>
              </w:rPr>
              <w:t>2.1上中下游产业链图谱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0096B610" w14:textId="204D77BA" w:rsidR="00BF345B" w:rsidRDefault="00BF345B">
          <w:pPr>
            <w:pStyle w:val="TOC3"/>
            <w:tabs>
              <w:tab w:val="right" w:leader="dot" w:pos="8296"/>
            </w:tabs>
            <w:rPr>
              <w:rFonts w:cstheme="minorBidi" w:hint="eastAsia"/>
              <w:noProof/>
              <w:kern w:val="2"/>
              <w:szCs w:val="24"/>
              <w14:ligatures w14:val="standardContextual"/>
            </w:rPr>
          </w:pPr>
          <w:hyperlink w:anchor="_Toc228374859" w:history="1">
            <w:r w:rsidRPr="00291F59">
              <w:rPr>
                <w:rStyle w:val="af3"/>
                <w:rFonts w:ascii="楷体" w:eastAsia="楷体" w:hAnsi="楷体"/>
                <w:noProof/>
              </w:rPr>
              <w:t>2.1.1上游：算力与数据基石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_Toc228374859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11</w:t>
            </w:r>
            <w:r>
              <w:rPr>
                <w:rFonts w:hint="eastAsia"/>
                <w:noProof/>
                <w:webHidden/>
              </w:rPr>
              <w:fldChar w:fldCharType="end"/>
            </w:r>
          </w:hyperlink>
        </w:p>
        <w:p w14:paraId="30D33E42" w14:textId="5511F69E" w:rsidR="00BF345B" w:rsidRDefault="00BF345B">
          <w:pPr>
            <w:pStyle w:val="TOC3"/>
            <w:tabs>
              <w:tab w:val="right" w:leader="dot" w:pos="8296"/>
            </w:tabs>
            <w:rPr>
              <w:rFonts w:cstheme="minorBidi" w:hint="eastAsia"/>
              <w:noProof/>
              <w:kern w:val="2"/>
              <w:szCs w:val="24"/>
              <w14:ligatures w14:val="standardContextual"/>
            </w:rPr>
          </w:pPr>
          <w:hyperlink w:anchor="_Toc228374860" w:history="1">
            <w:r w:rsidRPr="00291F59">
              <w:rPr>
                <w:rStyle w:val="af3"/>
                <w:rFonts w:ascii="楷体" w:eastAsia="楷体" w:hAnsi="楷体"/>
                <w:noProof/>
              </w:rPr>
              <w:t>2.1.2中游：模型与平台核心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12</w:t>
            </w:r>
            <w:r>
              <w:rPr>
                <w:rFonts w:hint="eastAsia"/>
                <w:noProof/>
                <w:webHidden/>
              </w:rPr>
              <w:fldChar w:fldCharType="end"/>
            </w:r>
          </w:hyperlink>
        </w:p>
        <w:p w14:paraId="33083788" w14:textId="7BE65DC7" w:rsidR="00BF345B" w:rsidRDefault="00BF345B">
          <w:pPr>
            <w:pStyle w:val="TOC3"/>
            <w:tabs>
              <w:tab w:val="right" w:leader="dot" w:pos="8296"/>
            </w:tabs>
            <w:rPr>
              <w:rFonts w:cstheme="minorBidi" w:hint="eastAsia"/>
              <w:noProof/>
              <w:kern w:val="2"/>
              <w:szCs w:val="24"/>
              <w14:ligatures w14:val="standardContextual"/>
            </w:rPr>
          </w:pPr>
          <w:hyperlink w:anchor="_Toc228374861" w:history="1">
            <w:r w:rsidRPr="00291F59">
              <w:rPr>
                <w:rStyle w:val="af3"/>
                <w:rFonts w:ascii="楷体" w:eastAsia="楷体" w:hAnsi="楷体"/>
                <w:noProof/>
              </w:rPr>
              <w:t>2.1.3 下游：应用与产品落地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15</w:t>
            </w:r>
            <w:r>
              <w:rPr>
                <w:rFonts w:hint="eastAsia"/>
                <w:noProof/>
                <w:webHidden/>
              </w:rPr>
              <w:fldChar w:fldCharType="end"/>
            </w:r>
          </w:hyperlink>
        </w:p>
        <w:p w14:paraId="5D471B4F" w14:textId="0F544C10" w:rsidR="00BF345B" w:rsidRDefault="00BF345B">
          <w:pPr>
            <w:pStyle w:val="TOC2"/>
            <w:tabs>
              <w:tab w:val="right" w:leader="dot" w:pos="8296"/>
            </w:tabs>
            <w:rPr>
              <w:rFonts w:cstheme="minorBidi" w:hint="eastAsia"/>
              <w:noProof/>
              <w:kern w:val="2"/>
              <w:szCs w:val="24"/>
              <w14:ligatures w14:val="standardContextual"/>
            </w:rPr>
          </w:pPr>
          <w:hyperlink w:anchor="_Toc228374862" w:history="1">
            <w:r w:rsidRPr="00291F59">
              <w:rPr>
                <w:rStyle w:val="af3"/>
                <w:rFonts w:ascii="楷体" w:eastAsia="楷体" w:hAnsi="楷体"/>
                <w:noProof/>
              </w:rPr>
              <w:t>2.2 商业化情况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16</w:t>
            </w:r>
            <w:r>
              <w:rPr>
                <w:rFonts w:hint="eastAsia"/>
                <w:noProof/>
                <w:webHidden/>
              </w:rPr>
              <w:fldChar w:fldCharType="end"/>
            </w:r>
          </w:hyperlink>
        </w:p>
        <w:p w14:paraId="0BEF7F0E" w14:textId="28D1AFD2" w:rsidR="00BF345B" w:rsidRDefault="00BF345B">
          <w:pPr>
            <w:pStyle w:val="TOC3"/>
            <w:tabs>
              <w:tab w:val="right" w:leader="dot" w:pos="8296"/>
            </w:tabs>
            <w:rPr>
              <w:rFonts w:cstheme="minorBidi" w:hint="eastAsia"/>
              <w:noProof/>
              <w:kern w:val="2"/>
              <w:szCs w:val="24"/>
              <w14:ligatures w14:val="standardContextual"/>
            </w:rPr>
          </w:pPr>
          <w:hyperlink w:anchor="_Toc228374863" w:history="1">
            <w:r w:rsidRPr="00291F59">
              <w:rPr>
                <w:rStyle w:val="af3"/>
                <w:rFonts w:ascii="楷体" w:eastAsia="楷体" w:hAnsi="楷体"/>
                <w:noProof/>
              </w:rPr>
              <w:t>2.2.1 服务模式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16</w:t>
            </w:r>
            <w:r>
              <w:rPr>
                <w:rFonts w:hint="eastAsia"/>
                <w:noProof/>
                <w:webHidden/>
              </w:rPr>
              <w:fldChar w:fldCharType="end"/>
            </w:r>
          </w:hyperlink>
        </w:p>
        <w:p w14:paraId="7DE9F3AE" w14:textId="77F0EE65" w:rsidR="00BF345B" w:rsidRDefault="00BF345B">
          <w:pPr>
            <w:pStyle w:val="TOC3"/>
            <w:tabs>
              <w:tab w:val="right" w:leader="dot" w:pos="8296"/>
            </w:tabs>
            <w:rPr>
              <w:rFonts w:cstheme="minorBidi" w:hint="eastAsia"/>
              <w:noProof/>
              <w:kern w:val="2"/>
              <w:szCs w:val="24"/>
              <w14:ligatures w14:val="standardContextual"/>
            </w:rPr>
          </w:pPr>
          <w:hyperlink w:anchor="_Toc228374864" w:history="1">
            <w:r w:rsidRPr="00291F59">
              <w:rPr>
                <w:rStyle w:val="af3"/>
                <w:rFonts w:ascii="楷体" w:eastAsia="楷体" w:hAnsi="楷体"/>
                <w:noProof/>
              </w:rPr>
              <w:t>2.2.2 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17</w:t>
            </w:r>
            <w:r>
              <w:rPr>
                <w:rFonts w:hint="eastAsia"/>
                <w:noProof/>
                <w:webHidden/>
              </w:rPr>
              <w:fldChar w:fldCharType="end"/>
            </w:r>
          </w:hyperlink>
        </w:p>
        <w:p w14:paraId="133651E0" w14:textId="3BAE250B" w:rsidR="00BF345B" w:rsidRDefault="00BF345B">
          <w:pPr>
            <w:pStyle w:val="TOC3"/>
            <w:tabs>
              <w:tab w:val="right" w:leader="dot" w:pos="8296"/>
            </w:tabs>
            <w:rPr>
              <w:rFonts w:cstheme="minorBidi" w:hint="eastAsia"/>
              <w:noProof/>
              <w:kern w:val="2"/>
              <w:szCs w:val="24"/>
              <w14:ligatures w14:val="standardContextual"/>
            </w:rPr>
          </w:pPr>
          <w:hyperlink w:anchor="_Toc228374865" w:history="1">
            <w:r w:rsidRPr="00291F59">
              <w:rPr>
                <w:rStyle w:val="af3"/>
                <w:rFonts w:ascii="楷体" w:eastAsia="楷体" w:hAnsi="楷体"/>
                <w:noProof/>
              </w:rPr>
              <w:t>2.2.3 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21</w:t>
            </w:r>
            <w:r>
              <w:rPr>
                <w:rFonts w:hint="eastAsia"/>
                <w:noProof/>
                <w:webHidden/>
              </w:rPr>
              <w:fldChar w:fldCharType="end"/>
            </w:r>
          </w:hyperlink>
        </w:p>
        <w:p w14:paraId="25EFB500" w14:textId="1FDE01D4" w:rsidR="00BF345B" w:rsidRDefault="00BF345B">
          <w:pPr>
            <w:pStyle w:val="TOC2"/>
            <w:tabs>
              <w:tab w:val="right" w:leader="dot" w:pos="8296"/>
            </w:tabs>
            <w:rPr>
              <w:rFonts w:cstheme="minorBidi" w:hint="eastAsia"/>
              <w:noProof/>
              <w:kern w:val="2"/>
              <w:szCs w:val="24"/>
              <w14:ligatures w14:val="standardContextual"/>
            </w:rPr>
          </w:pPr>
          <w:hyperlink w:anchor="_Toc228374866" w:history="1">
            <w:r w:rsidRPr="00291F59">
              <w:rPr>
                <w:rStyle w:val="af3"/>
                <w:rFonts w:ascii="楷体" w:eastAsia="楷体" w:hAnsi="楷体"/>
                <w:noProof/>
              </w:rPr>
              <w:t>2.3产业瓶颈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25</w:t>
            </w:r>
            <w:r>
              <w:rPr>
                <w:rFonts w:hint="eastAsia"/>
                <w:noProof/>
                <w:webHidden/>
              </w:rPr>
              <w:fldChar w:fldCharType="end"/>
            </w:r>
          </w:hyperlink>
        </w:p>
        <w:p w14:paraId="77FF846F" w14:textId="4150BB5B" w:rsidR="00BF345B" w:rsidRDefault="00BF345B">
          <w:pPr>
            <w:pStyle w:val="TOC3"/>
            <w:tabs>
              <w:tab w:val="right" w:leader="dot" w:pos="8296"/>
            </w:tabs>
            <w:rPr>
              <w:rFonts w:cstheme="minorBidi" w:hint="eastAsia"/>
              <w:noProof/>
              <w:kern w:val="2"/>
              <w:szCs w:val="24"/>
              <w14:ligatures w14:val="standardContextual"/>
            </w:rPr>
          </w:pPr>
          <w:hyperlink w:anchor="_Toc228374867" w:history="1">
            <w:r w:rsidRPr="00291F59">
              <w:rPr>
                <w:rStyle w:val="af3"/>
                <w:rFonts w:ascii="楷体" w:eastAsia="楷体" w:hAnsi="楷体"/>
                <w:noProof/>
              </w:rPr>
              <w:t>2.3.1技术瓶颈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25</w:t>
            </w:r>
            <w:r>
              <w:rPr>
                <w:rFonts w:hint="eastAsia"/>
                <w:noProof/>
                <w:webHidden/>
              </w:rPr>
              <w:fldChar w:fldCharType="end"/>
            </w:r>
          </w:hyperlink>
        </w:p>
        <w:p w14:paraId="20888273" w14:textId="4A829E66" w:rsidR="00BF345B" w:rsidRDefault="00BF345B">
          <w:pPr>
            <w:pStyle w:val="TOC3"/>
            <w:tabs>
              <w:tab w:val="right" w:leader="dot" w:pos="8296"/>
            </w:tabs>
            <w:rPr>
              <w:rFonts w:cstheme="minorBidi" w:hint="eastAsia"/>
              <w:noProof/>
              <w:kern w:val="2"/>
              <w:szCs w:val="24"/>
              <w14:ligatures w14:val="standardContextual"/>
            </w:rPr>
          </w:pPr>
          <w:hyperlink w:anchor="_Toc228374868" w:history="1">
            <w:r w:rsidRPr="00291F59">
              <w:rPr>
                <w:rStyle w:val="af3"/>
                <w:rFonts w:ascii="楷体" w:eastAsia="楷体" w:hAnsi="楷体"/>
                <w:noProof/>
              </w:rPr>
              <w:t>2.3.2资源瓶颈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26</w:t>
            </w:r>
            <w:r>
              <w:rPr>
                <w:rFonts w:hint="eastAsia"/>
                <w:noProof/>
                <w:webHidden/>
              </w:rPr>
              <w:fldChar w:fldCharType="end"/>
            </w:r>
          </w:hyperlink>
        </w:p>
        <w:p w14:paraId="30012D73" w14:textId="71A4D680" w:rsidR="00BF345B" w:rsidRDefault="00BF345B">
          <w:pPr>
            <w:pStyle w:val="TOC3"/>
            <w:tabs>
              <w:tab w:val="right" w:leader="dot" w:pos="8296"/>
            </w:tabs>
            <w:rPr>
              <w:rFonts w:cstheme="minorBidi" w:hint="eastAsia"/>
              <w:noProof/>
              <w:kern w:val="2"/>
              <w:szCs w:val="24"/>
              <w14:ligatures w14:val="standardContextual"/>
            </w:rPr>
          </w:pPr>
          <w:hyperlink w:anchor="_Toc228374869" w:history="1">
            <w:r w:rsidRPr="00291F59">
              <w:rPr>
                <w:rStyle w:val="af3"/>
                <w:rFonts w:ascii="楷体" w:eastAsia="楷体" w:hAnsi="楷体"/>
                <w:noProof/>
              </w:rPr>
              <w:t>2.3.3商业瓶颈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_Toc228374869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28</w:t>
            </w:r>
            <w:r>
              <w:rPr>
                <w:rFonts w:hint="eastAsia"/>
                <w:noProof/>
                <w:webHidden/>
              </w:rPr>
              <w:fldChar w:fldCharType="end"/>
            </w:r>
          </w:hyperlink>
        </w:p>
        <w:p w14:paraId="38396D0B" w14:textId="511C9DE6" w:rsidR="00BF345B" w:rsidRDefault="00BF345B">
          <w:pPr>
            <w:pStyle w:val="TOC3"/>
            <w:tabs>
              <w:tab w:val="right" w:leader="dot" w:pos="8296"/>
            </w:tabs>
            <w:rPr>
              <w:rFonts w:cstheme="minorBidi" w:hint="eastAsia"/>
              <w:noProof/>
              <w:kern w:val="2"/>
              <w:szCs w:val="24"/>
              <w14:ligatures w14:val="standardContextual"/>
            </w:rPr>
          </w:pPr>
          <w:hyperlink w:anchor="_Toc228374870" w:history="1">
            <w:r w:rsidRPr="00291F59">
              <w:rPr>
                <w:rStyle w:val="af3"/>
                <w:rFonts w:ascii="楷体" w:eastAsia="楷体" w:hAnsi="楷体"/>
                <w:noProof/>
              </w:rPr>
              <w:t>2.3.4生态瓶颈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28</w:t>
            </w:r>
            <w:r>
              <w:rPr>
                <w:rFonts w:hint="eastAsia"/>
                <w:noProof/>
                <w:webHidden/>
              </w:rPr>
              <w:fldChar w:fldCharType="end"/>
            </w:r>
          </w:hyperlink>
        </w:p>
        <w:p w14:paraId="0E1917CA" w14:textId="7422C151" w:rsidR="00BF345B" w:rsidRDefault="00BF345B">
          <w:pPr>
            <w:pStyle w:val="TOC1"/>
            <w:tabs>
              <w:tab w:val="right" w:leader="dot" w:pos="8296"/>
            </w:tabs>
            <w:rPr>
              <w:rFonts w:cstheme="minorBidi" w:hint="eastAsia"/>
              <w:noProof/>
              <w:kern w:val="2"/>
              <w:szCs w:val="24"/>
              <w14:ligatures w14:val="standardContextual"/>
            </w:rPr>
          </w:pPr>
          <w:hyperlink w:anchor="_Toc228374871" w:history="1">
            <w:r w:rsidRPr="00291F59">
              <w:rPr>
                <w:rStyle w:val="af3"/>
                <w:rFonts w:ascii="楷体" w:eastAsia="楷体" w:hAnsi="楷体"/>
                <w:noProof/>
              </w:rPr>
              <w:t>3.竞争格局与企业竞争力分析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73B25D39" w14:textId="04171F7C" w:rsidR="00BF345B" w:rsidRDefault="00BF345B">
          <w:pPr>
            <w:pStyle w:val="TOC2"/>
            <w:tabs>
              <w:tab w:val="right" w:leader="dot" w:pos="8296"/>
            </w:tabs>
            <w:rPr>
              <w:rFonts w:cstheme="minorBidi" w:hint="eastAsia"/>
              <w:noProof/>
              <w:kern w:val="2"/>
              <w:szCs w:val="24"/>
              <w14:ligatures w14:val="standardContextual"/>
            </w:rPr>
          </w:pPr>
          <w:hyperlink w:anchor="_Toc228374872" w:history="1">
            <w:r w:rsidRPr="00291F59">
              <w:rPr>
                <w:rStyle w:val="af3"/>
                <w:rFonts w:ascii="楷体" w:eastAsia="楷体" w:hAnsi="楷体"/>
                <w:noProof/>
              </w:rPr>
              <w:t>3.1市场集中度与竞争态势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1CAF406E" w14:textId="0388E1BC" w:rsidR="00BF345B" w:rsidRDefault="00BF345B">
          <w:pPr>
            <w:pStyle w:val="TOC3"/>
            <w:tabs>
              <w:tab w:val="right" w:leader="dot" w:pos="8296"/>
            </w:tabs>
            <w:rPr>
              <w:rFonts w:cstheme="minorBidi" w:hint="eastAsia"/>
              <w:noProof/>
              <w:kern w:val="2"/>
              <w:szCs w:val="24"/>
              <w14:ligatures w14:val="standardContextual"/>
            </w:rPr>
          </w:pPr>
          <w:hyperlink w:anchor="_Toc228374873" w:history="1">
            <w:r w:rsidRPr="00291F59">
              <w:rPr>
                <w:rStyle w:val="af3"/>
                <w:rFonts w:ascii="楷体" w:eastAsia="楷体" w:hAnsi="楷体"/>
                <w:noProof/>
              </w:rPr>
              <w:t>3.1.1市场集中度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0A478505" w14:textId="3D966AE5" w:rsidR="00BF345B" w:rsidRDefault="00BF345B">
          <w:pPr>
            <w:pStyle w:val="TOC3"/>
            <w:tabs>
              <w:tab w:val="right" w:leader="dot" w:pos="8296"/>
            </w:tabs>
            <w:rPr>
              <w:rFonts w:cstheme="minorBidi" w:hint="eastAsia"/>
              <w:noProof/>
              <w:kern w:val="2"/>
              <w:szCs w:val="24"/>
              <w14:ligatures w14:val="standardContextual"/>
            </w:rPr>
          </w:pPr>
          <w:hyperlink w:anchor="_Toc228374874" w:history="1">
            <w:r w:rsidRPr="00291F59">
              <w:rPr>
                <w:rStyle w:val="af3"/>
                <w:rFonts w:ascii="楷体" w:eastAsia="楷体" w:hAnsi="楷体"/>
                <w:noProof/>
              </w:rPr>
              <w:t>3.1.2竞争态势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29</w:t>
            </w:r>
            <w:r>
              <w:rPr>
                <w:rFonts w:hint="eastAsia"/>
                <w:noProof/>
                <w:webHidden/>
              </w:rPr>
              <w:fldChar w:fldCharType="end"/>
            </w:r>
          </w:hyperlink>
        </w:p>
        <w:p w14:paraId="74C6C81C" w14:textId="7949D970" w:rsidR="00BF345B" w:rsidRDefault="00BF345B">
          <w:pPr>
            <w:pStyle w:val="TOC2"/>
            <w:tabs>
              <w:tab w:val="right" w:leader="dot" w:pos="8296"/>
            </w:tabs>
            <w:rPr>
              <w:rFonts w:cstheme="minorBidi" w:hint="eastAsia"/>
              <w:noProof/>
              <w:kern w:val="2"/>
              <w:szCs w:val="24"/>
              <w14:ligatures w14:val="standardContextual"/>
            </w:rPr>
          </w:pPr>
          <w:hyperlink w:anchor="_Toc228374875" w:history="1">
            <w:r w:rsidRPr="00291F59">
              <w:rPr>
                <w:rStyle w:val="af3"/>
                <w:rFonts w:ascii="楷体" w:eastAsia="楷体" w:hAnsi="楷体"/>
                <w:noProof/>
              </w:rPr>
              <w:t>3.2参与者类型（pureplay and non pureplay）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08F7DC53" w14:textId="054BE353" w:rsidR="00BF345B" w:rsidRDefault="00BF345B">
          <w:pPr>
            <w:pStyle w:val="TOC3"/>
            <w:tabs>
              <w:tab w:val="right" w:leader="dot" w:pos="8296"/>
            </w:tabs>
            <w:rPr>
              <w:rFonts w:cstheme="minorBidi" w:hint="eastAsia"/>
              <w:noProof/>
              <w:kern w:val="2"/>
              <w:szCs w:val="24"/>
              <w14:ligatures w14:val="standardContextual"/>
            </w:rPr>
          </w:pPr>
          <w:hyperlink w:anchor="_Toc228374876" w:history="1">
            <w:r w:rsidRPr="00291F59">
              <w:rPr>
                <w:rStyle w:val="af3"/>
                <w:rFonts w:ascii="楷体" w:eastAsia="楷体" w:hAnsi="楷体"/>
                <w:noProof/>
              </w:rPr>
              <w:t>3.2.1产业参与者全景图谱：基于技术架构的四层划分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27CC2343" w14:textId="39EFCC4F" w:rsidR="00BF345B" w:rsidRDefault="00BF345B">
          <w:pPr>
            <w:pStyle w:val="TOC3"/>
            <w:tabs>
              <w:tab w:val="right" w:leader="dot" w:pos="8296"/>
            </w:tabs>
            <w:rPr>
              <w:rFonts w:cstheme="minorBidi" w:hint="eastAsia"/>
              <w:noProof/>
              <w:kern w:val="2"/>
              <w:szCs w:val="24"/>
              <w14:ligatures w14:val="standardContextual"/>
            </w:rPr>
          </w:pPr>
          <w:hyperlink w:anchor="_Toc228374877" w:history="1">
            <w:r w:rsidRPr="00291F59">
              <w:rPr>
                <w:rStyle w:val="af3"/>
                <w:rFonts w:ascii="楷体" w:eastAsia="楷体" w:hAnsi="楷体"/>
                <w:noProof/>
              </w:rPr>
              <w:t>3.2.2 核心参与者类型深度剖析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32</w:t>
            </w:r>
            <w:r>
              <w:rPr>
                <w:rFonts w:hint="eastAsia"/>
                <w:noProof/>
                <w:webHidden/>
              </w:rPr>
              <w:fldChar w:fldCharType="end"/>
            </w:r>
          </w:hyperlink>
        </w:p>
        <w:p w14:paraId="5D718346" w14:textId="56B54BF8" w:rsidR="00BF345B" w:rsidRDefault="00BF345B">
          <w:pPr>
            <w:pStyle w:val="TOC2"/>
            <w:tabs>
              <w:tab w:val="right" w:leader="dot" w:pos="8296"/>
            </w:tabs>
            <w:rPr>
              <w:rFonts w:cstheme="minorBidi" w:hint="eastAsia"/>
              <w:noProof/>
              <w:kern w:val="2"/>
              <w:szCs w:val="24"/>
              <w14:ligatures w14:val="standardContextual"/>
            </w:rPr>
          </w:pPr>
          <w:hyperlink w:anchor="_Toc228374878" w:history="1">
            <w:r w:rsidRPr="00291F59">
              <w:rPr>
                <w:rStyle w:val="af3"/>
                <w:rFonts w:ascii="楷体" w:eastAsia="楷体" w:hAnsi="楷体"/>
                <w:noProof/>
              </w:rPr>
              <w:t>3.3企业核心竞争力评价维度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66C60EA3" w14:textId="4CE8E0F3" w:rsidR="00BF345B" w:rsidRDefault="00BF345B">
          <w:pPr>
            <w:pStyle w:val="TOC3"/>
            <w:tabs>
              <w:tab w:val="right" w:leader="dot" w:pos="8296"/>
            </w:tabs>
            <w:rPr>
              <w:rFonts w:cstheme="minorBidi" w:hint="eastAsia"/>
              <w:noProof/>
              <w:kern w:val="2"/>
              <w:szCs w:val="24"/>
              <w14:ligatures w14:val="standardContextual"/>
            </w:rPr>
          </w:pPr>
          <w:hyperlink w:anchor="_Toc228374879" w:history="1">
            <w:r w:rsidRPr="00291F59">
              <w:rPr>
                <w:rStyle w:val="af3"/>
                <w:rFonts w:ascii="楷体" w:eastAsia="楷体" w:hAnsi="楷体"/>
                <w:noProof/>
              </w:rPr>
              <w:t>3.3.1生态构建能力：从规模积累到体系化自演进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_Toc228374879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572C66DE" w14:textId="3CE4FD75" w:rsidR="00BF345B" w:rsidRDefault="00BF345B">
          <w:pPr>
            <w:pStyle w:val="TOC3"/>
            <w:tabs>
              <w:tab w:val="right" w:leader="dot" w:pos="8296"/>
            </w:tabs>
            <w:rPr>
              <w:rFonts w:cstheme="minorBidi" w:hint="eastAsia"/>
              <w:noProof/>
              <w:kern w:val="2"/>
              <w:szCs w:val="24"/>
              <w14:ligatures w14:val="standardContextual"/>
            </w:rPr>
          </w:pPr>
          <w:hyperlink w:anchor="_Toc228374880" w:history="1">
            <w:r w:rsidRPr="00291F59">
              <w:rPr>
                <w:rStyle w:val="af3"/>
                <w:rFonts w:ascii="楷体" w:eastAsia="楷体" w:hAnsi="楷体"/>
                <w:noProof/>
              </w:rPr>
              <w:t>3.3.2技术研发能力：持续迭代与战略路线的双重壁垒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34</w:t>
            </w:r>
            <w:r>
              <w:rPr>
                <w:rFonts w:hint="eastAsia"/>
                <w:noProof/>
                <w:webHidden/>
              </w:rPr>
              <w:fldChar w:fldCharType="end"/>
            </w:r>
          </w:hyperlink>
        </w:p>
        <w:p w14:paraId="5D7342D1" w14:textId="19B91B57" w:rsidR="00BF345B" w:rsidRDefault="00BF345B">
          <w:pPr>
            <w:pStyle w:val="TOC3"/>
            <w:tabs>
              <w:tab w:val="right" w:leader="dot" w:pos="8296"/>
            </w:tabs>
            <w:rPr>
              <w:rFonts w:cstheme="minorBidi" w:hint="eastAsia"/>
              <w:noProof/>
              <w:kern w:val="2"/>
              <w:szCs w:val="24"/>
              <w14:ligatures w14:val="standardContextual"/>
            </w:rPr>
          </w:pPr>
          <w:hyperlink w:anchor="_Toc228374881" w:history="1">
            <w:r w:rsidRPr="00291F59">
              <w:rPr>
                <w:rStyle w:val="af3"/>
                <w:rFonts w:ascii="楷体" w:eastAsia="楷体" w:hAnsi="楷体"/>
                <w:noProof/>
              </w:rPr>
              <w:t>3.3.3行业赋能能力：从技术工具到业务流程的重构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35</w:t>
            </w:r>
            <w:r>
              <w:rPr>
                <w:rFonts w:hint="eastAsia"/>
                <w:noProof/>
                <w:webHidden/>
              </w:rPr>
              <w:fldChar w:fldCharType="end"/>
            </w:r>
          </w:hyperlink>
        </w:p>
        <w:p w14:paraId="29D7228B" w14:textId="49184CA2" w:rsidR="00BF345B" w:rsidRDefault="00BF345B">
          <w:pPr>
            <w:pStyle w:val="TOC3"/>
            <w:tabs>
              <w:tab w:val="right" w:leader="dot" w:pos="8296"/>
            </w:tabs>
            <w:rPr>
              <w:rFonts w:cstheme="minorBidi" w:hint="eastAsia"/>
              <w:noProof/>
              <w:kern w:val="2"/>
              <w:szCs w:val="24"/>
              <w14:ligatures w14:val="standardContextual"/>
            </w:rPr>
          </w:pPr>
          <w:hyperlink w:anchor="_Toc228374882" w:history="1">
            <w:r w:rsidRPr="00291F59">
              <w:rPr>
                <w:rStyle w:val="af3"/>
                <w:rFonts w:ascii="楷体" w:eastAsia="楷体" w:hAnsi="楷体"/>
                <w:noProof/>
              </w:rPr>
              <w:t>3.3.4商业变现能力：从探索期到规模化变现的跨越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3D550770" w14:textId="01D5EC83" w:rsidR="00BF345B" w:rsidRDefault="00BF345B">
          <w:pPr>
            <w:pStyle w:val="TOC3"/>
            <w:tabs>
              <w:tab w:val="right" w:leader="dot" w:pos="8296"/>
            </w:tabs>
            <w:rPr>
              <w:rFonts w:cstheme="minorBidi" w:hint="eastAsia"/>
              <w:noProof/>
              <w:kern w:val="2"/>
              <w:szCs w:val="24"/>
              <w14:ligatures w14:val="standardContextual"/>
            </w:rPr>
          </w:pPr>
          <w:hyperlink w:anchor="_Toc228374883" w:history="1">
            <w:r w:rsidRPr="00291F59">
              <w:rPr>
                <w:rStyle w:val="af3"/>
                <w:rFonts w:ascii="楷体" w:eastAsia="楷体" w:hAnsi="楷体"/>
                <w:noProof/>
              </w:rPr>
              <w:t>3.3.5创新拓展能力：抢占未来生态制高点的前瞻布局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020B1E78" w14:textId="371185AE" w:rsidR="00BF345B" w:rsidRDefault="00BF345B">
          <w:pPr>
            <w:pStyle w:val="TOC1"/>
            <w:tabs>
              <w:tab w:val="right" w:leader="dot" w:pos="8296"/>
            </w:tabs>
            <w:rPr>
              <w:rFonts w:cstheme="minorBidi" w:hint="eastAsia"/>
              <w:noProof/>
              <w:kern w:val="2"/>
              <w:szCs w:val="24"/>
              <w14:ligatures w14:val="standardContextual"/>
            </w:rPr>
          </w:pPr>
          <w:hyperlink w:anchor="_Toc228374884" w:history="1">
            <w:r w:rsidRPr="00291F59">
              <w:rPr>
                <w:rStyle w:val="af3"/>
                <w:rFonts w:ascii="楷体" w:eastAsia="楷体" w:hAnsi="楷体"/>
                <w:noProof/>
              </w:rPr>
              <w:t>4.未来趋势与展望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7F9C9FB5" w14:textId="223F7D54" w:rsidR="00BF345B" w:rsidRDefault="00BF345B">
          <w:pPr>
            <w:pStyle w:val="TOC2"/>
            <w:tabs>
              <w:tab w:val="right" w:leader="dot" w:pos="8296"/>
            </w:tabs>
            <w:rPr>
              <w:rFonts w:cstheme="minorBidi" w:hint="eastAsia"/>
              <w:noProof/>
              <w:kern w:val="2"/>
              <w:szCs w:val="24"/>
              <w14:ligatures w14:val="standardContextual"/>
            </w:rPr>
          </w:pPr>
          <w:hyperlink w:anchor="_Toc228374885" w:history="1">
            <w:r w:rsidRPr="00291F59">
              <w:rPr>
                <w:rStyle w:val="af3"/>
                <w:rFonts w:ascii="楷体" w:eastAsia="楷体" w:hAnsi="楷体"/>
                <w:noProof/>
              </w:rPr>
              <w:t>4.1技术趋势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36A7D2DA" w14:textId="3FAFEE84" w:rsidR="00BF345B" w:rsidRDefault="00BF345B">
          <w:pPr>
            <w:pStyle w:val="TOC3"/>
            <w:tabs>
              <w:tab w:val="right" w:leader="dot" w:pos="8296"/>
            </w:tabs>
            <w:rPr>
              <w:rFonts w:cstheme="minorBidi" w:hint="eastAsia"/>
              <w:noProof/>
              <w:kern w:val="2"/>
              <w:szCs w:val="24"/>
              <w14:ligatures w14:val="standardContextual"/>
            </w:rPr>
          </w:pPr>
          <w:hyperlink w:anchor="_Toc228374886" w:history="1">
            <w:r w:rsidRPr="00291F59">
              <w:rPr>
                <w:rStyle w:val="af3"/>
                <w:rFonts w:ascii="楷体" w:eastAsia="楷体" w:hAnsi="楷体"/>
                <w:noProof/>
              </w:rPr>
              <w:t>4.1.1 应用模式：Agent崛起拉动需求增长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36</w:t>
            </w:r>
            <w:r>
              <w:rPr>
                <w:rFonts w:hint="eastAsia"/>
                <w:noProof/>
                <w:webHidden/>
              </w:rPr>
              <w:fldChar w:fldCharType="end"/>
            </w:r>
          </w:hyperlink>
        </w:p>
        <w:p w14:paraId="5F50B58F" w14:textId="438FDABF" w:rsidR="00BF345B" w:rsidRDefault="00BF345B">
          <w:pPr>
            <w:pStyle w:val="TOC3"/>
            <w:tabs>
              <w:tab w:val="right" w:leader="dot" w:pos="8296"/>
            </w:tabs>
            <w:rPr>
              <w:rFonts w:cstheme="minorBidi" w:hint="eastAsia"/>
              <w:noProof/>
              <w:kern w:val="2"/>
              <w:szCs w:val="24"/>
              <w14:ligatures w14:val="standardContextual"/>
            </w:rPr>
          </w:pPr>
          <w:hyperlink w:anchor="_Toc228374887" w:history="1">
            <w:r w:rsidRPr="00291F59">
              <w:rPr>
                <w:rStyle w:val="af3"/>
                <w:rFonts w:ascii="楷体" w:eastAsia="楷体" w:hAnsi="楷体"/>
                <w:noProof/>
              </w:rPr>
              <w:t>4.1.2 模型架构与训练范式演进：Scaling Law重现与效率优化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37</w:t>
            </w:r>
            <w:r>
              <w:rPr>
                <w:rFonts w:hint="eastAsia"/>
                <w:noProof/>
                <w:webHidden/>
              </w:rPr>
              <w:fldChar w:fldCharType="end"/>
            </w:r>
          </w:hyperlink>
        </w:p>
        <w:p w14:paraId="365209EA" w14:textId="068DA6EB" w:rsidR="00BF345B" w:rsidRDefault="00BF345B">
          <w:pPr>
            <w:pStyle w:val="TOC3"/>
            <w:tabs>
              <w:tab w:val="right" w:leader="dot" w:pos="8296"/>
            </w:tabs>
            <w:rPr>
              <w:rFonts w:cstheme="minorBidi" w:hint="eastAsia"/>
              <w:noProof/>
              <w:kern w:val="2"/>
              <w:szCs w:val="24"/>
              <w14:ligatures w14:val="standardContextual"/>
            </w:rPr>
          </w:pPr>
          <w:hyperlink w:anchor="_Toc228374888" w:history="1">
            <w:r w:rsidRPr="00291F59">
              <w:rPr>
                <w:rStyle w:val="af3"/>
                <w:rFonts w:ascii="楷体" w:eastAsia="楷体" w:hAnsi="楷体"/>
                <w:noProof/>
              </w:rPr>
              <w:t>4.1.3 多模态融合与物理世界理解：从感知到生成一体化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04531D1E" w14:textId="2CBA671F" w:rsidR="00BF345B" w:rsidRDefault="00BF345B">
          <w:pPr>
            <w:pStyle w:val="TOC2"/>
            <w:tabs>
              <w:tab w:val="right" w:leader="dot" w:pos="8296"/>
            </w:tabs>
            <w:rPr>
              <w:rFonts w:cstheme="minorBidi" w:hint="eastAsia"/>
              <w:noProof/>
              <w:kern w:val="2"/>
              <w:szCs w:val="24"/>
              <w14:ligatures w14:val="standardContextual"/>
            </w:rPr>
          </w:pPr>
          <w:hyperlink w:anchor="_Toc228374889" w:history="1">
            <w:r w:rsidRPr="00291F59">
              <w:rPr>
                <w:rStyle w:val="af3"/>
                <w:rFonts w:ascii="楷体" w:eastAsia="楷体" w:hAnsi="楷体"/>
                <w:noProof/>
              </w:rPr>
              <w:t>4.2商业趋势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_Toc228374889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0390C9D7" w14:textId="1BB9CC0D" w:rsidR="00BF345B" w:rsidRDefault="00BF345B">
          <w:pPr>
            <w:pStyle w:val="TOC3"/>
            <w:tabs>
              <w:tab w:val="right" w:leader="dot" w:pos="8296"/>
            </w:tabs>
            <w:rPr>
              <w:rFonts w:cstheme="minorBidi" w:hint="eastAsia"/>
              <w:noProof/>
              <w:kern w:val="2"/>
              <w:szCs w:val="24"/>
              <w14:ligatures w14:val="standardContextual"/>
            </w:rPr>
          </w:pPr>
          <w:hyperlink w:anchor="_Toc228374890" w:history="1">
            <w:r w:rsidRPr="00291F59">
              <w:rPr>
                <w:rStyle w:val="af3"/>
                <w:rFonts w:ascii="楷体" w:eastAsia="楷体" w:hAnsi="楷体"/>
                <w:noProof/>
              </w:rPr>
              <w:t>4.2.1 商业化落地：从试点到规模化展开至具体细分行业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649BEA96" w14:textId="431192F9" w:rsidR="00BF345B" w:rsidRDefault="00BF345B">
          <w:pPr>
            <w:pStyle w:val="TOC3"/>
            <w:tabs>
              <w:tab w:val="right" w:leader="dot" w:pos="8296"/>
            </w:tabs>
            <w:rPr>
              <w:rFonts w:cstheme="minorBidi" w:hint="eastAsia"/>
              <w:noProof/>
              <w:kern w:val="2"/>
              <w:szCs w:val="24"/>
              <w14:ligatures w14:val="standardContextual"/>
            </w:rPr>
          </w:pPr>
          <w:hyperlink w:anchor="_Toc228374891" w:history="1">
            <w:r w:rsidRPr="00291F59">
              <w:rPr>
                <w:rStyle w:val="af3"/>
                <w:rFonts w:ascii="楷体" w:eastAsia="楷体" w:hAnsi="楷体"/>
                <w:noProof/>
              </w:rPr>
              <w:t>4.2.2 竞争与效率：格局收敛与盈利拐点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38</w:t>
            </w:r>
            <w:r>
              <w:rPr>
                <w:rFonts w:hint="eastAsia"/>
                <w:noProof/>
                <w:webHidden/>
              </w:rPr>
              <w:fldChar w:fldCharType="end"/>
            </w:r>
          </w:hyperlink>
        </w:p>
        <w:p w14:paraId="4C836025" w14:textId="7C79AC6B" w:rsidR="00BF345B" w:rsidRDefault="00BF345B">
          <w:pPr>
            <w:pStyle w:val="TOC2"/>
            <w:tabs>
              <w:tab w:val="right" w:leader="dot" w:pos="8296"/>
            </w:tabs>
            <w:rPr>
              <w:rFonts w:cstheme="minorBidi" w:hint="eastAsia"/>
              <w:noProof/>
              <w:kern w:val="2"/>
              <w:szCs w:val="24"/>
              <w14:ligatures w14:val="standardContextual"/>
            </w:rPr>
          </w:pPr>
          <w:hyperlink w:anchor="_Toc228374892" w:history="1">
            <w:r w:rsidRPr="00291F59">
              <w:rPr>
                <w:rStyle w:val="af3"/>
                <w:rFonts w:ascii="楷体" w:eastAsia="楷体" w:hAnsi="楷体"/>
                <w:noProof/>
              </w:rPr>
              <w:t>4.3战略选项和行动建议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670C5B9B" w14:textId="26CF4327" w:rsidR="00BF345B" w:rsidRDefault="00BF345B">
          <w:pPr>
            <w:pStyle w:val="TOC3"/>
            <w:tabs>
              <w:tab w:val="right" w:leader="dot" w:pos="8296"/>
            </w:tabs>
            <w:rPr>
              <w:rFonts w:cstheme="minorBidi" w:hint="eastAsia"/>
              <w:noProof/>
              <w:kern w:val="2"/>
              <w:szCs w:val="24"/>
              <w14:ligatures w14:val="standardContextual"/>
            </w:rPr>
          </w:pPr>
          <w:hyperlink w:anchor="_Toc228374893" w:history="1">
            <w:r w:rsidRPr="00291F59">
              <w:rPr>
                <w:rStyle w:val="af3"/>
                <w:rFonts w:ascii="楷体" w:eastAsia="楷体" w:hAnsi="楷体"/>
                <w:noProof/>
              </w:rPr>
              <w:t>4.3.1 政策参与者：构建生态与引导规范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6023464A" w14:textId="2E03EB1A" w:rsidR="00BF345B" w:rsidRDefault="00BF345B">
          <w:pPr>
            <w:pStyle w:val="TOC3"/>
            <w:tabs>
              <w:tab w:val="right" w:leader="dot" w:pos="8296"/>
            </w:tabs>
            <w:rPr>
              <w:rFonts w:cstheme="minorBidi" w:hint="eastAsia"/>
              <w:noProof/>
              <w:kern w:val="2"/>
              <w:szCs w:val="24"/>
              <w14:ligatures w14:val="standardContextual"/>
            </w:rPr>
          </w:pPr>
          <w:hyperlink w:anchor="_Toc228374894" w:history="1">
            <w:r w:rsidRPr="00291F59">
              <w:rPr>
                <w:rStyle w:val="af3"/>
                <w:rFonts w:ascii="楷体" w:eastAsia="楷体" w:hAnsi="楷体"/>
                <w:noProof/>
              </w:rPr>
              <w:t>4.3.2 行业龙头：巩固壁垒与定义赛道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39</w:t>
            </w:r>
            <w:r>
              <w:rPr>
                <w:rFonts w:hint="eastAsia"/>
                <w:noProof/>
                <w:webHidden/>
              </w:rPr>
              <w:fldChar w:fldCharType="end"/>
            </w:r>
          </w:hyperlink>
        </w:p>
        <w:p w14:paraId="444C5DD3" w14:textId="46EBAA43" w:rsidR="00BF345B" w:rsidRDefault="00BF345B">
          <w:pPr>
            <w:pStyle w:val="TOC3"/>
            <w:tabs>
              <w:tab w:val="right" w:leader="dot" w:pos="8296"/>
            </w:tabs>
            <w:rPr>
              <w:rFonts w:cstheme="minorBidi" w:hint="eastAsia"/>
              <w:noProof/>
              <w:kern w:val="2"/>
              <w:szCs w:val="24"/>
              <w14:ligatures w14:val="standardContextual"/>
            </w:rPr>
          </w:pPr>
          <w:hyperlink w:anchor="_Toc228374895" w:history="1">
            <w:r w:rsidRPr="00291F59">
              <w:rPr>
                <w:rStyle w:val="af3"/>
                <w:rFonts w:ascii="楷体" w:eastAsia="楷体" w:hAnsi="楷体"/>
                <w:noProof/>
              </w:rPr>
              <w:t>4.3.3 新进企业：聚焦场景与差异化竞争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40</w:t>
            </w:r>
            <w:r>
              <w:rPr>
                <w:rFonts w:hint="eastAsia"/>
                <w:noProof/>
                <w:webHidden/>
              </w:rPr>
              <w:fldChar w:fldCharType="end"/>
            </w:r>
          </w:hyperlink>
        </w:p>
        <w:p w14:paraId="40B8326E" w14:textId="5817D7C8" w:rsidR="00BF345B" w:rsidRDefault="00BF345B">
          <w:pPr>
            <w:pStyle w:val="TOC3"/>
            <w:tabs>
              <w:tab w:val="right" w:leader="dot" w:pos="8296"/>
            </w:tabs>
            <w:rPr>
              <w:rFonts w:cstheme="minorBidi" w:hint="eastAsia"/>
              <w:noProof/>
              <w:kern w:val="2"/>
              <w:szCs w:val="24"/>
              <w14:ligatures w14:val="standardContextual"/>
            </w:rPr>
          </w:pPr>
          <w:hyperlink w:anchor="_Toc228374896" w:history="1">
            <w:r w:rsidRPr="00291F59">
              <w:rPr>
                <w:rStyle w:val="af3"/>
                <w:rFonts w:ascii="楷体" w:eastAsia="楷体" w:hAnsi="楷体"/>
                <w:noProof/>
              </w:rPr>
              <w:t>4.3.4 下游用户：积极融合与价值重构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40</w:t>
            </w:r>
            <w:r>
              <w:rPr>
                <w:rFonts w:hint="eastAsia"/>
                <w:noProof/>
                <w:webHidden/>
              </w:rPr>
              <w:fldChar w:fldCharType="end"/>
            </w:r>
          </w:hyperlink>
        </w:p>
        <w:p w14:paraId="75738A70" w14:textId="02E26C16" w:rsidR="00BF345B" w:rsidRDefault="00BF345B">
          <w:pPr>
            <w:pStyle w:val="TOC3"/>
            <w:tabs>
              <w:tab w:val="right" w:leader="dot" w:pos="8296"/>
            </w:tabs>
            <w:rPr>
              <w:rFonts w:cstheme="minorBidi" w:hint="eastAsia"/>
              <w:noProof/>
              <w:kern w:val="2"/>
              <w:szCs w:val="24"/>
              <w14:ligatures w14:val="standardContextual"/>
            </w:rPr>
          </w:pPr>
          <w:hyperlink w:anchor="_Toc228374897" w:history="1">
            <w:r w:rsidRPr="00291F59">
              <w:rPr>
                <w:rStyle w:val="af3"/>
                <w:rFonts w:ascii="楷体" w:eastAsia="楷体" w:hAnsi="楷体"/>
                <w:noProof/>
              </w:rPr>
              <w:t>4.3.5 投资方：前瞻布局与阶段匹配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6C92DAC7" w14:textId="539B61A0" w:rsidR="00BF345B" w:rsidRDefault="00BF345B">
          <w:pPr>
            <w:pStyle w:val="TOC2"/>
            <w:tabs>
              <w:tab w:val="right" w:leader="dot" w:pos="8296"/>
            </w:tabs>
            <w:rPr>
              <w:rFonts w:cstheme="minorBidi" w:hint="eastAsia"/>
              <w:noProof/>
              <w:kern w:val="2"/>
              <w:szCs w:val="24"/>
              <w14:ligatures w14:val="standardContextual"/>
            </w:rPr>
          </w:pPr>
          <w:hyperlink w:anchor="_Toc228374898" w:history="1">
            <w:r w:rsidRPr="00291F59">
              <w:rPr>
                <w:rStyle w:val="af3"/>
                <w:rFonts w:ascii="楷体" w:eastAsia="楷体" w:hAnsi="楷体"/>
                <w:noProof/>
              </w:rPr>
              <w:t>4.4潜在风险提示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58DFFA4E" w14:textId="2C242703" w:rsidR="00BF345B" w:rsidRDefault="00BF345B">
          <w:pPr>
            <w:pStyle w:val="TOC3"/>
            <w:tabs>
              <w:tab w:val="right" w:leader="dot" w:pos="8296"/>
            </w:tabs>
            <w:rPr>
              <w:rFonts w:cstheme="minorBidi" w:hint="eastAsia"/>
              <w:noProof/>
              <w:kern w:val="2"/>
              <w:szCs w:val="24"/>
              <w14:ligatures w14:val="standardContextual"/>
            </w:rPr>
          </w:pPr>
          <w:hyperlink w:anchor="_Toc228374899" w:history="1">
            <w:r w:rsidRPr="00291F59">
              <w:rPr>
                <w:rStyle w:val="af3"/>
                <w:rFonts w:ascii="楷体" w:eastAsia="楷体" w:hAnsi="楷体"/>
                <w:noProof/>
              </w:rPr>
              <w:t>4.4.1 商业模式与盈利路径的不确定性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_Toc228374899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41</w:t>
            </w:r>
            <w:r>
              <w:rPr>
                <w:rFonts w:hint="eastAsia"/>
                <w:noProof/>
                <w:webHidden/>
              </w:rPr>
              <w:fldChar w:fldCharType="end"/>
            </w:r>
          </w:hyperlink>
        </w:p>
        <w:p w14:paraId="23925F79" w14:textId="59022813" w:rsidR="00BF345B" w:rsidRDefault="00BF345B">
          <w:pPr>
            <w:pStyle w:val="TOC3"/>
            <w:tabs>
              <w:tab w:val="right" w:leader="dot" w:pos="8296"/>
            </w:tabs>
            <w:rPr>
              <w:rFonts w:cstheme="minorBidi" w:hint="eastAsia"/>
              <w:noProof/>
              <w:kern w:val="2"/>
              <w:szCs w:val="24"/>
              <w14:ligatures w14:val="standardContextual"/>
            </w:rPr>
          </w:pPr>
          <w:hyperlink w:anchor="_Toc228374900" w:history="1">
            <w:r w:rsidRPr="00291F59">
              <w:rPr>
                <w:rStyle w:val="af3"/>
                <w:rFonts w:ascii="楷体" w:eastAsia="楷体" w:hAnsi="楷体"/>
                <w:noProof/>
              </w:rPr>
              <w:t>4.4.2 数据瓶颈与治理挑战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_Toc228374900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41657654" w14:textId="16DB8FB1" w:rsidR="00BF345B" w:rsidRDefault="00BF345B">
          <w:pPr>
            <w:pStyle w:val="TOC3"/>
            <w:tabs>
              <w:tab w:val="right" w:leader="dot" w:pos="8296"/>
            </w:tabs>
            <w:rPr>
              <w:rFonts w:cstheme="minorBidi" w:hint="eastAsia"/>
              <w:noProof/>
              <w:kern w:val="2"/>
              <w:szCs w:val="24"/>
              <w14:ligatures w14:val="standardContextual"/>
            </w:rPr>
          </w:pPr>
          <w:hyperlink w:anchor="_Toc228374901" w:history="1">
            <w:r w:rsidRPr="00291F59">
              <w:rPr>
                <w:rStyle w:val="af3"/>
                <w:rFonts w:ascii="楷体" w:eastAsia="楷体" w:hAnsi="楷体"/>
                <w:noProof/>
              </w:rPr>
              <w:t>4.4.3 社会接受度与监管风险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_Toc228374901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6C795865" w14:textId="09438409" w:rsidR="00BF345B" w:rsidRDefault="00BF345B">
          <w:pPr>
            <w:pStyle w:val="TOC3"/>
            <w:tabs>
              <w:tab w:val="right" w:leader="dot" w:pos="8296"/>
            </w:tabs>
            <w:rPr>
              <w:rFonts w:cstheme="minorBidi" w:hint="eastAsia"/>
              <w:noProof/>
              <w:kern w:val="2"/>
              <w:szCs w:val="24"/>
              <w14:ligatures w14:val="standardContextual"/>
            </w:rPr>
          </w:pPr>
          <w:hyperlink w:anchor="_Toc228374902" w:history="1">
            <w:r w:rsidRPr="00291F59">
              <w:rPr>
                <w:rStyle w:val="af3"/>
                <w:rFonts w:ascii="楷体" w:eastAsia="楷体" w:hAnsi="楷体"/>
                <w:noProof/>
              </w:rPr>
              <w:t>4.4.4 地缘政治与供应链风险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_Toc228374902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42</w:t>
            </w:r>
            <w:r>
              <w:rPr>
                <w:rFonts w:hint="eastAsia"/>
                <w:noProof/>
                <w:webHidden/>
              </w:rPr>
              <w:fldChar w:fldCharType="end"/>
            </w:r>
          </w:hyperlink>
        </w:p>
        <w:p w14:paraId="0640F968" w14:textId="1E464DAA" w:rsidR="00BF345B" w:rsidRDefault="00BF345B">
          <w:pPr>
            <w:pStyle w:val="TOC3"/>
            <w:tabs>
              <w:tab w:val="right" w:leader="dot" w:pos="8296"/>
            </w:tabs>
            <w:rPr>
              <w:rFonts w:cstheme="minorBidi" w:hint="eastAsia"/>
              <w:noProof/>
              <w:kern w:val="2"/>
              <w:szCs w:val="24"/>
              <w14:ligatures w14:val="standardContextual"/>
            </w:rPr>
          </w:pPr>
          <w:hyperlink w:anchor="_Toc228374903" w:history="1">
            <w:r w:rsidRPr="00291F59">
              <w:rPr>
                <w:rStyle w:val="af3"/>
                <w:rFonts w:ascii="楷体" w:eastAsia="楷体" w:hAnsi="楷体"/>
                <w:noProof/>
              </w:rPr>
              <w:t>4.4.5 竞争失焦风险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_Toc228374903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43</w:t>
            </w:r>
            <w:r>
              <w:rPr>
                <w:rFonts w:hint="eastAsia"/>
                <w:noProof/>
                <w:webHidden/>
              </w:rPr>
              <w:fldChar w:fldCharType="end"/>
            </w:r>
          </w:hyperlink>
        </w:p>
        <w:p w14:paraId="05ACAEAD" w14:textId="43514A96" w:rsidR="00BF345B" w:rsidRDefault="00BF345B">
          <w:pPr>
            <w:pStyle w:val="TOC3"/>
            <w:tabs>
              <w:tab w:val="right" w:leader="dot" w:pos="8296"/>
            </w:tabs>
            <w:rPr>
              <w:rFonts w:cstheme="minorBidi" w:hint="eastAsia"/>
              <w:noProof/>
              <w:kern w:val="2"/>
              <w:szCs w:val="24"/>
              <w14:ligatures w14:val="standardContextual"/>
            </w:rPr>
          </w:pPr>
          <w:hyperlink w:anchor="_Toc228374904" w:history="1">
            <w:r w:rsidRPr="00291F59">
              <w:rPr>
                <w:rStyle w:val="af3"/>
                <w:rFonts w:ascii="楷体" w:eastAsia="楷体" w:hAnsi="楷体"/>
                <w:noProof/>
              </w:rPr>
              <w:t>4.4.6 远期技术路线错误的可能性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_Toc228374904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43</w:t>
            </w:r>
            <w:r>
              <w:rPr>
                <w:rFonts w:hint="eastAsia"/>
                <w:noProof/>
                <w:webHidden/>
              </w:rPr>
              <w:fldChar w:fldCharType="end"/>
            </w:r>
          </w:hyperlink>
        </w:p>
        <w:p w14:paraId="4CB5D68C" w14:textId="4B9C9860" w:rsidR="00BF345B" w:rsidRDefault="00BF345B">
          <w:pPr>
            <w:pStyle w:val="TOC3"/>
            <w:tabs>
              <w:tab w:val="right" w:leader="dot" w:pos="8296"/>
            </w:tabs>
            <w:rPr>
              <w:rFonts w:cstheme="minorBidi" w:hint="eastAsia"/>
              <w:noProof/>
              <w:kern w:val="2"/>
              <w:szCs w:val="24"/>
              <w14:ligatures w14:val="standardContextual"/>
            </w:rPr>
          </w:pPr>
          <w:hyperlink w:anchor="_Toc228374905" w:history="1">
            <w:r w:rsidRPr="00291F59">
              <w:rPr>
                <w:rStyle w:val="af3"/>
                <w:rFonts w:ascii="楷体" w:eastAsia="楷体" w:hAnsi="楷体"/>
                <w:noProof/>
              </w:rPr>
              <w:t>4.4.7特斯拉时刻和OGAS时刻的可能性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_Toc228374905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44</w:t>
            </w:r>
            <w:r>
              <w:rPr>
                <w:rFonts w:hint="eastAsia"/>
                <w:noProof/>
                <w:webHidden/>
              </w:rPr>
              <w:fldChar w:fldCharType="end"/>
            </w:r>
          </w:hyperlink>
        </w:p>
        <w:p w14:paraId="76F49F6F" w14:textId="627392E4" w:rsidR="00BF345B" w:rsidRDefault="00BF345B">
          <w:pPr>
            <w:pStyle w:val="TOC1"/>
            <w:tabs>
              <w:tab w:val="right" w:leader="dot" w:pos="8296"/>
            </w:tabs>
            <w:rPr>
              <w:rFonts w:cstheme="minorBidi" w:hint="eastAsia"/>
              <w:noProof/>
              <w:kern w:val="2"/>
              <w:szCs w:val="24"/>
              <w14:ligatures w14:val="standardContextual"/>
            </w:rPr>
          </w:pPr>
          <w:hyperlink w:anchor="_Toc228374906" w:history="1">
            <w:r w:rsidRPr="00291F59">
              <w:rPr>
                <w:rStyle w:val="af3"/>
                <w:rFonts w:ascii="楷体" w:eastAsia="楷体" w:hAnsi="楷体"/>
                <w:noProof/>
              </w:rPr>
              <w:t>5.附录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_Toc228374906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45</w:t>
            </w:r>
            <w:r>
              <w:rPr>
                <w:rFonts w:hint="eastAsia"/>
                <w:noProof/>
                <w:webHidden/>
              </w:rPr>
              <w:fldChar w:fldCharType="end"/>
            </w:r>
          </w:hyperlink>
        </w:p>
        <w:p w14:paraId="219558B7" w14:textId="0526731B" w:rsidR="00BF345B" w:rsidRDefault="00BF345B">
          <w:pPr>
            <w:pStyle w:val="TOC2"/>
            <w:tabs>
              <w:tab w:val="right" w:leader="dot" w:pos="8296"/>
            </w:tabs>
            <w:rPr>
              <w:rFonts w:cstheme="minorBidi" w:hint="eastAsia"/>
              <w:noProof/>
              <w:kern w:val="2"/>
              <w:szCs w:val="24"/>
              <w14:ligatures w14:val="standardContextual"/>
            </w:rPr>
          </w:pPr>
          <w:hyperlink w:anchor="_Toc228374907" w:history="1">
            <w:r w:rsidRPr="00291F59">
              <w:rPr>
                <w:rStyle w:val="af3"/>
                <w:rFonts w:ascii="楷体" w:eastAsia="楷体" w:hAnsi="楷体"/>
                <w:noProof/>
              </w:rPr>
              <w:t>5.1 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_Toc228374907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45</w:t>
            </w:r>
            <w:r>
              <w:rPr>
                <w:rFonts w:hint="eastAsia"/>
                <w:noProof/>
                <w:webHidden/>
              </w:rPr>
              <w:fldChar w:fldCharType="end"/>
            </w:r>
          </w:hyperlink>
        </w:p>
        <w:p w14:paraId="797933D4" w14:textId="26793D62" w:rsidR="00BF345B" w:rsidRDefault="00BF345B">
          <w:pPr>
            <w:pStyle w:val="TOC2"/>
            <w:tabs>
              <w:tab w:val="right" w:leader="dot" w:pos="8296"/>
            </w:tabs>
            <w:rPr>
              <w:rFonts w:cstheme="minorBidi" w:hint="eastAsia"/>
              <w:noProof/>
              <w:kern w:val="2"/>
              <w:szCs w:val="24"/>
              <w14:ligatures w14:val="standardContextual"/>
            </w:rPr>
          </w:pPr>
          <w:hyperlink w:anchor="_Toc228374908" w:history="1">
            <w:r w:rsidRPr="00291F59">
              <w:rPr>
                <w:rStyle w:val="af3"/>
                <w:rFonts w:ascii="楷体" w:eastAsia="楷体" w:hAnsi="楷体"/>
                <w:noProof/>
              </w:rPr>
              <w:t>5.2 技术历史与突破过程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_Toc228374908 \h</w:instrText>
            </w:r>
            <w:r>
              <w:rPr>
                <w:rFonts w:hint="eastAsia"/>
                <w:noProof/>
                <w:webHidden/>
              </w:rPr>
              <w:instrText xml:space="preserve"> </w:instrText>
            </w:r>
            <w:r>
              <w:rPr>
                <w:rFonts w:hint="eastAsia"/>
                <w:noProof/>
                <w:webHidden/>
              </w:rPr>
            </w:r>
            <w:r>
              <w:rPr>
                <w:rFonts w:hint="eastAsia"/>
                <w:noProof/>
                <w:webHidden/>
              </w:rPr>
              <w:fldChar w:fldCharType="separate"/>
            </w:r>
            <w:r w:rsidR="00E83A40">
              <w:rPr>
                <w:rFonts w:hint="eastAsia"/>
                <w:noProof/>
                <w:webHidden/>
              </w:rPr>
              <w:t>46</w:t>
            </w:r>
            <w:r>
              <w:rPr>
                <w:rFonts w:hint="eastAsia"/>
                <w:noProof/>
                <w:webHidden/>
              </w:rPr>
              <w:fldChar w:fldCharType="end"/>
            </w:r>
          </w:hyperlink>
        </w:p>
        <w:p w14:paraId="6BD085BD" w14:textId="038BEF0E" w:rsidR="00BF345B" w:rsidRDefault="00BF345B">
          <w:pPr>
            <w:rPr>
              <w:rFonts w:hint="eastAsia"/>
            </w:rPr>
          </w:pPr>
          <w:r>
            <w:rPr>
              <w:b/>
              <w:bCs/>
              <w:lang w:val="zh-CN"/>
            </w:rPr>
            <w:fldChar w:fldCharType="end"/>
          </w:r>
        </w:p>
      </w:sdtContent>
    </w:sdt>
    <w:p w14:paraId="293094B4" w14:textId="77777777" w:rsidR="00007D41" w:rsidRDefault="00007D41" w:rsidP="001A5243">
      <w:pPr>
        <w:rPr>
          <w:rFonts w:hint="eastAsia"/>
        </w:rPr>
        <w:sectPr w:rsidR="00007D41">
          <w:pgSz w:w="11906" w:h="16838"/>
          <w:pgMar w:top="1440" w:right="1800" w:bottom="1440" w:left="1800" w:header="851" w:footer="992" w:gutter="0"/>
          <w:cols w:space="425"/>
          <w:docGrid w:type="lines" w:linePitch="312"/>
        </w:sectPr>
      </w:pPr>
    </w:p>
    <w:p w14:paraId="6DAE3BBE" w14:textId="77777777" w:rsidR="001B6851" w:rsidRPr="00BF345B" w:rsidRDefault="001B6851" w:rsidP="001A5243">
      <w:pPr>
        <w:rPr>
          <w:rFonts w:hint="eastAsia"/>
        </w:rPr>
      </w:pPr>
    </w:p>
    <w:p w14:paraId="437CCC9E" w14:textId="58649020" w:rsidR="00E92071" w:rsidRPr="00E92071" w:rsidRDefault="00E92071" w:rsidP="00E92071">
      <w:pPr>
        <w:spacing w:after="0" w:line="360" w:lineRule="auto"/>
        <w:ind w:firstLine="964"/>
        <w:rPr>
          <w:rFonts w:ascii="Times New Roman" w:eastAsia="楷体" w:hAnsi="Times New Roman" w:cs="Times New Roman" w:hint="eastAsia"/>
          <w:b/>
          <w:bCs/>
          <w:sz w:val="48"/>
          <w:szCs w:val="48"/>
          <w14:ligatures w14:val="none"/>
        </w:rPr>
      </w:pPr>
      <w:bookmarkStart w:id="0" w:name="_Toc228374850"/>
      <w:r>
        <w:rPr>
          <w:rFonts w:ascii="Times New Roman" w:eastAsia="楷体" w:hAnsi="Times New Roman" w:cs="Times New Roman" w:hint="eastAsia"/>
          <w:b/>
          <w:bCs/>
          <w:sz w:val="48"/>
          <w:szCs w:val="48"/>
          <w14:ligatures w14:val="none"/>
        </w:rPr>
        <w:t>基础大模型行业深度研究报告</w:t>
      </w:r>
    </w:p>
    <w:p w14:paraId="357B3FA7" w14:textId="1E0F7FE6" w:rsidR="004F7E65" w:rsidRPr="00660147" w:rsidRDefault="009A28A3">
      <w:pPr>
        <w:pStyle w:val="1"/>
        <w:rPr>
          <w:rFonts w:ascii="楷体" w:eastAsia="楷体" w:hAnsi="楷体" w:hint="eastAsia"/>
          <w:color w:val="000000" w:themeColor="text1"/>
          <w:sz w:val="36"/>
          <w:szCs w:val="36"/>
        </w:rPr>
      </w:pPr>
      <w:r w:rsidRPr="00660147">
        <w:rPr>
          <w:rFonts w:ascii="楷体" w:eastAsia="楷体" w:hAnsi="楷体" w:hint="eastAsia"/>
          <w:color w:val="000000" w:themeColor="text1"/>
          <w:sz w:val="36"/>
          <w:szCs w:val="36"/>
        </w:rPr>
        <w:t>1</w:t>
      </w:r>
      <w:r w:rsidR="0003199B" w:rsidRPr="00660147">
        <w:rPr>
          <w:rFonts w:ascii="楷体" w:eastAsia="楷体" w:hAnsi="楷体" w:hint="eastAsia"/>
          <w:color w:val="000000" w:themeColor="text1"/>
          <w:sz w:val="36"/>
          <w:szCs w:val="36"/>
        </w:rPr>
        <w:t>.行业概</w:t>
      </w:r>
      <w:bookmarkEnd w:id="0"/>
      <w:r w:rsidR="00000513">
        <w:rPr>
          <w:rFonts w:ascii="楷体" w:eastAsia="楷体" w:hAnsi="楷体" w:hint="eastAsia"/>
          <w:color w:val="000000" w:themeColor="text1"/>
          <w:sz w:val="36"/>
          <w:szCs w:val="36"/>
        </w:rPr>
        <w:t>览</w:t>
      </w:r>
    </w:p>
    <w:p w14:paraId="5445B605" w14:textId="4037120F" w:rsidR="004F7E65" w:rsidRPr="00342124" w:rsidRDefault="009A28A3">
      <w:pPr>
        <w:pStyle w:val="2"/>
        <w:rPr>
          <w:rFonts w:ascii="楷体" w:eastAsia="楷体" w:hAnsi="楷体" w:hint="eastAsia"/>
          <w:color w:val="000000" w:themeColor="text1"/>
          <w:sz w:val="32"/>
          <w:szCs w:val="32"/>
        </w:rPr>
      </w:pPr>
      <w:bookmarkStart w:id="1" w:name="_Toc228374851"/>
      <w:r w:rsidRPr="00342124">
        <w:rPr>
          <w:rFonts w:ascii="楷体" w:eastAsia="楷体" w:hAnsi="楷体" w:hint="eastAsia"/>
          <w:color w:val="000000" w:themeColor="text1"/>
          <w:sz w:val="32"/>
          <w:szCs w:val="32"/>
        </w:rPr>
        <w:t>1</w:t>
      </w:r>
      <w:r w:rsidR="00C22F0C" w:rsidRPr="00342124">
        <w:rPr>
          <w:rFonts w:ascii="楷体" w:eastAsia="楷体" w:hAnsi="楷体" w:hint="eastAsia"/>
          <w:color w:val="000000" w:themeColor="text1"/>
          <w:sz w:val="32"/>
          <w:szCs w:val="32"/>
        </w:rPr>
        <w:t>.1定义与分类</w:t>
      </w:r>
      <w:bookmarkEnd w:id="1"/>
    </w:p>
    <w:p w14:paraId="1164BB2E" w14:textId="605F230D" w:rsidR="004F7E65" w:rsidRPr="00342124" w:rsidRDefault="009A28A3">
      <w:pPr>
        <w:pStyle w:val="3"/>
        <w:rPr>
          <w:rFonts w:ascii="楷体" w:eastAsia="楷体" w:hAnsi="楷体" w:hint="eastAsia"/>
          <w:color w:val="000000" w:themeColor="text1"/>
          <w:sz w:val="30"/>
          <w:szCs w:val="30"/>
        </w:rPr>
      </w:pPr>
      <w:bookmarkStart w:id="2" w:name="_Toc228374852"/>
      <w:r w:rsidRPr="00342124">
        <w:rPr>
          <w:rFonts w:ascii="楷体" w:eastAsia="楷体" w:hAnsi="楷体" w:hint="eastAsia"/>
          <w:color w:val="000000" w:themeColor="text1"/>
          <w:sz w:val="30"/>
          <w:szCs w:val="30"/>
        </w:rPr>
        <w:t>1.1.1</w:t>
      </w:r>
      <w:r w:rsidR="005870B1" w:rsidRPr="00342124">
        <w:rPr>
          <w:rFonts w:ascii="楷体" w:eastAsia="楷体" w:hAnsi="楷体" w:hint="eastAsia"/>
          <w:color w:val="000000" w:themeColor="text1"/>
          <w:sz w:val="30"/>
          <w:szCs w:val="30"/>
        </w:rPr>
        <w:t>定义</w:t>
      </w:r>
      <w:bookmarkEnd w:id="2"/>
    </w:p>
    <w:p w14:paraId="606D93A0" w14:textId="77777777" w:rsidR="004F7E65" w:rsidRPr="00D357CC" w:rsidRDefault="00000000">
      <w:pPr>
        <w:rPr>
          <w:rFonts w:ascii="楷体" w:eastAsia="楷体" w:hAnsi="楷体" w:hint="eastAsia"/>
          <w:color w:val="000000" w:themeColor="text1"/>
        </w:rPr>
      </w:pPr>
      <w:r w:rsidRPr="00D357CC">
        <w:rPr>
          <w:rFonts w:ascii="楷体" w:eastAsia="楷体" w:hAnsi="楷体" w:hint="eastAsia"/>
          <w:color w:val="000000" w:themeColor="text1"/>
          <w:szCs w:val="22"/>
        </w:rPr>
        <w:t>基础大模型，通常指通过海量多</w:t>
      </w:r>
      <w:proofErr w:type="gramStart"/>
      <w:r w:rsidRPr="00D357CC">
        <w:rPr>
          <w:rFonts w:ascii="楷体" w:eastAsia="楷体" w:hAnsi="楷体" w:hint="eastAsia"/>
          <w:color w:val="000000" w:themeColor="text1"/>
          <w:szCs w:val="22"/>
        </w:rPr>
        <w:t>源数据</w:t>
      </w:r>
      <w:proofErr w:type="gramEnd"/>
      <w:r w:rsidRPr="00D357CC">
        <w:rPr>
          <w:rFonts w:ascii="楷体" w:eastAsia="楷体" w:hAnsi="楷体" w:hint="eastAsia"/>
          <w:color w:val="000000" w:themeColor="text1"/>
          <w:szCs w:val="22"/>
        </w:rPr>
        <w:t>训练、具备强大泛化能力的</w:t>
      </w:r>
      <w:proofErr w:type="gramStart"/>
      <w:r w:rsidRPr="00D357CC">
        <w:rPr>
          <w:rFonts w:ascii="楷体" w:eastAsia="楷体" w:hAnsi="楷体" w:hint="eastAsia"/>
          <w:color w:val="000000" w:themeColor="text1"/>
          <w:szCs w:val="22"/>
        </w:rPr>
        <w:t>预训练</w:t>
      </w:r>
      <w:proofErr w:type="gramEnd"/>
      <w:r w:rsidRPr="00D357CC">
        <w:rPr>
          <w:rFonts w:ascii="楷体" w:eastAsia="楷体" w:hAnsi="楷体" w:hint="eastAsia"/>
          <w:color w:val="000000" w:themeColor="text1"/>
          <w:szCs w:val="22"/>
        </w:rPr>
        <w:t>模型（Pre-trained Models）。其核心特征在于参数规模巨大（通常达千亿乃至万亿级别），并能够理解和生成文本、图像、音频、视频等多种模态的内容。与传统针对特定任务的AI模型不同，基础大模型通过“预训练+微调”范式，展现出强大的通用任务处理能力和零样本/少样本学习能力，成为驱动当前人工智能浪潮的核心引擎。从技术架构演进看，行业已从早期专注于文本处理的大语言模型（LLM），快速迭代</w:t>
      </w:r>
      <w:proofErr w:type="gramStart"/>
      <w:r w:rsidRPr="00D357CC">
        <w:rPr>
          <w:rFonts w:ascii="楷体" w:eastAsia="楷体" w:hAnsi="楷体" w:hint="eastAsia"/>
          <w:color w:val="000000" w:themeColor="text1"/>
          <w:szCs w:val="22"/>
        </w:rPr>
        <w:t>至能够</w:t>
      </w:r>
      <w:proofErr w:type="gramEnd"/>
      <w:r w:rsidRPr="00D357CC">
        <w:rPr>
          <w:rFonts w:ascii="楷体" w:eastAsia="楷体" w:hAnsi="楷体" w:hint="eastAsia"/>
          <w:color w:val="000000" w:themeColor="text1"/>
          <w:szCs w:val="22"/>
        </w:rPr>
        <w:t>原生处理并关联文本、图像、音频、视频等信息的多模态大语言模型（MLLM）</w:t>
      </w:r>
    </w:p>
    <w:p w14:paraId="66C538A4" w14:textId="77777777" w:rsidR="004F7E65" w:rsidRPr="00D357CC" w:rsidRDefault="00000000">
      <w:pPr>
        <w:rPr>
          <w:rFonts w:ascii="楷体" w:eastAsia="楷体" w:hAnsi="楷体" w:hint="eastAsia"/>
          <w:color w:val="000000" w:themeColor="text1"/>
        </w:rPr>
      </w:pPr>
      <w:r w:rsidRPr="00D357CC">
        <w:rPr>
          <w:rFonts w:ascii="楷体" w:eastAsia="楷体" w:hAnsi="楷体" w:hint="eastAsia"/>
          <w:color w:val="000000" w:themeColor="text1"/>
          <w:szCs w:val="22"/>
        </w:rPr>
        <w:t>大模型的核心创新在于将模型参数规模扩展至数十亿（B级）甚至万亿（TB）级别，配合海量无标注文本数据的预训练，使模型能够捕捉语言中的深层统计规律与语义关联。这种规模化的</w:t>
      </w:r>
      <w:proofErr w:type="gramStart"/>
      <w:r w:rsidRPr="00D357CC">
        <w:rPr>
          <w:rFonts w:ascii="楷体" w:eastAsia="楷体" w:hAnsi="楷体" w:hint="eastAsia"/>
          <w:color w:val="000000" w:themeColor="text1"/>
          <w:szCs w:val="22"/>
        </w:rPr>
        <w:t>预训练</w:t>
      </w:r>
      <w:proofErr w:type="gramEnd"/>
      <w:r w:rsidRPr="00D357CC">
        <w:rPr>
          <w:rFonts w:ascii="楷体" w:eastAsia="楷体" w:hAnsi="楷体" w:hint="eastAsia"/>
          <w:color w:val="000000" w:themeColor="text1"/>
          <w:szCs w:val="22"/>
        </w:rPr>
        <w:t>方法使得模型展现出“涌现能力”（Emergent Abilities），即当模型规模突破特定阈值后，会突然表现出小模型不具备的复杂推理与泛化能力。当前主流大模型均采用decoder-only或encoder-decoder架构，通过下一个token预测任务进行自监督学习，在海量互联网文本、书籍、代码等多样化语料上完成预训练，形成通用的语言理解与生成能力基础。大模型的发展已深嵌国家战略安全、经济转型与社会治理全局，其技术突破不仅关乎科技创新，更成为国际竞争的核心焦点。</w:t>
      </w:r>
    </w:p>
    <w:p w14:paraId="371ACB6A" w14:textId="77777777" w:rsidR="004F7E65" w:rsidRPr="00D357CC" w:rsidRDefault="00000000">
      <w:pPr>
        <w:pStyle w:val="FirstParagraph"/>
        <w:rPr>
          <w:rFonts w:ascii="楷体" w:eastAsia="楷体" w:hAnsi="楷体" w:hint="eastAsia"/>
          <w:color w:val="000000" w:themeColor="text1"/>
          <w:sz w:val="22"/>
          <w:szCs w:val="22"/>
          <w:lang w:eastAsia="zh-CN"/>
        </w:rPr>
      </w:pPr>
      <w:r w:rsidRPr="00D357CC">
        <w:rPr>
          <w:rFonts w:ascii="楷体" w:eastAsia="楷体" w:hAnsi="楷体" w:hint="eastAsia"/>
          <w:color w:val="000000" w:themeColor="text1"/>
          <w:sz w:val="22"/>
          <w:szCs w:val="22"/>
          <w:lang w:eastAsia="zh-CN"/>
        </w:rPr>
        <w:t>大模型的核心能力体系包含四个相互关联的维度，共同构成了其强大的通用智能表现：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2074"/>
        <w:gridCol w:w="2074"/>
        <w:gridCol w:w="2074"/>
      </w:tblGrid>
      <w:tr w:rsidR="004F7E65" w:rsidRPr="00660147" w14:paraId="03CE3595" w14:textId="77777777" w:rsidTr="004F7E65">
        <w:trPr>
          <w:cnfStyle w:val="100000000000" w:firstRow="1" w:lastRow="0" w:firstColumn="0" w:lastColumn="0" w:oddVBand="0" w:evenVBand="0" w:oddHBand="0" w:evenHBand="0" w:firstRowFirstColumn="0" w:firstRowLastColumn="0" w:lastRowFirstColumn="0" w:lastRowLastColumn="0"/>
          <w:tblHeader/>
        </w:trPr>
        <w:tc>
          <w:tcPr>
            <w:tcW w:w="2074" w:type="dxa"/>
            <w:tcBorders>
              <w:bottom w:val="nil"/>
            </w:tcBorders>
          </w:tcPr>
          <w:p w14:paraId="19FA6133"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核心能力</w:t>
            </w:r>
          </w:p>
        </w:tc>
        <w:tc>
          <w:tcPr>
            <w:tcW w:w="2074" w:type="dxa"/>
            <w:tcBorders>
              <w:bottom w:val="nil"/>
            </w:tcBorders>
          </w:tcPr>
          <w:p w14:paraId="356FA424"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技术内涵</w:t>
            </w:r>
          </w:p>
        </w:tc>
        <w:tc>
          <w:tcPr>
            <w:tcW w:w="2074" w:type="dxa"/>
            <w:tcBorders>
              <w:bottom w:val="nil"/>
            </w:tcBorders>
          </w:tcPr>
          <w:p w14:paraId="16F8BEEA"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典型表现</w:t>
            </w:r>
          </w:p>
        </w:tc>
        <w:tc>
          <w:tcPr>
            <w:tcW w:w="2074" w:type="dxa"/>
            <w:tcBorders>
              <w:bottom w:val="nil"/>
            </w:tcBorders>
          </w:tcPr>
          <w:p w14:paraId="5FC0D592"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关键突破节点</w:t>
            </w:r>
          </w:p>
        </w:tc>
      </w:tr>
      <w:tr w:rsidR="004F7E65" w:rsidRPr="00660147" w14:paraId="54998516" w14:textId="77777777" w:rsidTr="004F7E65">
        <w:tc>
          <w:tcPr>
            <w:tcW w:w="2074" w:type="dxa"/>
          </w:tcPr>
          <w:p w14:paraId="18EA4C0E"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涌现能力</w:t>
            </w:r>
          </w:p>
        </w:tc>
        <w:tc>
          <w:tcPr>
            <w:tcW w:w="2074" w:type="dxa"/>
          </w:tcPr>
          <w:p w14:paraId="6F746E07"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规模达到临界点后自发出现的</w:t>
            </w:r>
            <w:proofErr w:type="gramStart"/>
            <w:r w:rsidRPr="00660147">
              <w:rPr>
                <w:rFonts w:ascii="楷体" w:eastAsia="楷体" w:hAnsi="楷体"/>
                <w:color w:val="000000" w:themeColor="text1"/>
                <w:sz w:val="22"/>
                <w:szCs w:val="22"/>
                <w:lang w:eastAsia="zh-CN"/>
              </w:rPr>
              <w:t>新能力</w:t>
            </w:r>
            <w:proofErr w:type="gramEnd"/>
          </w:p>
        </w:tc>
        <w:tc>
          <w:tcPr>
            <w:tcW w:w="2074" w:type="dxa"/>
          </w:tcPr>
          <w:p w14:paraId="60AE048B"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链式思维推理、少样本学习、复杂规划</w:t>
            </w:r>
          </w:p>
        </w:tc>
        <w:tc>
          <w:tcPr>
            <w:tcW w:w="2074" w:type="dxa"/>
          </w:tcPr>
          <w:p w14:paraId="0EF12808"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GPT-3（1750亿参数）首次显著展现</w:t>
            </w:r>
          </w:p>
        </w:tc>
      </w:tr>
      <w:tr w:rsidR="004F7E65" w:rsidRPr="00660147" w14:paraId="761C4E61" w14:textId="77777777" w:rsidTr="004F7E65">
        <w:tc>
          <w:tcPr>
            <w:tcW w:w="2074" w:type="dxa"/>
          </w:tcPr>
          <w:p w14:paraId="20937017"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lastRenderedPageBreak/>
              <w:t>上下文学习</w:t>
            </w:r>
          </w:p>
        </w:tc>
        <w:tc>
          <w:tcPr>
            <w:tcW w:w="2074" w:type="dxa"/>
          </w:tcPr>
          <w:p w14:paraId="533FE6B0"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无需参数更新，通过提示示例快速适应新任务</w:t>
            </w:r>
          </w:p>
        </w:tc>
        <w:tc>
          <w:tcPr>
            <w:tcW w:w="2074" w:type="dxa"/>
          </w:tcPr>
          <w:p w14:paraId="5581E0F4"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给定几个示例即可完成分类、翻译、摘要等</w:t>
            </w:r>
          </w:p>
        </w:tc>
        <w:tc>
          <w:tcPr>
            <w:tcW w:w="2074" w:type="dxa"/>
          </w:tcPr>
          <w:p w14:paraId="729FC382"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GPT-3的In-Context Learning机制</w:t>
            </w:r>
          </w:p>
        </w:tc>
      </w:tr>
      <w:tr w:rsidR="004F7E65" w:rsidRPr="00660147" w14:paraId="3B3C1777" w14:textId="77777777" w:rsidTr="004F7E65">
        <w:tc>
          <w:tcPr>
            <w:tcW w:w="2074" w:type="dxa"/>
          </w:tcPr>
          <w:p w14:paraId="36F7DEB1"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指令遵循</w:t>
            </w:r>
          </w:p>
        </w:tc>
        <w:tc>
          <w:tcPr>
            <w:tcW w:w="2074" w:type="dxa"/>
          </w:tcPr>
          <w:p w14:paraId="5E270517"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准确理解自然语言指令并按期望格式输出</w:t>
            </w:r>
          </w:p>
        </w:tc>
        <w:tc>
          <w:tcPr>
            <w:tcW w:w="2074" w:type="dxa"/>
          </w:tcPr>
          <w:p w14:paraId="19FB2690"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多轮对话、复杂任务分解、格式控制</w:t>
            </w:r>
          </w:p>
        </w:tc>
        <w:tc>
          <w:tcPr>
            <w:tcW w:w="2074" w:type="dxa"/>
          </w:tcPr>
          <w:p w14:paraId="530328AB"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4"/>
              </w:rPr>
              <w:t>ChatGPT的RLHF对齐技术</w:t>
            </w:r>
          </w:p>
        </w:tc>
      </w:tr>
      <w:tr w:rsidR="004F7E65" w:rsidRPr="00660147" w14:paraId="3B336FE5" w14:textId="77777777" w:rsidTr="004F7E65">
        <w:tc>
          <w:tcPr>
            <w:tcW w:w="2074" w:type="dxa"/>
          </w:tcPr>
          <w:p w14:paraId="0B5D06ED" w14:textId="77777777" w:rsidR="004F7E65" w:rsidRPr="00660147" w:rsidRDefault="00000000">
            <w:pPr>
              <w:pStyle w:val="Compact"/>
              <w:rPr>
                <w:rFonts w:ascii="楷体" w:eastAsia="楷体" w:hAnsi="楷体" w:hint="eastAsia"/>
                <w:color w:val="000000" w:themeColor="text1"/>
                <w:sz w:val="22"/>
                <w:szCs w:val="22"/>
              </w:rPr>
            </w:pPr>
            <w:r w:rsidRPr="00660147">
              <w:rPr>
                <w:rFonts w:ascii="楷体" w:eastAsia="楷体" w:hAnsi="楷体"/>
                <w:color w:val="000000" w:themeColor="text1"/>
                <w:sz w:val="22"/>
                <w:szCs w:val="22"/>
              </w:rPr>
              <w:t>多任务泛化</w:t>
            </w:r>
          </w:p>
        </w:tc>
        <w:tc>
          <w:tcPr>
            <w:tcW w:w="2074" w:type="dxa"/>
          </w:tcPr>
          <w:p w14:paraId="0ADF6BA5"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单一模型处理多样化任务的能力</w:t>
            </w:r>
          </w:p>
        </w:tc>
        <w:tc>
          <w:tcPr>
            <w:tcW w:w="2074" w:type="dxa"/>
          </w:tcPr>
          <w:p w14:paraId="38315F99"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文本生成、代码编写、逻辑推理、创意写作</w:t>
            </w:r>
          </w:p>
        </w:tc>
        <w:tc>
          <w:tcPr>
            <w:tcW w:w="2074" w:type="dxa"/>
          </w:tcPr>
          <w:p w14:paraId="592D556F" w14:textId="77777777" w:rsidR="004F7E65" w:rsidRPr="00660147" w:rsidRDefault="00000000">
            <w:pPr>
              <w:pStyle w:val="Compact"/>
              <w:rPr>
                <w:rFonts w:ascii="楷体" w:eastAsia="楷体" w:hAnsi="楷体" w:hint="eastAsia"/>
                <w:color w:val="000000" w:themeColor="text1"/>
                <w:sz w:val="22"/>
                <w:szCs w:val="22"/>
                <w:lang w:eastAsia="zh-CN"/>
              </w:rPr>
            </w:pPr>
            <w:r w:rsidRPr="00660147">
              <w:rPr>
                <w:rFonts w:ascii="楷体" w:eastAsia="楷体" w:hAnsi="楷体"/>
                <w:color w:val="000000" w:themeColor="text1"/>
                <w:sz w:val="22"/>
                <w:szCs w:val="22"/>
                <w:lang w:eastAsia="zh-CN"/>
              </w:rPr>
              <w:t>GPT-4的专业考试人类水平表现</w:t>
            </w:r>
          </w:p>
        </w:tc>
      </w:tr>
    </w:tbl>
    <w:p w14:paraId="3F588599" w14:textId="77777777"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涌现能力是大模型最显著的特征之一。研究表明，当模型参数量突破1000亿级别时，会出现诸如链式思维推理（Chain-of-Thought Reasoning）、少样本学习（Few-Shot Learning）等高级能力，这些能力并非显式编程获得，而是从海量训练数据中"涌现"出的统计规律。2024年底至2026年初，LLM领域经历了从规模扩展到多维</w:t>
      </w:r>
      <w:proofErr w:type="gramStart"/>
      <w:r w:rsidRPr="00660147">
        <w:rPr>
          <w:rFonts w:ascii="楷体" w:eastAsia="楷体" w:hAnsi="楷体" w:hint="eastAsia"/>
          <w:color w:val="000000" w:themeColor="text1"/>
          <w:szCs w:val="22"/>
        </w:rPr>
        <w:t>度深化</w:t>
      </w:r>
      <w:proofErr w:type="gramEnd"/>
      <w:r w:rsidRPr="00660147">
        <w:rPr>
          <w:rFonts w:ascii="楷体" w:eastAsia="楷体" w:hAnsi="楷体" w:hint="eastAsia"/>
          <w:color w:val="000000" w:themeColor="text1"/>
          <w:szCs w:val="22"/>
        </w:rPr>
        <w:t>的范式转变，MoE架构主流</w:t>
      </w:r>
      <w:proofErr w:type="gramStart"/>
      <w:r w:rsidRPr="00660147">
        <w:rPr>
          <w:rFonts w:ascii="楷体" w:eastAsia="楷体" w:hAnsi="楷体" w:hint="eastAsia"/>
          <w:color w:val="000000" w:themeColor="text1"/>
          <w:szCs w:val="22"/>
        </w:rPr>
        <w:t>化解决</w:t>
      </w:r>
      <w:proofErr w:type="gramEnd"/>
      <w:r w:rsidRPr="00660147">
        <w:rPr>
          <w:rFonts w:ascii="楷体" w:eastAsia="楷体" w:hAnsi="楷体" w:hint="eastAsia"/>
          <w:color w:val="000000" w:themeColor="text1"/>
          <w:szCs w:val="22"/>
        </w:rPr>
        <w:t>了参数规模与计算成本的矛盾，测试时推理扩展为专业任务提供了新的能力上限。</w:t>
      </w:r>
    </w:p>
    <w:p w14:paraId="420A1D84" w14:textId="03BA531A"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上下文学习能力尤其值得关注，因为它极大地降低了模型适应新任务的门槛。用户无需具备深度学习专业知识，即可通过自然语言指令引导模型完成特定任务。这一能力的基础在于</w:t>
      </w:r>
      <w:proofErr w:type="gramStart"/>
      <w:r w:rsidRPr="00660147">
        <w:rPr>
          <w:rFonts w:ascii="楷体" w:eastAsia="楷体" w:hAnsi="楷体" w:hint="eastAsia"/>
          <w:color w:val="000000" w:themeColor="text1"/>
          <w:szCs w:val="22"/>
        </w:rPr>
        <w:t>预训练</w:t>
      </w:r>
      <w:proofErr w:type="gramEnd"/>
      <w:r w:rsidRPr="00660147">
        <w:rPr>
          <w:rFonts w:ascii="楷体" w:eastAsia="楷体" w:hAnsi="楷体" w:hint="eastAsia"/>
          <w:color w:val="000000" w:themeColor="text1"/>
          <w:szCs w:val="22"/>
        </w:rPr>
        <w:t>过程中模型对海量文本中隐含模式的学习——互联网文本中天然包含了大量</w:t>
      </w:r>
      <w:r w:rsidR="00BE4BF4">
        <w:rPr>
          <w:rFonts w:ascii="楷体" w:eastAsia="楷体" w:hAnsi="楷体" w:hint="eastAsia"/>
          <w:color w:val="000000" w:themeColor="text1"/>
          <w:szCs w:val="22"/>
        </w:rPr>
        <w:t>“</w:t>
      </w:r>
      <w:r w:rsidRPr="00660147">
        <w:rPr>
          <w:rFonts w:ascii="楷体" w:eastAsia="楷体" w:hAnsi="楷体" w:hint="eastAsia"/>
          <w:color w:val="000000" w:themeColor="text1"/>
          <w:szCs w:val="22"/>
        </w:rPr>
        <w:t>问题-答案”、“指令-响应”等形式的配对数据。</w:t>
      </w:r>
    </w:p>
    <w:p w14:paraId="191B301D" w14:textId="0AB16092" w:rsidR="004F7E65" w:rsidRPr="00660147" w:rsidRDefault="00000000">
      <w:pPr>
        <w:rPr>
          <w:rFonts w:ascii="楷体" w:eastAsia="楷体" w:hAnsi="楷体" w:hint="eastAsia"/>
          <w:color w:val="000000" w:themeColor="text1"/>
          <w:szCs w:val="22"/>
        </w:rPr>
      </w:pPr>
      <w:r w:rsidRPr="00660147">
        <w:rPr>
          <w:rFonts w:ascii="楷体" w:eastAsia="楷体" w:hAnsi="楷体"/>
          <w:color w:val="000000" w:themeColor="text1"/>
          <w:szCs w:val="22"/>
        </w:rPr>
        <w:t>指令遵循能力的提升则得益于有监督微调（SFT）和基于人类反馈的强化学习（RLHF）等对齐技术。这一系列技术显著提升了大模型的实用性和安全性，使其从</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文本补全工具</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转变为</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有用、诚实、无害”的智能助手</w:t>
      </w:r>
    </w:p>
    <w:p w14:paraId="4311963C" w14:textId="428A4F28" w:rsidR="004F7E65" w:rsidRPr="00660147" w:rsidRDefault="00000000">
      <w:pPr>
        <w:rPr>
          <w:rFonts w:ascii="楷体" w:eastAsia="楷体" w:hAnsi="楷体" w:hint="eastAsia"/>
          <w:color w:val="000000" w:themeColor="text1"/>
          <w:szCs w:val="22"/>
        </w:rPr>
      </w:pPr>
      <w:r w:rsidRPr="00660147">
        <w:rPr>
          <w:rFonts w:ascii="楷体" w:eastAsia="楷体" w:hAnsi="楷体"/>
          <w:color w:val="000000" w:themeColor="text1"/>
          <w:szCs w:val="22"/>
        </w:rPr>
        <w:t>多任务泛化能力尤其值得关注，因为它打破了</w:t>
      </w:r>
      <w:r w:rsidR="00BE4BF4">
        <w:rPr>
          <w:rFonts w:ascii="楷体" w:eastAsia="楷体" w:hAnsi="楷体" w:hint="eastAsia"/>
          <w:color w:val="000000" w:themeColor="text1"/>
          <w:szCs w:val="22"/>
        </w:rPr>
        <w:t>“</w:t>
      </w:r>
      <w:proofErr w:type="gramStart"/>
      <w:r w:rsidRPr="00660147">
        <w:rPr>
          <w:rFonts w:ascii="楷体" w:eastAsia="楷体" w:hAnsi="楷体"/>
          <w:color w:val="000000" w:themeColor="text1"/>
          <w:szCs w:val="22"/>
        </w:rPr>
        <w:t>一</w:t>
      </w:r>
      <w:proofErr w:type="gramEnd"/>
      <w:r w:rsidRPr="00660147">
        <w:rPr>
          <w:rFonts w:ascii="楷体" w:eastAsia="楷体" w:hAnsi="楷体"/>
          <w:color w:val="000000" w:themeColor="text1"/>
          <w:szCs w:val="22"/>
        </w:rPr>
        <w:t>任务</w:t>
      </w:r>
      <w:proofErr w:type="gramStart"/>
      <w:r w:rsidRPr="00660147">
        <w:rPr>
          <w:rFonts w:ascii="楷体" w:eastAsia="楷体" w:hAnsi="楷体"/>
          <w:color w:val="000000" w:themeColor="text1"/>
          <w:szCs w:val="22"/>
        </w:rPr>
        <w:t>一</w:t>
      </w:r>
      <w:proofErr w:type="gramEnd"/>
      <w:r w:rsidRPr="00660147">
        <w:rPr>
          <w:rFonts w:ascii="楷体" w:eastAsia="楷体" w:hAnsi="楷体"/>
          <w:color w:val="000000" w:themeColor="text1"/>
          <w:szCs w:val="22"/>
        </w:rPr>
        <w:t>模型</w:t>
      </w:r>
      <w:r w:rsidR="00BE4BF4">
        <w:rPr>
          <w:rFonts w:ascii="楷体" w:eastAsia="楷体" w:hAnsi="楷体" w:hint="eastAsia"/>
          <w:color w:val="000000" w:themeColor="text1"/>
          <w:szCs w:val="22"/>
        </w:rPr>
        <w:t>”</w:t>
      </w:r>
      <w:r w:rsidRPr="00660147">
        <w:rPr>
          <w:rFonts w:ascii="楷体" w:eastAsia="楷体" w:hAnsi="楷体"/>
          <w:color w:val="000000" w:themeColor="text1"/>
          <w:szCs w:val="22"/>
        </w:rPr>
        <w:t>的传统壁垒，使单一模型得以同时处理分类、生成、推理、翻译与代码等异构任务。这一能力的基础在于</w:t>
      </w:r>
      <w:proofErr w:type="gramStart"/>
      <w:r w:rsidRPr="00660147">
        <w:rPr>
          <w:rFonts w:ascii="楷体" w:eastAsia="楷体" w:hAnsi="楷体"/>
          <w:color w:val="000000" w:themeColor="text1"/>
          <w:szCs w:val="22"/>
        </w:rPr>
        <w:t>预训练</w:t>
      </w:r>
      <w:proofErr w:type="gramEnd"/>
      <w:r w:rsidRPr="00660147">
        <w:rPr>
          <w:rFonts w:ascii="楷体" w:eastAsia="楷体" w:hAnsi="楷体"/>
          <w:color w:val="000000" w:themeColor="text1"/>
          <w:szCs w:val="22"/>
        </w:rPr>
        <w:t xml:space="preserve">阶段对海量异构数据中跨域统计规律的学习——互联网文本天然融合了代码、对话、论文与表格等多种任务形式，模型在压缩这些复杂分布的过程中习得可迁移的抽象表征与通用推理框架。其显性化则得益于统一的 next-token prediction </w:t>
      </w:r>
      <w:proofErr w:type="gramStart"/>
      <w:r w:rsidRPr="00660147">
        <w:rPr>
          <w:rFonts w:ascii="楷体" w:eastAsia="楷体" w:hAnsi="楷体"/>
          <w:color w:val="000000" w:themeColor="text1"/>
          <w:szCs w:val="22"/>
        </w:rPr>
        <w:t>预训练</w:t>
      </w:r>
      <w:proofErr w:type="gramEnd"/>
      <w:r w:rsidRPr="00660147">
        <w:rPr>
          <w:rFonts w:ascii="楷体" w:eastAsia="楷体" w:hAnsi="楷体"/>
          <w:color w:val="000000" w:themeColor="text1"/>
          <w:szCs w:val="22"/>
        </w:rPr>
        <w:t>目标与大规模多任务指令微调的结合，后者通过显式的任务描述与输入-输出配对，将异构指令映射到同一语义操作空间。这一系列技术使大模型从“特定领域的专用工具”转变为“跨领域、跨模态的通用任务求解器”，为后续 Agent 架构与工具调用奠定了认知基础。</w:t>
      </w:r>
    </w:p>
    <w:p w14:paraId="154DCFE1" w14:textId="1E072436" w:rsidR="004F7E65" w:rsidRPr="00342124" w:rsidRDefault="009A28A3">
      <w:pPr>
        <w:pStyle w:val="3"/>
        <w:rPr>
          <w:rFonts w:ascii="楷体" w:eastAsia="楷体" w:hAnsi="楷体" w:hint="eastAsia"/>
          <w:color w:val="000000" w:themeColor="text1"/>
          <w:sz w:val="30"/>
          <w:szCs w:val="30"/>
        </w:rPr>
      </w:pPr>
      <w:bookmarkStart w:id="3" w:name="_Toc228374853"/>
      <w:r w:rsidRPr="00342124">
        <w:rPr>
          <w:rFonts w:ascii="楷体" w:eastAsia="楷体" w:hAnsi="楷体" w:hint="eastAsia"/>
          <w:color w:val="000000" w:themeColor="text1"/>
          <w:sz w:val="30"/>
          <w:szCs w:val="30"/>
        </w:rPr>
        <w:lastRenderedPageBreak/>
        <w:t>1.1</w:t>
      </w:r>
      <w:r w:rsidR="009B0704" w:rsidRPr="00342124">
        <w:rPr>
          <w:rFonts w:ascii="楷体" w:eastAsia="楷体" w:hAnsi="楷体" w:hint="eastAsia"/>
          <w:color w:val="000000" w:themeColor="text1"/>
          <w:sz w:val="30"/>
          <w:szCs w:val="30"/>
        </w:rPr>
        <w:t>.2</w:t>
      </w:r>
      <w:r w:rsidRPr="00342124">
        <w:rPr>
          <w:rFonts w:ascii="楷体" w:eastAsia="楷体" w:hAnsi="楷体" w:hint="eastAsia"/>
          <w:color w:val="000000" w:themeColor="text1"/>
          <w:sz w:val="30"/>
          <w:szCs w:val="30"/>
        </w:rPr>
        <w:t>产业特性</w:t>
      </w:r>
      <w:bookmarkEnd w:id="3"/>
    </w:p>
    <w:p w14:paraId="652CB22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基础大模型具备明确的数据-</w:t>
      </w:r>
      <w:proofErr w:type="gramStart"/>
      <w:r w:rsidRPr="00660147">
        <w:rPr>
          <w:rFonts w:ascii="楷体" w:eastAsia="楷体" w:hAnsi="楷体" w:hint="eastAsia"/>
          <w:color w:val="000000" w:themeColor="text1"/>
          <w:szCs w:val="22"/>
        </w:rPr>
        <w:t>算力</w:t>
      </w:r>
      <w:proofErr w:type="gramEnd"/>
      <w:r w:rsidRPr="00660147">
        <w:rPr>
          <w:rFonts w:ascii="楷体" w:eastAsia="楷体" w:hAnsi="楷体" w:hint="eastAsia"/>
          <w:color w:val="000000" w:themeColor="text1"/>
          <w:szCs w:val="22"/>
        </w:rPr>
        <w:t>-模型飞轮特性。这一飞轮的启动，依赖于电力向智能的全球转化：国家以电力指标</w:t>
      </w:r>
      <w:proofErr w:type="gramStart"/>
      <w:r w:rsidRPr="00660147">
        <w:rPr>
          <w:rFonts w:ascii="楷体" w:eastAsia="楷体" w:hAnsi="楷体" w:hint="eastAsia"/>
          <w:color w:val="000000" w:themeColor="text1"/>
          <w:szCs w:val="22"/>
        </w:rPr>
        <w:t>支撑算力网络</w:t>
      </w:r>
      <w:proofErr w:type="gramEnd"/>
      <w:r w:rsidRPr="00660147">
        <w:rPr>
          <w:rFonts w:ascii="楷体" w:eastAsia="楷体" w:hAnsi="楷体" w:hint="eastAsia"/>
          <w:color w:val="000000" w:themeColor="text1"/>
          <w:szCs w:val="22"/>
        </w:rPr>
        <w:t>，基础大模型</w:t>
      </w:r>
      <w:proofErr w:type="gramStart"/>
      <w:r w:rsidRPr="00660147">
        <w:rPr>
          <w:rFonts w:ascii="楷体" w:eastAsia="楷体" w:hAnsi="楷体" w:hint="eastAsia"/>
          <w:color w:val="000000" w:themeColor="text1"/>
          <w:szCs w:val="22"/>
        </w:rPr>
        <w:t>将算力</w:t>
      </w:r>
      <w:proofErr w:type="gramEnd"/>
      <w:r w:rsidRPr="00660147">
        <w:rPr>
          <w:rFonts w:ascii="楷体" w:eastAsia="楷体" w:hAnsi="楷体" w:hint="eastAsia"/>
          <w:color w:val="000000" w:themeColor="text1"/>
          <w:szCs w:val="22"/>
        </w:rPr>
        <w:t>转化为可全球贸易的认知服务，而全球市场的每一次调用，又</w:t>
      </w:r>
      <w:proofErr w:type="gramStart"/>
      <w:r w:rsidRPr="00660147">
        <w:rPr>
          <w:rFonts w:ascii="楷体" w:eastAsia="楷体" w:hAnsi="楷体" w:hint="eastAsia"/>
          <w:color w:val="000000" w:themeColor="text1"/>
          <w:szCs w:val="22"/>
        </w:rPr>
        <w:t>反向为</w:t>
      </w:r>
      <w:proofErr w:type="gramEnd"/>
      <w:r w:rsidRPr="00660147">
        <w:rPr>
          <w:rFonts w:ascii="楷体" w:eastAsia="楷体" w:hAnsi="楷体" w:hint="eastAsia"/>
          <w:color w:val="000000" w:themeColor="text1"/>
          <w:szCs w:val="22"/>
        </w:rPr>
        <w:t>飞轮注入新的数据燃料与商业能量。</w:t>
      </w:r>
    </w:p>
    <w:p w14:paraId="7EBB1340" w14:textId="40A56C0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飞轮的结构首先建立在AI使用即生产的底层属性上。传统软件的用户增长与产品改进相互分离——用户越多，收入越高，但代码本身不因使用而自动优化。基础大模型则完全不同：每一次API调用、每一轮对话交互、每一个Agent任务执行，都在产生可用于后续训练或微调的真实世界数据。这些数据回流至模型迭代管线，通过RLHF、DPO、在线学习等机制，持续提升模型的对齐度与泛化能力。结果是，用户基数的扩张不仅带来收入，更直接转化为模型质量的提升；而模型质量的提升，又</w:t>
      </w:r>
      <w:proofErr w:type="gramStart"/>
      <w:r w:rsidRPr="00660147">
        <w:rPr>
          <w:rFonts w:ascii="楷体" w:eastAsia="楷体" w:hAnsi="楷体" w:hint="eastAsia"/>
          <w:color w:val="000000" w:themeColor="text1"/>
          <w:szCs w:val="22"/>
        </w:rPr>
        <w:t>降低获客成本</w:t>
      </w:r>
      <w:proofErr w:type="gramEnd"/>
      <w:r w:rsidRPr="00660147">
        <w:rPr>
          <w:rFonts w:ascii="楷体" w:eastAsia="楷体" w:hAnsi="楷体" w:hint="eastAsia"/>
          <w:color w:val="000000" w:themeColor="text1"/>
          <w:szCs w:val="22"/>
        </w:rPr>
        <w:t>、提高用户粘性，吸引更多调用。用户增长与模型进化由此形成正反馈回路，而非简单的供需交易。</w:t>
      </w:r>
    </w:p>
    <w:p w14:paraId="69DE67F9"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44B628BC" wp14:editId="1B459375">
            <wp:extent cx="4413250" cy="3313099"/>
            <wp:effectExtent l="0" t="0" r="6350" b="1905"/>
            <wp:docPr id="201918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2230" cy="3319841"/>
                    </a:xfrm>
                    <a:prstGeom prst="rect">
                      <a:avLst/>
                    </a:prstGeom>
                    <a:noFill/>
                  </pic:spPr>
                </pic:pic>
              </a:graphicData>
            </a:graphic>
          </wp:inline>
        </w:drawing>
      </w:r>
    </w:p>
    <w:p w14:paraId="1447A0B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这一回路的强化机制，在于模型能力跃迁对需求价值的非线性拉动。当模型参数从百亿级向万亿级扩展，上下文窗口从4K向1M token延伸，模态从文本向图像-视频-3D融合，Agent从单步响应向多轮自主规划演进时，单次任务所需的</w:t>
      </w:r>
      <w:proofErr w:type="gramStart"/>
      <w:r w:rsidRPr="00660147">
        <w:rPr>
          <w:rFonts w:ascii="楷体" w:eastAsia="楷体" w:hAnsi="楷体" w:hint="eastAsia"/>
          <w:color w:val="000000" w:themeColor="text1"/>
          <w:szCs w:val="22"/>
        </w:rPr>
        <w:t>算力投入</w:t>
      </w:r>
      <w:proofErr w:type="gramEnd"/>
      <w:r w:rsidRPr="00660147">
        <w:rPr>
          <w:rFonts w:ascii="楷体" w:eastAsia="楷体" w:hAnsi="楷体" w:hint="eastAsia"/>
          <w:color w:val="000000" w:themeColor="text1"/>
          <w:szCs w:val="22"/>
        </w:rPr>
        <w:t>确实在上升，但模型能够解决的问题复杂度与商业价值呈</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跳升。这意味着基础大模型的单位</w:t>
      </w:r>
      <w:proofErr w:type="gramStart"/>
      <w:r w:rsidRPr="00660147">
        <w:rPr>
          <w:rFonts w:ascii="楷体" w:eastAsia="楷体" w:hAnsi="楷体" w:hint="eastAsia"/>
          <w:color w:val="000000" w:themeColor="text1"/>
          <w:szCs w:val="22"/>
        </w:rPr>
        <w:t>算力成本</w:t>
      </w:r>
      <w:proofErr w:type="gramEnd"/>
      <w:r w:rsidRPr="00660147">
        <w:rPr>
          <w:rFonts w:ascii="楷体" w:eastAsia="楷体" w:hAnsi="楷体" w:hint="eastAsia"/>
          <w:color w:val="000000" w:themeColor="text1"/>
          <w:szCs w:val="22"/>
        </w:rPr>
        <w:t>虽然在增加，但其输出的认知服务的单位经济价值增长得更快。飞轮因此不会陷入"越转越慢"的产出边际递减，而是呈现"越转越快"的效能边际递增态势——每一代新模型的发布，不是对旧模型的替代，而是对应用场景的叠加：旧场景持续</w:t>
      </w:r>
      <w:r w:rsidRPr="00660147">
        <w:rPr>
          <w:rFonts w:ascii="楷体" w:eastAsia="楷体" w:hAnsi="楷体" w:hint="eastAsia"/>
          <w:color w:val="000000" w:themeColor="text1"/>
          <w:szCs w:val="22"/>
        </w:rPr>
        <w:lastRenderedPageBreak/>
        <w:t>产生稳定推理收入，新场景（如长文档分析、多模态生成、自主Agent）打开增量定价空间。</w:t>
      </w:r>
    </w:p>
    <w:p w14:paraId="1AEC42A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更为关键的是，这一飞轮并非封闭于单一企业或单一市场的内部循环，而是开环于全球API经济。中国廉价的电力与集约化的</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构成飞轮的输入端，基础大模型的算法创新与工程优化构成转化端，而全球范围内的SaaS厂商、金融机构、制造企业、内容平台的AI</w:t>
      </w:r>
      <w:proofErr w:type="gramStart"/>
      <w:r w:rsidRPr="00660147">
        <w:rPr>
          <w:rFonts w:ascii="楷体" w:eastAsia="楷体" w:hAnsi="楷体" w:hint="eastAsia"/>
          <w:color w:val="000000" w:themeColor="text1"/>
          <w:szCs w:val="22"/>
        </w:rPr>
        <w:t>化需求</w:t>
      </w:r>
      <w:proofErr w:type="gramEnd"/>
      <w:r w:rsidRPr="00660147">
        <w:rPr>
          <w:rFonts w:ascii="楷体" w:eastAsia="楷体" w:hAnsi="楷体" w:hint="eastAsia"/>
          <w:color w:val="000000" w:themeColor="text1"/>
          <w:szCs w:val="22"/>
        </w:rPr>
        <w:t>构成输出端。每一次海外API调用不仅带来美元收入，更带来跨语言、跨文化、跨行业的</w:t>
      </w:r>
      <w:r w:rsidRPr="00660147">
        <w:rPr>
          <w:rFonts w:ascii="楷体" w:eastAsia="楷体" w:hAnsi="楷体" w:cs="Times New Roman (正文 CS 字体)" w:hint="eastAsia"/>
          <w:color w:val="000000" w:themeColor="text1"/>
        </w:rPr>
        <w:t>异构数据</w:t>
      </w:r>
      <w:r w:rsidRPr="00660147">
        <w:rPr>
          <w:rFonts w:ascii="楷体" w:eastAsia="楷体" w:hAnsi="楷体" w:hint="eastAsia"/>
          <w:color w:val="000000" w:themeColor="text1"/>
          <w:szCs w:val="22"/>
        </w:rPr>
        <w:t>，这些数据回流后训练出的模型，其全球适用性远超仅依赖中文语料的版本。飞轮因此脱离了本地市场规模的硬约束，其转速取决于全球智能服务贸易的扩张速度，这是一个比国内政策周期更宏大的增长坐标系。</w:t>
      </w:r>
    </w:p>
    <w:p w14:paraId="74C4C0E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在这一坐标系中，基础大模型的重要定位得以确立。</w:t>
      </w:r>
      <w:proofErr w:type="gramStart"/>
      <w:r w:rsidRPr="00660147">
        <w:rPr>
          <w:rFonts w:ascii="楷体" w:eastAsia="楷体" w:hAnsi="楷体" w:hint="eastAsia"/>
          <w:color w:val="000000" w:themeColor="text1"/>
          <w:szCs w:val="22"/>
        </w:rPr>
        <w:t>算力可以</w:t>
      </w:r>
      <w:proofErr w:type="gramEnd"/>
      <w:r w:rsidRPr="00660147">
        <w:rPr>
          <w:rFonts w:ascii="楷体" w:eastAsia="楷体" w:hAnsi="楷体" w:hint="eastAsia"/>
          <w:color w:val="000000" w:themeColor="text1"/>
          <w:szCs w:val="22"/>
        </w:rPr>
        <w:t>由国家基建规模化供给，数据可以由行业场景分散产生，但将</w:t>
      </w:r>
      <w:proofErr w:type="gramStart"/>
      <w:r w:rsidRPr="00660147">
        <w:rPr>
          <w:rFonts w:ascii="楷体" w:eastAsia="楷体" w:hAnsi="楷体" w:hint="eastAsia"/>
          <w:color w:val="000000" w:themeColor="text1"/>
          <w:szCs w:val="22"/>
        </w:rPr>
        <w:t>原始算力与</w:t>
      </w:r>
      <w:proofErr w:type="gramEnd"/>
      <w:r w:rsidRPr="00660147">
        <w:rPr>
          <w:rFonts w:ascii="楷体" w:eastAsia="楷体" w:hAnsi="楷体" w:hint="eastAsia"/>
          <w:color w:val="000000" w:themeColor="text1"/>
          <w:szCs w:val="22"/>
        </w:rPr>
        <w:t>碎片</w:t>
      </w:r>
      <w:proofErr w:type="gramStart"/>
      <w:r w:rsidRPr="00660147">
        <w:rPr>
          <w:rFonts w:ascii="楷体" w:eastAsia="楷体" w:hAnsi="楷体" w:hint="eastAsia"/>
          <w:color w:val="000000" w:themeColor="text1"/>
          <w:szCs w:val="22"/>
        </w:rPr>
        <w:t>化数据</w:t>
      </w:r>
      <w:proofErr w:type="gramEnd"/>
      <w:r w:rsidRPr="00660147">
        <w:rPr>
          <w:rFonts w:ascii="楷体" w:eastAsia="楷体" w:hAnsi="楷体" w:hint="eastAsia"/>
          <w:color w:val="000000" w:themeColor="text1"/>
          <w:szCs w:val="22"/>
        </w:rPr>
        <w:t>转化为可泛化、可迭代、可全球分发的通用认知能力，需要</w:t>
      </w:r>
      <w:proofErr w:type="gramStart"/>
      <w:r w:rsidRPr="00660147">
        <w:rPr>
          <w:rFonts w:ascii="楷体" w:eastAsia="楷体" w:hAnsi="楷体" w:hint="eastAsia"/>
          <w:color w:val="000000" w:themeColor="text1"/>
          <w:szCs w:val="22"/>
        </w:rPr>
        <w:t>预训练</w:t>
      </w:r>
      <w:proofErr w:type="gramEnd"/>
      <w:r w:rsidRPr="00660147">
        <w:rPr>
          <w:rFonts w:ascii="楷体" w:eastAsia="楷体" w:hAnsi="楷体" w:hint="eastAsia"/>
          <w:color w:val="000000" w:themeColor="text1"/>
          <w:szCs w:val="22"/>
        </w:rPr>
        <w:t>架构、对齐技术、工程优化、多模态融合的长期积累。这本质上是将存量转化为增量，将全球信息技术革命的成果转换为AI技术革命的基石。</w:t>
      </w:r>
    </w:p>
    <w:p w14:paraId="77A4B624" w14:textId="252E6EA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w:t>
      </w:r>
      <w:proofErr w:type="gramStart"/>
      <w:r w:rsidRPr="00660147">
        <w:rPr>
          <w:rFonts w:ascii="楷体" w:eastAsia="楷体" w:hAnsi="楷体" w:hint="eastAsia"/>
          <w:color w:val="000000" w:themeColor="text1"/>
          <w:szCs w:val="22"/>
        </w:rPr>
        <w:t>不是算力的</w:t>
      </w:r>
      <w:proofErr w:type="gramEnd"/>
      <w:r w:rsidRPr="00660147">
        <w:rPr>
          <w:rFonts w:ascii="楷体" w:eastAsia="楷体" w:hAnsi="楷体" w:hint="eastAsia"/>
          <w:color w:val="000000" w:themeColor="text1"/>
          <w:szCs w:val="22"/>
        </w:rPr>
        <w:t>囤积者，也不是数据的仓库管理员，而是飞轮的中枢转换器——它决定了输入端的能源与无序信息有多少能被转化为可贸易，可查询，可匹配，结构化的智能，决定了输出端的Token能在多大程度，多块速度上加速人类的认知与劳动。</w:t>
      </w:r>
    </w:p>
    <w:p w14:paraId="7292BC98" w14:textId="1579A8E6" w:rsidR="004F7E65" w:rsidRPr="00342124" w:rsidRDefault="009A28A3">
      <w:pPr>
        <w:pStyle w:val="2"/>
        <w:rPr>
          <w:rFonts w:ascii="楷体" w:eastAsia="楷体" w:hAnsi="楷体" w:hint="eastAsia"/>
          <w:color w:val="000000" w:themeColor="text1"/>
          <w:sz w:val="32"/>
          <w:szCs w:val="32"/>
        </w:rPr>
      </w:pPr>
      <w:bookmarkStart w:id="4" w:name="_Toc228374854"/>
      <w:r w:rsidRPr="00342124">
        <w:rPr>
          <w:rFonts w:ascii="楷体" w:eastAsia="楷体" w:hAnsi="楷体" w:hint="eastAsia"/>
          <w:color w:val="000000" w:themeColor="text1"/>
          <w:sz w:val="32"/>
          <w:szCs w:val="32"/>
        </w:rPr>
        <w:t>1</w:t>
      </w:r>
      <w:r w:rsidR="001C0E59" w:rsidRPr="00342124">
        <w:rPr>
          <w:rFonts w:ascii="楷体" w:eastAsia="楷体" w:hAnsi="楷体" w:hint="eastAsia"/>
          <w:color w:val="000000" w:themeColor="text1"/>
          <w:sz w:val="32"/>
          <w:szCs w:val="32"/>
        </w:rPr>
        <w:t>.2发展背景</w:t>
      </w:r>
      <w:bookmarkEnd w:id="4"/>
    </w:p>
    <w:p w14:paraId="025A0C9B" w14:textId="751B701B" w:rsidR="004F7E65" w:rsidRPr="00342124" w:rsidRDefault="009A28A3">
      <w:pPr>
        <w:pStyle w:val="3"/>
        <w:rPr>
          <w:rFonts w:ascii="楷体" w:eastAsia="楷体" w:hAnsi="楷体" w:hint="eastAsia"/>
          <w:color w:val="000000" w:themeColor="text1"/>
          <w:sz w:val="30"/>
          <w:szCs w:val="30"/>
        </w:rPr>
      </w:pPr>
      <w:bookmarkStart w:id="5" w:name="_Toc228374855"/>
      <w:r w:rsidRPr="00342124">
        <w:rPr>
          <w:rFonts w:ascii="楷体" w:eastAsia="楷体" w:hAnsi="楷体" w:hint="eastAsia"/>
          <w:color w:val="000000" w:themeColor="text1"/>
          <w:sz w:val="30"/>
          <w:szCs w:val="30"/>
        </w:rPr>
        <w:t>1.2.1</w:t>
      </w:r>
      <w:r w:rsidR="009C4AF1" w:rsidRPr="00342124">
        <w:rPr>
          <w:rFonts w:ascii="楷体" w:eastAsia="楷体" w:hAnsi="楷体" w:hint="eastAsia"/>
          <w:color w:val="000000" w:themeColor="text1"/>
          <w:sz w:val="30"/>
          <w:szCs w:val="30"/>
        </w:rPr>
        <w:t>政策环境</w:t>
      </w:r>
      <w:bookmarkEnd w:id="5"/>
    </w:p>
    <w:p w14:paraId="53A253A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人工智能的基础设施化，不是产业界的自我标榜，而是国家顶层设计的主动确认。从"新基建"到"新质生产力"，从"</w:t>
      </w:r>
      <w:proofErr w:type="gramStart"/>
      <w:r w:rsidRPr="00660147">
        <w:rPr>
          <w:rFonts w:ascii="楷体" w:eastAsia="楷体" w:hAnsi="楷体" w:hint="eastAsia"/>
          <w:color w:val="000000" w:themeColor="text1"/>
          <w:szCs w:val="22"/>
        </w:rPr>
        <w:t>东数西</w:t>
      </w:r>
      <w:proofErr w:type="gramEnd"/>
      <w:r w:rsidRPr="00660147">
        <w:rPr>
          <w:rFonts w:ascii="楷体" w:eastAsia="楷体" w:hAnsi="楷体" w:hint="eastAsia"/>
          <w:color w:val="000000" w:themeColor="text1"/>
          <w:szCs w:val="22"/>
        </w:rPr>
        <w:t>算"到"</w:t>
      </w:r>
      <w:proofErr w:type="gramStart"/>
      <w:r w:rsidRPr="00660147">
        <w:rPr>
          <w:rFonts w:ascii="楷体" w:eastAsia="楷体" w:hAnsi="楷体" w:hint="eastAsia"/>
          <w:color w:val="000000" w:themeColor="text1"/>
          <w:szCs w:val="22"/>
        </w:rPr>
        <w:t>十五五</w:t>
      </w:r>
      <w:proofErr w:type="gramEnd"/>
      <w:r w:rsidRPr="00660147">
        <w:rPr>
          <w:rFonts w:ascii="楷体" w:eastAsia="楷体" w:hAnsi="楷体" w:hint="eastAsia"/>
          <w:color w:val="000000" w:themeColor="text1"/>
          <w:szCs w:val="22"/>
        </w:rPr>
        <w:t>"规划单独成篇，</w:t>
      </w:r>
      <w:proofErr w:type="gramStart"/>
      <w:r w:rsidRPr="00660147">
        <w:rPr>
          <w:rFonts w:ascii="楷体" w:eastAsia="楷体" w:hAnsi="楷体" w:hint="eastAsia"/>
          <w:color w:val="000000" w:themeColor="text1"/>
          <w:szCs w:val="22"/>
        </w:rPr>
        <w:t>算力基础</w:t>
      </w:r>
      <w:proofErr w:type="gramEnd"/>
      <w:r w:rsidRPr="00660147">
        <w:rPr>
          <w:rFonts w:ascii="楷体" w:eastAsia="楷体" w:hAnsi="楷体" w:hint="eastAsia"/>
          <w:color w:val="000000" w:themeColor="text1"/>
          <w:szCs w:val="22"/>
        </w:rPr>
        <w:t>设施的战略地位经历了三级跳：它最初数字经济的支撑要素，继而成为科技竞争的必争之地，如今已被定义为重塑生产方式的底座工程。这一升格过程，为基础大模型的投资逻辑提供了坚硬的政策</w:t>
      </w:r>
      <w:proofErr w:type="gramStart"/>
      <w:r w:rsidRPr="00660147">
        <w:rPr>
          <w:rFonts w:ascii="楷体" w:eastAsia="楷体" w:hAnsi="楷体" w:hint="eastAsia"/>
          <w:color w:val="000000" w:themeColor="text1"/>
          <w:szCs w:val="22"/>
        </w:rPr>
        <w:t>锚</w:t>
      </w:r>
      <w:proofErr w:type="gramEnd"/>
      <w:r w:rsidRPr="00660147">
        <w:rPr>
          <w:rFonts w:ascii="楷体" w:eastAsia="楷体" w:hAnsi="楷体" w:hint="eastAsia"/>
          <w:color w:val="000000" w:themeColor="text1"/>
          <w:szCs w:val="22"/>
        </w:rPr>
        <w:t>——当国家将AI</w:t>
      </w:r>
      <w:proofErr w:type="gramStart"/>
      <w:r w:rsidRPr="00660147">
        <w:rPr>
          <w:rFonts w:ascii="楷体" w:eastAsia="楷体" w:hAnsi="楷体" w:hint="eastAsia"/>
          <w:color w:val="000000" w:themeColor="text1"/>
          <w:szCs w:val="22"/>
        </w:rPr>
        <w:t>算力视为</w:t>
      </w:r>
      <w:proofErr w:type="gramEnd"/>
      <w:r w:rsidRPr="00660147">
        <w:rPr>
          <w:rFonts w:ascii="楷体" w:eastAsia="楷体" w:hAnsi="楷体" w:hint="eastAsia"/>
          <w:color w:val="000000" w:themeColor="text1"/>
          <w:szCs w:val="22"/>
        </w:rPr>
        <w:t>与铁路、电网同等重要的公共品时，基础大模型</w:t>
      </w:r>
      <w:proofErr w:type="gramStart"/>
      <w:r w:rsidRPr="00660147">
        <w:rPr>
          <w:rFonts w:ascii="楷体" w:eastAsia="楷体" w:hAnsi="楷体" w:hint="eastAsia"/>
          <w:color w:val="000000" w:themeColor="text1"/>
          <w:szCs w:val="22"/>
        </w:rPr>
        <w:t>作为算力转化</w:t>
      </w:r>
      <w:proofErr w:type="gramEnd"/>
      <w:r w:rsidRPr="00660147">
        <w:rPr>
          <w:rFonts w:ascii="楷体" w:eastAsia="楷体" w:hAnsi="楷体" w:hint="eastAsia"/>
          <w:color w:val="000000" w:themeColor="text1"/>
          <w:szCs w:val="22"/>
        </w:rPr>
        <w:t>为认知，推理能力的核心环节，其发展不再是市场自发的商业冒险，而是国家战略的延伸。</w:t>
      </w:r>
    </w:p>
    <w:p w14:paraId="1570E4A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顶层规划的连续性构成了政策可信度的第一支柱。 2021年，"</w:t>
      </w:r>
      <w:proofErr w:type="gramStart"/>
      <w:r w:rsidRPr="00660147">
        <w:rPr>
          <w:rFonts w:ascii="楷体" w:eastAsia="楷体" w:hAnsi="楷体" w:hint="eastAsia"/>
          <w:color w:val="000000" w:themeColor="text1"/>
          <w:szCs w:val="22"/>
        </w:rPr>
        <w:t>东数西</w:t>
      </w:r>
      <w:proofErr w:type="gramEnd"/>
      <w:r w:rsidRPr="00660147">
        <w:rPr>
          <w:rFonts w:ascii="楷体" w:eastAsia="楷体" w:hAnsi="楷体" w:hint="eastAsia"/>
          <w:color w:val="000000" w:themeColor="text1"/>
          <w:szCs w:val="22"/>
        </w:rPr>
        <w:t>算"工程启动，在京津冀、长三角、粤港澳大湾区、成渝、内蒙古、贵州、甘肃、宁夏</w:t>
      </w:r>
      <w:proofErr w:type="gramStart"/>
      <w:r w:rsidRPr="00660147">
        <w:rPr>
          <w:rFonts w:ascii="楷体" w:eastAsia="楷体" w:hAnsi="楷体" w:hint="eastAsia"/>
          <w:color w:val="000000" w:themeColor="text1"/>
          <w:szCs w:val="22"/>
        </w:rPr>
        <w:t>布局八</w:t>
      </w:r>
      <w:proofErr w:type="gramEnd"/>
      <w:r w:rsidRPr="00660147">
        <w:rPr>
          <w:rFonts w:ascii="楷体" w:eastAsia="楷体" w:hAnsi="楷体" w:hint="eastAsia"/>
          <w:color w:val="000000" w:themeColor="text1"/>
          <w:szCs w:val="22"/>
        </w:rPr>
        <w:t>大</w:t>
      </w:r>
      <w:proofErr w:type="gramStart"/>
      <w:r w:rsidRPr="00660147">
        <w:rPr>
          <w:rFonts w:ascii="楷体" w:eastAsia="楷体" w:hAnsi="楷体" w:hint="eastAsia"/>
          <w:color w:val="000000" w:themeColor="text1"/>
          <w:szCs w:val="22"/>
        </w:rPr>
        <w:t>国家算力枢纽</w:t>
      </w:r>
      <w:proofErr w:type="gramEnd"/>
      <w:r w:rsidRPr="00660147">
        <w:rPr>
          <w:rFonts w:ascii="楷体" w:eastAsia="楷体" w:hAnsi="楷体" w:hint="eastAsia"/>
          <w:color w:val="000000" w:themeColor="text1"/>
          <w:szCs w:val="22"/>
        </w:rPr>
        <w:t>，规划十大数据中心集群，旨在解决东西</w:t>
      </w:r>
      <w:proofErr w:type="gramStart"/>
      <w:r w:rsidRPr="00660147">
        <w:rPr>
          <w:rFonts w:ascii="楷体" w:eastAsia="楷体" w:hAnsi="楷体" w:hint="eastAsia"/>
          <w:color w:val="000000" w:themeColor="text1"/>
          <w:szCs w:val="22"/>
        </w:rPr>
        <w:t>部算力</w:t>
      </w:r>
      <w:proofErr w:type="gramEnd"/>
      <w:r w:rsidRPr="00660147">
        <w:rPr>
          <w:rFonts w:ascii="楷体" w:eastAsia="楷体" w:hAnsi="楷体" w:hint="eastAsia"/>
          <w:color w:val="000000" w:themeColor="text1"/>
          <w:szCs w:val="22"/>
        </w:rPr>
        <w:t>供需失衡与能源错配。2023年，六部门联合印发《算力基础设施高质量发展行动计划》，提出到2025年</w:t>
      </w:r>
      <w:proofErr w:type="gramStart"/>
      <w:r w:rsidRPr="00660147">
        <w:rPr>
          <w:rFonts w:ascii="楷体" w:eastAsia="楷体" w:hAnsi="楷体" w:hint="eastAsia"/>
          <w:color w:val="000000" w:themeColor="text1"/>
          <w:szCs w:val="22"/>
        </w:rPr>
        <w:t>算力规模</w:t>
      </w:r>
      <w:proofErr w:type="gramEnd"/>
      <w:r w:rsidRPr="00660147">
        <w:rPr>
          <w:rFonts w:ascii="楷体" w:eastAsia="楷体" w:hAnsi="楷体" w:hint="eastAsia"/>
          <w:color w:val="000000" w:themeColor="text1"/>
          <w:szCs w:val="22"/>
        </w:rPr>
        <w:t>超300 EFLOPS、</w:t>
      </w:r>
      <w:proofErr w:type="gramStart"/>
      <w:r w:rsidRPr="00660147">
        <w:rPr>
          <w:rFonts w:ascii="楷体" w:eastAsia="楷体" w:hAnsi="楷体" w:hint="eastAsia"/>
          <w:color w:val="000000" w:themeColor="text1"/>
          <w:szCs w:val="22"/>
        </w:rPr>
        <w:t>智能算力占</w:t>
      </w:r>
      <w:proofErr w:type="gramEnd"/>
      <w:r w:rsidRPr="00660147">
        <w:rPr>
          <w:rFonts w:ascii="楷体" w:eastAsia="楷体" w:hAnsi="楷体" w:hint="eastAsia"/>
          <w:color w:val="000000" w:themeColor="text1"/>
          <w:szCs w:val="22"/>
        </w:rPr>
        <w:t>比达35%的量化目标。2025年，国务院印发《关于深入实施"人工智能+"行动的意见》，明确"强化</w:t>
      </w:r>
      <w:proofErr w:type="gramStart"/>
      <w:r w:rsidRPr="00660147">
        <w:rPr>
          <w:rFonts w:ascii="楷体" w:eastAsia="楷体" w:hAnsi="楷体" w:hint="eastAsia"/>
          <w:color w:val="000000" w:themeColor="text1"/>
          <w:szCs w:val="22"/>
        </w:rPr>
        <w:t>智能算力统筹</w:t>
      </w:r>
      <w:proofErr w:type="gramEnd"/>
      <w:r w:rsidRPr="00660147">
        <w:rPr>
          <w:rFonts w:ascii="楷体" w:eastAsia="楷体" w:hAnsi="楷体" w:hint="eastAsia"/>
          <w:color w:val="000000" w:themeColor="text1"/>
          <w:szCs w:val="22"/>
        </w:rPr>
        <w:t>"。至2026年3月发布的"</w:t>
      </w:r>
      <w:proofErr w:type="gramStart"/>
      <w:r w:rsidRPr="00660147">
        <w:rPr>
          <w:rFonts w:ascii="楷体" w:eastAsia="楷体" w:hAnsi="楷体" w:hint="eastAsia"/>
          <w:color w:val="000000" w:themeColor="text1"/>
          <w:szCs w:val="22"/>
        </w:rPr>
        <w:t>十五</w:t>
      </w:r>
      <w:r w:rsidRPr="00660147">
        <w:rPr>
          <w:rFonts w:ascii="楷体" w:eastAsia="楷体" w:hAnsi="楷体" w:hint="eastAsia"/>
          <w:color w:val="000000" w:themeColor="text1"/>
          <w:szCs w:val="22"/>
        </w:rPr>
        <w:lastRenderedPageBreak/>
        <w:t>五</w:t>
      </w:r>
      <w:proofErr w:type="gramEnd"/>
      <w:r w:rsidRPr="00660147">
        <w:rPr>
          <w:rFonts w:ascii="楷体" w:eastAsia="楷体" w:hAnsi="楷体" w:hint="eastAsia"/>
          <w:color w:val="000000" w:themeColor="text1"/>
          <w:szCs w:val="22"/>
        </w:rPr>
        <w:t>"规划纲要，"</w:t>
      </w:r>
      <w:proofErr w:type="gramStart"/>
      <w:r w:rsidRPr="00660147">
        <w:rPr>
          <w:rFonts w:ascii="楷体" w:eastAsia="楷体" w:hAnsi="楷体" w:hint="eastAsia"/>
          <w:color w:val="000000" w:themeColor="text1"/>
          <w:szCs w:val="22"/>
        </w:rPr>
        <w:t>提升数智化</w:t>
      </w:r>
      <w:proofErr w:type="gramEnd"/>
      <w:r w:rsidRPr="00660147">
        <w:rPr>
          <w:rFonts w:ascii="楷体" w:eastAsia="楷体" w:hAnsi="楷体" w:hint="eastAsia"/>
          <w:color w:val="000000" w:themeColor="text1"/>
          <w:szCs w:val="22"/>
        </w:rPr>
        <w:t>发展水平"已单独成篇，聚焦算力、算法、数据高效供给，提出"论证建设超</w:t>
      </w:r>
      <w:proofErr w:type="gramStart"/>
      <w:r w:rsidRPr="00660147">
        <w:rPr>
          <w:rFonts w:ascii="楷体" w:eastAsia="楷体" w:hAnsi="楷体" w:hint="eastAsia"/>
          <w:color w:val="000000" w:themeColor="text1"/>
          <w:szCs w:val="22"/>
        </w:rPr>
        <w:t>大规模智算集群</w:t>
      </w:r>
      <w:proofErr w:type="gramEnd"/>
      <w:r w:rsidRPr="00660147">
        <w:rPr>
          <w:rFonts w:ascii="楷体" w:eastAsia="楷体" w:hAnsi="楷体" w:hint="eastAsia"/>
          <w:color w:val="000000" w:themeColor="text1"/>
          <w:szCs w:val="22"/>
        </w:rPr>
        <w:t>""支持通过政府</w:t>
      </w:r>
      <w:proofErr w:type="gramStart"/>
      <w:r w:rsidRPr="00660147">
        <w:rPr>
          <w:rFonts w:ascii="楷体" w:eastAsia="楷体" w:hAnsi="楷体" w:hint="eastAsia"/>
          <w:color w:val="000000" w:themeColor="text1"/>
          <w:szCs w:val="22"/>
        </w:rPr>
        <w:t>购买算力服务</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算力租赁</w:t>
      </w:r>
      <w:proofErr w:type="gramEnd"/>
      <w:r w:rsidRPr="00660147">
        <w:rPr>
          <w:rFonts w:ascii="楷体" w:eastAsia="楷体" w:hAnsi="楷体" w:hint="eastAsia"/>
          <w:color w:val="000000" w:themeColor="text1"/>
          <w:szCs w:val="22"/>
        </w:rPr>
        <w:t>等多种方式满足</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"。这一政策脉络的密度与连续性，在近年产业规划中极为罕见，表明AI基础设施已从"部门议题"升级为"国家意志"。</w:t>
      </w:r>
    </w:p>
    <w:p w14:paraId="26FF91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部委层面的工具箱正在全维度打开。 2025年5月，工信部印发《算力互联互通行动计划》，明确2026年</w:t>
      </w:r>
      <w:proofErr w:type="gramStart"/>
      <w:r w:rsidRPr="00660147">
        <w:rPr>
          <w:rFonts w:ascii="楷体" w:eastAsia="楷体" w:hAnsi="楷体" w:hint="eastAsia"/>
          <w:color w:val="000000" w:themeColor="text1"/>
          <w:szCs w:val="22"/>
        </w:rPr>
        <w:t>建立算力标识</w:t>
      </w:r>
      <w:proofErr w:type="gramEnd"/>
      <w:r w:rsidRPr="00660147">
        <w:rPr>
          <w:rFonts w:ascii="楷体" w:eastAsia="楷体" w:hAnsi="楷体" w:hint="eastAsia"/>
          <w:color w:val="000000" w:themeColor="text1"/>
          <w:szCs w:val="22"/>
        </w:rPr>
        <w:t>、标准、规则体系，2028年实现全国</w:t>
      </w:r>
      <w:proofErr w:type="gramStart"/>
      <w:r w:rsidRPr="00660147">
        <w:rPr>
          <w:rFonts w:ascii="楷体" w:eastAsia="楷体" w:hAnsi="楷体" w:hint="eastAsia"/>
          <w:color w:val="000000" w:themeColor="text1"/>
          <w:szCs w:val="22"/>
        </w:rPr>
        <w:t>公共算力标准化</w:t>
      </w:r>
      <w:proofErr w:type="gramEnd"/>
      <w:r w:rsidRPr="00660147">
        <w:rPr>
          <w:rFonts w:ascii="楷体" w:eastAsia="楷体" w:hAnsi="楷体" w:hint="eastAsia"/>
          <w:color w:val="000000" w:themeColor="text1"/>
          <w:szCs w:val="22"/>
        </w:rPr>
        <w:t>互联，形成"智能感知、实时发现、随需获取"</w:t>
      </w:r>
      <w:proofErr w:type="gramStart"/>
      <w:r w:rsidRPr="00660147">
        <w:rPr>
          <w:rFonts w:ascii="楷体" w:eastAsia="楷体" w:hAnsi="楷体" w:hint="eastAsia"/>
          <w:color w:val="000000" w:themeColor="text1"/>
          <w:szCs w:val="22"/>
        </w:rPr>
        <w:t>的算力互联网</w:t>
      </w:r>
      <w:proofErr w:type="gramEnd"/>
      <w:r w:rsidRPr="00660147">
        <w:rPr>
          <w:rFonts w:ascii="楷体" w:eastAsia="楷体" w:hAnsi="楷体" w:hint="eastAsia"/>
          <w:color w:val="000000" w:themeColor="text1"/>
          <w:szCs w:val="22"/>
        </w:rPr>
        <w:t>。2026年3月，"</w:t>
      </w:r>
      <w:proofErr w:type="gramStart"/>
      <w:r w:rsidRPr="00660147">
        <w:rPr>
          <w:rFonts w:ascii="楷体" w:eastAsia="楷体" w:hAnsi="楷体" w:hint="eastAsia"/>
          <w:color w:val="000000" w:themeColor="text1"/>
          <w:szCs w:val="22"/>
        </w:rPr>
        <w:t>算电协同</w:t>
      </w:r>
      <w:proofErr w:type="gramEnd"/>
      <w:r w:rsidRPr="00660147">
        <w:rPr>
          <w:rFonts w:ascii="楷体" w:eastAsia="楷体" w:hAnsi="楷体" w:hint="eastAsia"/>
          <w:color w:val="000000" w:themeColor="text1"/>
          <w:szCs w:val="22"/>
        </w:rPr>
        <w:t>"首次写入《政府工作报告》，标志</w:t>
      </w:r>
      <w:proofErr w:type="gramStart"/>
      <w:r w:rsidRPr="00660147">
        <w:rPr>
          <w:rFonts w:ascii="楷体" w:eastAsia="楷体" w:hAnsi="楷体" w:hint="eastAsia"/>
          <w:color w:val="000000" w:themeColor="text1"/>
          <w:szCs w:val="22"/>
        </w:rPr>
        <w:t>着算力</w:t>
      </w:r>
      <w:proofErr w:type="gramEnd"/>
      <w:r w:rsidRPr="00660147">
        <w:rPr>
          <w:rFonts w:ascii="楷体" w:eastAsia="楷体" w:hAnsi="楷体" w:hint="eastAsia"/>
          <w:color w:val="000000" w:themeColor="text1"/>
          <w:szCs w:val="22"/>
        </w:rPr>
        <w:t>与电力系统的深度融合上升至国家战略——按中速增长预测，2030年全国数据中心用电量将突破4000亿千瓦时，高速增长趋势下或突破7000亿千瓦时。同期，工信</w:t>
      </w:r>
      <w:proofErr w:type="gramStart"/>
      <w:r w:rsidRPr="00660147">
        <w:rPr>
          <w:rFonts w:ascii="楷体" w:eastAsia="楷体" w:hAnsi="楷体" w:hint="eastAsia"/>
          <w:color w:val="000000" w:themeColor="text1"/>
          <w:szCs w:val="22"/>
        </w:rPr>
        <w:t>部启动</w:t>
      </w:r>
      <w:proofErr w:type="gramEnd"/>
      <w:r w:rsidRPr="00660147">
        <w:rPr>
          <w:rFonts w:ascii="楷体" w:eastAsia="楷体" w:hAnsi="楷体" w:hint="eastAsia"/>
          <w:color w:val="000000" w:themeColor="text1"/>
          <w:szCs w:val="22"/>
        </w:rPr>
        <w:t>"普</w:t>
      </w:r>
      <w:proofErr w:type="gramStart"/>
      <w:r w:rsidRPr="00660147">
        <w:rPr>
          <w:rFonts w:ascii="楷体" w:eastAsia="楷体" w:hAnsi="楷体" w:hint="eastAsia"/>
          <w:color w:val="000000" w:themeColor="text1"/>
          <w:szCs w:val="22"/>
        </w:rPr>
        <w:t>惠算力</w:t>
      </w:r>
      <w:proofErr w:type="gramEnd"/>
      <w:r w:rsidRPr="00660147">
        <w:rPr>
          <w:rFonts w:ascii="楷体" w:eastAsia="楷体" w:hAnsi="楷体" w:hint="eastAsia"/>
          <w:color w:val="000000" w:themeColor="text1"/>
          <w:szCs w:val="22"/>
        </w:rPr>
        <w:t>赋能中小企业发展专项行动"，通过算力</w:t>
      </w:r>
      <w:proofErr w:type="gramStart"/>
      <w:r w:rsidRPr="00660147">
        <w:rPr>
          <w:rFonts w:ascii="楷体" w:eastAsia="楷体" w:hAnsi="楷体" w:hint="eastAsia"/>
          <w:color w:val="000000" w:themeColor="text1"/>
          <w:szCs w:val="22"/>
        </w:rPr>
        <w:t>券</w:t>
      </w:r>
      <w:proofErr w:type="gramEnd"/>
      <w:r w:rsidRPr="00660147">
        <w:rPr>
          <w:rFonts w:ascii="楷体" w:eastAsia="楷体" w:hAnsi="楷体" w:hint="eastAsia"/>
          <w:color w:val="000000" w:themeColor="text1"/>
          <w:szCs w:val="22"/>
        </w:rPr>
        <w:t>、补贴等方式降低</w:t>
      </w:r>
      <w:proofErr w:type="gramStart"/>
      <w:r w:rsidRPr="00660147">
        <w:rPr>
          <w:rFonts w:ascii="楷体" w:eastAsia="楷体" w:hAnsi="楷体" w:hint="eastAsia"/>
          <w:color w:val="000000" w:themeColor="text1"/>
          <w:szCs w:val="22"/>
        </w:rPr>
        <w:t>中小企业用算成本</w:t>
      </w:r>
      <w:proofErr w:type="gramEnd"/>
      <w:r w:rsidRPr="00660147">
        <w:rPr>
          <w:rFonts w:ascii="楷体" w:eastAsia="楷体" w:hAnsi="楷体" w:hint="eastAsia"/>
          <w:color w:val="000000" w:themeColor="text1"/>
          <w:szCs w:val="22"/>
        </w:rPr>
        <w:t>。从枢纽布局到网络互联，从能源配套到普惠服务，政策设计覆盖了AI基础设施的全生命周期，而非单一环节的刺激性投入。</w:t>
      </w:r>
    </w:p>
    <w:p w14:paraId="3574879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资本跟进的速度与结构，验证了政策向市场的传导效率。 三大运营商2026年资本开支</w:t>
      </w:r>
      <w:proofErr w:type="gramStart"/>
      <w:r w:rsidRPr="00660147">
        <w:rPr>
          <w:rFonts w:ascii="楷体" w:eastAsia="楷体" w:hAnsi="楷体" w:hint="eastAsia"/>
          <w:color w:val="000000" w:themeColor="text1"/>
          <w:szCs w:val="22"/>
        </w:rPr>
        <w:t>向算力</w:t>
      </w:r>
      <w:proofErr w:type="gramEnd"/>
      <w:r w:rsidRPr="00660147">
        <w:rPr>
          <w:rFonts w:ascii="楷体" w:eastAsia="楷体" w:hAnsi="楷体" w:hint="eastAsia"/>
          <w:color w:val="000000" w:themeColor="text1"/>
          <w:szCs w:val="22"/>
        </w:rPr>
        <w:t>赛道急剧倾斜：中国电信</w:t>
      </w:r>
      <w:proofErr w:type="gramStart"/>
      <w:r w:rsidRPr="00660147">
        <w:rPr>
          <w:rFonts w:ascii="楷体" w:eastAsia="楷体" w:hAnsi="楷体" w:hint="eastAsia"/>
          <w:color w:val="000000" w:themeColor="text1"/>
          <w:szCs w:val="22"/>
        </w:rPr>
        <w:t>算力基础</w:t>
      </w:r>
      <w:proofErr w:type="gramEnd"/>
      <w:r w:rsidRPr="00660147">
        <w:rPr>
          <w:rFonts w:ascii="楷体" w:eastAsia="楷体" w:hAnsi="楷体" w:hint="eastAsia"/>
          <w:color w:val="000000" w:themeColor="text1"/>
          <w:szCs w:val="22"/>
        </w:rPr>
        <w:t>设施投资255亿元，同比增长26%，占总投资的35%；中国移动</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投资增长62.4%，智能网络投资增长19.8%，两者合计占比超37%；中国</w:t>
      </w:r>
      <w:proofErr w:type="gramStart"/>
      <w:r w:rsidRPr="00660147">
        <w:rPr>
          <w:rFonts w:ascii="楷体" w:eastAsia="楷体" w:hAnsi="楷体" w:hint="eastAsia"/>
          <w:color w:val="000000" w:themeColor="text1"/>
          <w:szCs w:val="22"/>
        </w:rPr>
        <w:t>联通算力投资</w:t>
      </w:r>
      <w:proofErr w:type="gramEnd"/>
      <w:r w:rsidRPr="00660147">
        <w:rPr>
          <w:rFonts w:ascii="楷体" w:eastAsia="楷体" w:hAnsi="楷体" w:hint="eastAsia"/>
          <w:color w:val="000000" w:themeColor="text1"/>
          <w:szCs w:val="22"/>
        </w:rPr>
        <w:t>占比亦超35%。中国移动更明确提出，力争"</w:t>
      </w:r>
      <w:proofErr w:type="gramStart"/>
      <w:r w:rsidRPr="00660147">
        <w:rPr>
          <w:rFonts w:ascii="楷体" w:eastAsia="楷体" w:hAnsi="楷体" w:hint="eastAsia"/>
          <w:color w:val="000000" w:themeColor="text1"/>
          <w:szCs w:val="22"/>
        </w:rPr>
        <w:t>十五五</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期末算力服务</w:t>
      </w:r>
      <w:proofErr w:type="gramEnd"/>
      <w:r w:rsidRPr="00660147">
        <w:rPr>
          <w:rFonts w:ascii="楷体" w:eastAsia="楷体" w:hAnsi="楷体" w:hint="eastAsia"/>
          <w:color w:val="000000" w:themeColor="text1"/>
          <w:szCs w:val="22"/>
        </w:rPr>
        <w:t>收入翻番。地方层面，深圳2025年多渠道募集45亿元资金专项用于算力、模型、语料、场景补贴，为初创企业提供最高60%</w:t>
      </w:r>
      <w:proofErr w:type="gramStart"/>
      <w:r w:rsidRPr="00660147">
        <w:rPr>
          <w:rFonts w:ascii="楷体" w:eastAsia="楷体" w:hAnsi="楷体" w:hint="eastAsia"/>
          <w:color w:val="000000" w:themeColor="text1"/>
          <w:szCs w:val="22"/>
        </w:rPr>
        <w:t>的算力资助</w:t>
      </w:r>
      <w:proofErr w:type="gramEnd"/>
      <w:r w:rsidRPr="00660147">
        <w:rPr>
          <w:rFonts w:ascii="楷体" w:eastAsia="楷体" w:hAnsi="楷体" w:hint="eastAsia"/>
          <w:color w:val="000000" w:themeColor="text1"/>
          <w:szCs w:val="22"/>
        </w:rPr>
        <w:t>，并实施"</w:t>
      </w:r>
      <w:proofErr w:type="gramStart"/>
      <w:r w:rsidRPr="00660147">
        <w:rPr>
          <w:rFonts w:ascii="楷体" w:eastAsia="楷体" w:hAnsi="楷体" w:hint="eastAsia"/>
          <w:color w:val="000000" w:themeColor="text1"/>
          <w:szCs w:val="22"/>
        </w:rPr>
        <w:t>算力飞地</w:t>
      </w:r>
      <w:proofErr w:type="gramEnd"/>
      <w:r w:rsidRPr="00660147">
        <w:rPr>
          <w:rFonts w:ascii="楷体" w:eastAsia="楷体" w:hAnsi="楷体" w:hint="eastAsia"/>
          <w:color w:val="000000" w:themeColor="text1"/>
          <w:szCs w:val="22"/>
        </w:rPr>
        <w:t>"战略，构建1ms城市</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、3ms韶关</w:t>
      </w:r>
      <w:proofErr w:type="gramStart"/>
      <w:r w:rsidRPr="00660147">
        <w:rPr>
          <w:rFonts w:ascii="楷体" w:eastAsia="楷体" w:hAnsi="楷体" w:hint="eastAsia"/>
          <w:color w:val="000000" w:themeColor="text1"/>
          <w:szCs w:val="22"/>
        </w:rPr>
        <w:t>算力网</w:t>
      </w:r>
      <w:proofErr w:type="gramEnd"/>
      <w:r w:rsidRPr="00660147">
        <w:rPr>
          <w:rFonts w:ascii="楷体" w:eastAsia="楷体" w:hAnsi="楷体" w:hint="eastAsia"/>
          <w:color w:val="000000" w:themeColor="text1"/>
          <w:szCs w:val="22"/>
        </w:rPr>
        <w:t>、10ms贵</w:t>
      </w:r>
      <w:proofErr w:type="gramStart"/>
      <w:r w:rsidRPr="00660147">
        <w:rPr>
          <w:rFonts w:ascii="楷体" w:eastAsia="楷体" w:hAnsi="楷体" w:hint="eastAsia"/>
          <w:color w:val="000000" w:themeColor="text1"/>
          <w:szCs w:val="22"/>
        </w:rPr>
        <w:t>安算力网</w:t>
      </w:r>
      <w:proofErr w:type="gramEnd"/>
      <w:r w:rsidRPr="00660147">
        <w:rPr>
          <w:rFonts w:ascii="楷体" w:eastAsia="楷体" w:hAnsi="楷体" w:hint="eastAsia"/>
          <w:color w:val="000000" w:themeColor="text1"/>
          <w:szCs w:val="22"/>
        </w:rPr>
        <w:t>的梯度布局。甘肃庆阳2025年</w:t>
      </w:r>
      <w:proofErr w:type="gramStart"/>
      <w:r w:rsidRPr="00660147">
        <w:rPr>
          <w:rFonts w:ascii="楷体" w:eastAsia="楷体" w:hAnsi="楷体" w:hint="eastAsia"/>
          <w:color w:val="000000" w:themeColor="text1"/>
          <w:szCs w:val="22"/>
        </w:rPr>
        <w:t>智算规模</w:t>
      </w:r>
      <w:proofErr w:type="gramEnd"/>
      <w:r w:rsidRPr="00660147">
        <w:rPr>
          <w:rFonts w:ascii="楷体" w:eastAsia="楷体" w:hAnsi="楷体" w:hint="eastAsia"/>
          <w:color w:val="000000" w:themeColor="text1"/>
          <w:szCs w:val="22"/>
        </w:rPr>
        <w:t>突破10万P，成为全国</w:t>
      </w:r>
      <w:proofErr w:type="gramStart"/>
      <w:r w:rsidRPr="00660147">
        <w:rPr>
          <w:rFonts w:ascii="楷体" w:eastAsia="楷体" w:hAnsi="楷体" w:hint="eastAsia"/>
          <w:color w:val="000000" w:themeColor="text1"/>
          <w:szCs w:val="22"/>
        </w:rPr>
        <w:t>算力增速</w:t>
      </w:r>
      <w:proofErr w:type="gramEnd"/>
      <w:r w:rsidRPr="00660147">
        <w:rPr>
          <w:rFonts w:ascii="楷体" w:eastAsia="楷体" w:hAnsi="楷体" w:hint="eastAsia"/>
          <w:color w:val="000000" w:themeColor="text1"/>
          <w:szCs w:val="22"/>
        </w:rPr>
        <w:t>最快的标杆集群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21212"/>
        <w:tblCellMar>
          <w:left w:w="0" w:type="dxa"/>
          <w:right w:w="0" w:type="dxa"/>
        </w:tblCellMar>
        <w:tblLook w:val="04A0" w:firstRow="1" w:lastRow="0" w:firstColumn="1" w:lastColumn="0" w:noHBand="0" w:noVBand="1"/>
      </w:tblPr>
      <w:tblGrid>
        <w:gridCol w:w="794"/>
        <w:gridCol w:w="2088"/>
        <w:gridCol w:w="4328"/>
        <w:gridCol w:w="1086"/>
      </w:tblGrid>
      <w:tr w:rsidR="004F7E65" w:rsidRPr="00660147" w14:paraId="1D06B092" w14:textId="77777777">
        <w:trPr>
          <w:tblHeader/>
        </w:trPr>
        <w:tc>
          <w:tcPr>
            <w:tcW w:w="786" w:type="auto"/>
            <w:tcMar>
              <w:top w:w="150" w:type="dxa"/>
              <w:left w:w="150" w:type="dxa"/>
              <w:bottom w:w="150" w:type="dxa"/>
              <w:right w:w="150" w:type="dxa"/>
            </w:tcMar>
            <w:hideMark/>
          </w:tcPr>
          <w:p w14:paraId="528273F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政策层级</w:t>
            </w:r>
          </w:p>
        </w:tc>
        <w:tc>
          <w:tcPr>
            <w:tcW w:w="2040" w:type="auto"/>
            <w:tcMar>
              <w:top w:w="150" w:type="dxa"/>
              <w:left w:w="150" w:type="dxa"/>
              <w:bottom w:w="150" w:type="dxa"/>
              <w:right w:w="150" w:type="dxa"/>
            </w:tcMar>
            <w:hideMark/>
          </w:tcPr>
          <w:p w14:paraId="71A68DF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关键文件/行动</w:t>
            </w:r>
          </w:p>
        </w:tc>
        <w:tc>
          <w:tcPr>
            <w:tcW w:w="4342" w:type="auto"/>
            <w:tcMar>
              <w:top w:w="150" w:type="dxa"/>
              <w:left w:w="150" w:type="dxa"/>
              <w:bottom w:w="150" w:type="dxa"/>
              <w:right w:w="150" w:type="dxa"/>
            </w:tcMar>
            <w:hideMark/>
          </w:tcPr>
          <w:p w14:paraId="1DA1E78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核心要点</w:t>
            </w:r>
          </w:p>
        </w:tc>
        <w:tc>
          <w:tcPr>
            <w:tcW w:w="1128" w:type="auto"/>
            <w:tcMar>
              <w:top w:w="150" w:type="dxa"/>
              <w:left w:w="150" w:type="dxa"/>
              <w:bottom w:w="150" w:type="dxa"/>
              <w:right w:w="150" w:type="dxa"/>
            </w:tcMar>
            <w:hideMark/>
          </w:tcPr>
          <w:p w14:paraId="673CA805"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时间</w:t>
            </w:r>
          </w:p>
        </w:tc>
      </w:tr>
      <w:tr w:rsidR="004F7E65" w:rsidRPr="00660147" w14:paraId="6AE4FFEA" w14:textId="77777777">
        <w:tc>
          <w:tcPr>
            <w:tcW w:w="786" w:type="auto"/>
            <w:tcMar>
              <w:top w:w="150" w:type="dxa"/>
              <w:left w:w="150" w:type="dxa"/>
              <w:bottom w:w="150" w:type="dxa"/>
              <w:right w:w="150" w:type="dxa"/>
            </w:tcMar>
            <w:hideMark/>
          </w:tcPr>
          <w:p w14:paraId="24B081F8"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国家战略</w:t>
            </w:r>
          </w:p>
        </w:tc>
        <w:tc>
          <w:tcPr>
            <w:tcW w:w="2040" w:type="auto"/>
            <w:tcMar>
              <w:top w:w="150" w:type="dxa"/>
              <w:left w:w="150" w:type="dxa"/>
              <w:bottom w:w="150" w:type="dxa"/>
              <w:right w:w="150" w:type="dxa"/>
            </w:tcMar>
            <w:hideMark/>
          </w:tcPr>
          <w:p w14:paraId="2276D206"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十五五</w:t>
            </w:r>
            <w:proofErr w:type="gramEnd"/>
            <w:r w:rsidRPr="00660147">
              <w:rPr>
                <w:rFonts w:ascii="楷体" w:eastAsia="楷体" w:hAnsi="楷体" w:cs="Segoe UI"/>
                <w:color w:val="000000" w:themeColor="text1"/>
                <w:spacing w:val="8"/>
                <w:sz w:val="21"/>
                <w:szCs w:val="21"/>
              </w:rPr>
              <w:t>"规划纲要</w:t>
            </w:r>
          </w:p>
        </w:tc>
        <w:tc>
          <w:tcPr>
            <w:tcW w:w="4342" w:type="auto"/>
            <w:tcMar>
              <w:top w:w="150" w:type="dxa"/>
              <w:left w:w="150" w:type="dxa"/>
              <w:bottom w:w="150" w:type="dxa"/>
              <w:right w:w="150" w:type="dxa"/>
            </w:tcMar>
            <w:hideMark/>
          </w:tcPr>
          <w:p w14:paraId="4363FC3B"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提升数智化</w:t>
            </w:r>
            <w:proofErr w:type="gramEnd"/>
            <w:r w:rsidRPr="00660147">
              <w:rPr>
                <w:rFonts w:ascii="楷体" w:eastAsia="楷体" w:hAnsi="楷体" w:cs="Segoe UI"/>
                <w:color w:val="000000" w:themeColor="text1"/>
                <w:spacing w:val="8"/>
                <w:sz w:val="21"/>
                <w:szCs w:val="21"/>
              </w:rPr>
              <w:t>发展水平"单独成篇；论证建设超</w:t>
            </w:r>
            <w:proofErr w:type="gramStart"/>
            <w:r w:rsidRPr="00660147">
              <w:rPr>
                <w:rFonts w:ascii="楷体" w:eastAsia="楷体" w:hAnsi="楷体" w:cs="Segoe UI"/>
                <w:color w:val="000000" w:themeColor="text1"/>
                <w:spacing w:val="8"/>
                <w:sz w:val="21"/>
                <w:szCs w:val="21"/>
              </w:rPr>
              <w:t>大规模智算集群</w:t>
            </w:r>
            <w:proofErr w:type="gramEnd"/>
            <w:r w:rsidRPr="00660147">
              <w:rPr>
                <w:rFonts w:ascii="楷体" w:eastAsia="楷体" w:hAnsi="楷体" w:cs="Segoe UI"/>
                <w:color w:val="000000" w:themeColor="text1"/>
                <w:spacing w:val="8"/>
                <w:sz w:val="21"/>
                <w:szCs w:val="21"/>
              </w:rPr>
              <w:t>；政府</w:t>
            </w:r>
            <w:proofErr w:type="gramStart"/>
            <w:r w:rsidRPr="00660147">
              <w:rPr>
                <w:rFonts w:ascii="楷体" w:eastAsia="楷体" w:hAnsi="楷体" w:cs="Segoe UI"/>
                <w:color w:val="000000" w:themeColor="text1"/>
                <w:spacing w:val="8"/>
                <w:sz w:val="21"/>
                <w:szCs w:val="21"/>
              </w:rPr>
              <w:t>购买算力服务</w:t>
            </w:r>
            <w:proofErr w:type="gramEnd"/>
          </w:p>
        </w:tc>
        <w:tc>
          <w:tcPr>
            <w:tcW w:w="1128" w:type="auto"/>
            <w:tcMar>
              <w:top w:w="150" w:type="dxa"/>
              <w:left w:w="150" w:type="dxa"/>
              <w:bottom w:w="150" w:type="dxa"/>
              <w:right w:w="150" w:type="dxa"/>
            </w:tcMar>
            <w:hideMark/>
          </w:tcPr>
          <w:p w14:paraId="6DD04B48"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14ABD26E" w14:textId="77777777">
        <w:tc>
          <w:tcPr>
            <w:tcW w:w="786" w:type="auto"/>
            <w:tcMar>
              <w:top w:w="150" w:type="dxa"/>
              <w:left w:w="150" w:type="dxa"/>
              <w:bottom w:w="150" w:type="dxa"/>
              <w:right w:w="150" w:type="dxa"/>
            </w:tcMar>
            <w:hideMark/>
          </w:tcPr>
          <w:p w14:paraId="6E3AB076"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专项工程</w:t>
            </w:r>
          </w:p>
        </w:tc>
        <w:tc>
          <w:tcPr>
            <w:tcW w:w="2040" w:type="auto"/>
            <w:tcMar>
              <w:top w:w="150" w:type="dxa"/>
              <w:left w:w="150" w:type="dxa"/>
              <w:bottom w:w="150" w:type="dxa"/>
              <w:right w:w="150" w:type="dxa"/>
            </w:tcMar>
            <w:hideMark/>
          </w:tcPr>
          <w:p w14:paraId="5C9093D4"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东数西</w:t>
            </w:r>
            <w:proofErr w:type="gramEnd"/>
            <w:r w:rsidRPr="00660147">
              <w:rPr>
                <w:rFonts w:ascii="楷体" w:eastAsia="楷体" w:hAnsi="楷体" w:cs="Segoe UI"/>
                <w:color w:val="000000" w:themeColor="text1"/>
                <w:spacing w:val="8"/>
                <w:sz w:val="21"/>
                <w:szCs w:val="21"/>
              </w:rPr>
              <w:t>算"工程</w:t>
            </w:r>
          </w:p>
        </w:tc>
        <w:tc>
          <w:tcPr>
            <w:tcW w:w="4342" w:type="auto"/>
            <w:tcMar>
              <w:top w:w="150" w:type="dxa"/>
              <w:left w:w="150" w:type="dxa"/>
              <w:bottom w:w="150" w:type="dxa"/>
              <w:right w:w="150" w:type="dxa"/>
            </w:tcMar>
            <w:hideMark/>
          </w:tcPr>
          <w:p w14:paraId="31841AB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八大枢纽、十大集群；引导数据中心集约化、绿色化发展</w:t>
            </w:r>
          </w:p>
        </w:tc>
        <w:tc>
          <w:tcPr>
            <w:tcW w:w="1128" w:type="auto"/>
            <w:tcMar>
              <w:top w:w="150" w:type="dxa"/>
              <w:left w:w="150" w:type="dxa"/>
              <w:bottom w:w="150" w:type="dxa"/>
              <w:right w:w="150" w:type="dxa"/>
            </w:tcMar>
            <w:hideMark/>
          </w:tcPr>
          <w:p w14:paraId="34009047"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2021年启动</w:t>
            </w:r>
          </w:p>
        </w:tc>
      </w:tr>
      <w:tr w:rsidR="004F7E65" w:rsidRPr="00660147" w14:paraId="2B1905FF" w14:textId="77777777">
        <w:tc>
          <w:tcPr>
            <w:tcW w:w="786" w:type="auto"/>
            <w:tcMar>
              <w:top w:w="150" w:type="dxa"/>
              <w:left w:w="150" w:type="dxa"/>
              <w:bottom w:w="150" w:type="dxa"/>
              <w:right w:w="150" w:type="dxa"/>
            </w:tcMar>
            <w:hideMark/>
          </w:tcPr>
          <w:p w14:paraId="1EB4894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行动计划</w:t>
            </w:r>
          </w:p>
        </w:tc>
        <w:tc>
          <w:tcPr>
            <w:tcW w:w="2040" w:type="auto"/>
            <w:tcMar>
              <w:top w:w="150" w:type="dxa"/>
              <w:left w:w="150" w:type="dxa"/>
              <w:bottom w:w="150" w:type="dxa"/>
              <w:right w:w="150" w:type="dxa"/>
            </w:tcMar>
            <w:hideMark/>
          </w:tcPr>
          <w:p w14:paraId="0F021413"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《算力基础设施高质量发展行动计划》</w:t>
            </w:r>
          </w:p>
        </w:tc>
        <w:tc>
          <w:tcPr>
            <w:tcW w:w="4342" w:type="auto"/>
            <w:tcMar>
              <w:top w:w="150" w:type="dxa"/>
              <w:left w:w="150" w:type="dxa"/>
              <w:bottom w:w="150" w:type="dxa"/>
              <w:right w:w="150" w:type="dxa"/>
            </w:tcMar>
            <w:hideMark/>
          </w:tcPr>
          <w:p w14:paraId="5DC8DCBD"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w:t>
            </w:r>
            <w:proofErr w:type="gramStart"/>
            <w:r w:rsidRPr="00660147">
              <w:rPr>
                <w:rFonts w:ascii="楷体" w:eastAsia="楷体" w:hAnsi="楷体" w:cs="Segoe UI"/>
                <w:color w:val="000000" w:themeColor="text1"/>
                <w:spacing w:val="8"/>
                <w:sz w:val="21"/>
                <w:szCs w:val="21"/>
              </w:rPr>
              <w:t>算力规模</w:t>
            </w:r>
            <w:proofErr w:type="gramEnd"/>
            <w:r w:rsidRPr="00660147">
              <w:rPr>
                <w:rFonts w:ascii="楷体" w:eastAsia="楷体" w:hAnsi="楷体" w:cs="Segoe UI"/>
                <w:color w:val="000000" w:themeColor="text1"/>
                <w:spacing w:val="8"/>
                <w:sz w:val="21"/>
                <w:szCs w:val="21"/>
              </w:rPr>
              <w:t>超300 EFLOPS，</w:t>
            </w:r>
            <w:proofErr w:type="gramStart"/>
            <w:r w:rsidRPr="00660147">
              <w:rPr>
                <w:rFonts w:ascii="楷体" w:eastAsia="楷体" w:hAnsi="楷体" w:cs="Segoe UI"/>
                <w:color w:val="000000" w:themeColor="text1"/>
                <w:spacing w:val="8"/>
                <w:sz w:val="21"/>
                <w:szCs w:val="21"/>
              </w:rPr>
              <w:t>智能算力占</w:t>
            </w:r>
            <w:proofErr w:type="gramEnd"/>
            <w:r w:rsidRPr="00660147">
              <w:rPr>
                <w:rFonts w:ascii="楷体" w:eastAsia="楷体" w:hAnsi="楷体" w:cs="Segoe UI"/>
                <w:color w:val="000000" w:themeColor="text1"/>
                <w:spacing w:val="8"/>
                <w:sz w:val="21"/>
                <w:szCs w:val="21"/>
              </w:rPr>
              <w:t>比35%</w:t>
            </w:r>
          </w:p>
        </w:tc>
        <w:tc>
          <w:tcPr>
            <w:tcW w:w="1128" w:type="auto"/>
            <w:tcMar>
              <w:top w:w="150" w:type="dxa"/>
              <w:left w:w="150" w:type="dxa"/>
              <w:bottom w:w="150" w:type="dxa"/>
              <w:right w:w="150" w:type="dxa"/>
            </w:tcMar>
            <w:hideMark/>
          </w:tcPr>
          <w:p w14:paraId="7DC93591"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2023年10月</w:t>
            </w:r>
          </w:p>
        </w:tc>
      </w:tr>
      <w:tr w:rsidR="004F7E65" w:rsidRPr="00660147" w14:paraId="08202B59" w14:textId="77777777">
        <w:tc>
          <w:tcPr>
            <w:tcW w:w="786" w:type="auto"/>
            <w:tcMar>
              <w:top w:w="150" w:type="dxa"/>
              <w:left w:w="150" w:type="dxa"/>
              <w:bottom w:w="150" w:type="dxa"/>
              <w:right w:w="150" w:type="dxa"/>
            </w:tcMar>
            <w:hideMark/>
          </w:tcPr>
          <w:p w14:paraId="7A07C71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互联互通</w:t>
            </w:r>
          </w:p>
        </w:tc>
        <w:tc>
          <w:tcPr>
            <w:tcW w:w="2040" w:type="auto"/>
            <w:tcMar>
              <w:top w:w="150" w:type="dxa"/>
              <w:left w:w="150" w:type="dxa"/>
              <w:bottom w:w="150" w:type="dxa"/>
              <w:right w:w="150" w:type="dxa"/>
            </w:tcMar>
            <w:hideMark/>
          </w:tcPr>
          <w:p w14:paraId="176E0485"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《算力互联互通行动计划》</w:t>
            </w:r>
          </w:p>
        </w:tc>
        <w:tc>
          <w:tcPr>
            <w:tcW w:w="4342" w:type="auto"/>
            <w:tcMar>
              <w:top w:w="150" w:type="dxa"/>
              <w:left w:w="150" w:type="dxa"/>
              <w:bottom w:w="150" w:type="dxa"/>
              <w:right w:w="150" w:type="dxa"/>
            </w:tcMar>
            <w:hideMark/>
          </w:tcPr>
          <w:p w14:paraId="72B00E4C"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2026年建立标准体系，2028年实现全国</w:t>
            </w:r>
            <w:proofErr w:type="gramStart"/>
            <w:r w:rsidRPr="00660147">
              <w:rPr>
                <w:rFonts w:ascii="楷体" w:eastAsia="楷体" w:hAnsi="楷体" w:cs="Segoe UI"/>
                <w:color w:val="000000" w:themeColor="text1"/>
                <w:spacing w:val="8"/>
                <w:sz w:val="21"/>
                <w:szCs w:val="21"/>
              </w:rPr>
              <w:t>公共算力标准化</w:t>
            </w:r>
            <w:proofErr w:type="gramEnd"/>
            <w:r w:rsidRPr="00660147">
              <w:rPr>
                <w:rFonts w:ascii="楷体" w:eastAsia="楷体" w:hAnsi="楷体" w:cs="Segoe UI"/>
                <w:color w:val="000000" w:themeColor="text1"/>
                <w:spacing w:val="8"/>
                <w:sz w:val="21"/>
                <w:szCs w:val="21"/>
              </w:rPr>
              <w:t>互联</w:t>
            </w:r>
          </w:p>
        </w:tc>
        <w:tc>
          <w:tcPr>
            <w:tcW w:w="1128" w:type="auto"/>
            <w:tcMar>
              <w:top w:w="150" w:type="dxa"/>
              <w:left w:w="150" w:type="dxa"/>
              <w:bottom w:w="150" w:type="dxa"/>
              <w:right w:w="150" w:type="dxa"/>
            </w:tcMar>
            <w:hideMark/>
          </w:tcPr>
          <w:p w14:paraId="67216B5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2025年5月</w:t>
            </w:r>
          </w:p>
        </w:tc>
      </w:tr>
      <w:tr w:rsidR="004F7E65" w:rsidRPr="00660147" w14:paraId="404895A3" w14:textId="77777777">
        <w:tc>
          <w:tcPr>
            <w:tcW w:w="786" w:type="auto"/>
            <w:tcMar>
              <w:top w:w="150" w:type="dxa"/>
              <w:left w:w="150" w:type="dxa"/>
              <w:bottom w:w="150" w:type="dxa"/>
              <w:right w:w="150" w:type="dxa"/>
            </w:tcMar>
            <w:hideMark/>
          </w:tcPr>
          <w:p w14:paraId="552BAC07"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lastRenderedPageBreak/>
              <w:t>能源协同</w:t>
            </w:r>
          </w:p>
        </w:tc>
        <w:tc>
          <w:tcPr>
            <w:tcW w:w="2040" w:type="auto"/>
            <w:tcMar>
              <w:top w:w="150" w:type="dxa"/>
              <w:left w:w="150" w:type="dxa"/>
              <w:bottom w:w="150" w:type="dxa"/>
              <w:right w:w="150" w:type="dxa"/>
            </w:tcMar>
            <w:hideMark/>
          </w:tcPr>
          <w:p w14:paraId="07737950"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w:t>
            </w:r>
            <w:proofErr w:type="gramStart"/>
            <w:r w:rsidRPr="00660147">
              <w:rPr>
                <w:rFonts w:ascii="楷体" w:eastAsia="楷体" w:hAnsi="楷体" w:cs="Segoe UI"/>
                <w:color w:val="000000" w:themeColor="text1"/>
                <w:spacing w:val="8"/>
                <w:sz w:val="21"/>
                <w:szCs w:val="21"/>
              </w:rPr>
              <w:t>算电协同</w:t>
            </w:r>
            <w:proofErr w:type="gramEnd"/>
            <w:r w:rsidRPr="00660147">
              <w:rPr>
                <w:rFonts w:ascii="楷体" w:eastAsia="楷体" w:hAnsi="楷体" w:cs="Segoe UI"/>
                <w:color w:val="000000" w:themeColor="text1"/>
                <w:spacing w:val="8"/>
                <w:sz w:val="21"/>
                <w:szCs w:val="21"/>
              </w:rPr>
              <w:t>"写入政府工作报告</w:t>
            </w:r>
          </w:p>
        </w:tc>
        <w:tc>
          <w:tcPr>
            <w:tcW w:w="4342" w:type="auto"/>
            <w:tcMar>
              <w:top w:w="150" w:type="dxa"/>
              <w:left w:w="150" w:type="dxa"/>
              <w:bottom w:w="150" w:type="dxa"/>
              <w:right w:w="150" w:type="dxa"/>
            </w:tcMar>
            <w:hideMark/>
          </w:tcPr>
          <w:p w14:paraId="7401B3B2"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proofErr w:type="gramStart"/>
            <w:r w:rsidRPr="00660147">
              <w:rPr>
                <w:rFonts w:ascii="楷体" w:eastAsia="楷体" w:hAnsi="楷体" w:cs="Segoe UI"/>
                <w:color w:val="000000" w:themeColor="text1"/>
                <w:spacing w:val="8"/>
                <w:sz w:val="21"/>
                <w:szCs w:val="21"/>
              </w:rPr>
              <w:t>算力与</w:t>
            </w:r>
            <w:proofErr w:type="gramEnd"/>
            <w:r w:rsidRPr="00660147">
              <w:rPr>
                <w:rFonts w:ascii="楷体" w:eastAsia="楷体" w:hAnsi="楷体" w:cs="Segoe UI"/>
                <w:color w:val="000000" w:themeColor="text1"/>
                <w:spacing w:val="8"/>
                <w:sz w:val="21"/>
                <w:szCs w:val="21"/>
              </w:rPr>
              <w:t>电力系统深度融合；应对AI</w:t>
            </w:r>
            <w:proofErr w:type="gramStart"/>
            <w:r w:rsidRPr="00660147">
              <w:rPr>
                <w:rFonts w:ascii="楷体" w:eastAsia="楷体" w:hAnsi="楷体" w:cs="Segoe UI"/>
                <w:color w:val="000000" w:themeColor="text1"/>
                <w:spacing w:val="8"/>
                <w:sz w:val="21"/>
                <w:szCs w:val="21"/>
              </w:rPr>
              <w:t>算力能耗</w:t>
            </w:r>
            <w:proofErr w:type="gramEnd"/>
            <w:r w:rsidRPr="00660147">
              <w:rPr>
                <w:rFonts w:ascii="楷体" w:eastAsia="楷体" w:hAnsi="楷体" w:cs="Segoe UI"/>
                <w:color w:val="000000" w:themeColor="text1"/>
                <w:spacing w:val="8"/>
                <w:sz w:val="21"/>
                <w:szCs w:val="21"/>
              </w:rPr>
              <w:t>挑战</w:t>
            </w:r>
          </w:p>
        </w:tc>
        <w:tc>
          <w:tcPr>
            <w:tcW w:w="1128" w:type="auto"/>
            <w:tcMar>
              <w:top w:w="150" w:type="dxa"/>
              <w:left w:w="150" w:type="dxa"/>
              <w:bottom w:w="150" w:type="dxa"/>
              <w:right w:w="150" w:type="dxa"/>
            </w:tcMar>
            <w:hideMark/>
          </w:tcPr>
          <w:p w14:paraId="0057B85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2026年3月</w:t>
            </w:r>
          </w:p>
        </w:tc>
      </w:tr>
      <w:tr w:rsidR="004F7E65" w:rsidRPr="00660147" w14:paraId="6B5D6C1A" w14:textId="77777777">
        <w:tc>
          <w:tcPr>
            <w:tcW w:w="786" w:type="auto"/>
            <w:tcMar>
              <w:top w:w="150" w:type="dxa"/>
              <w:left w:w="150" w:type="dxa"/>
              <w:bottom w:w="150" w:type="dxa"/>
              <w:right w:w="150" w:type="dxa"/>
            </w:tcMar>
            <w:hideMark/>
          </w:tcPr>
          <w:p w14:paraId="3BA15D7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w:t>
            </w:r>
            <w:proofErr w:type="gramStart"/>
            <w:r w:rsidRPr="00660147">
              <w:rPr>
                <w:rFonts w:ascii="楷体" w:eastAsia="楷体" w:hAnsi="楷体" w:cs="Segoe UI"/>
                <w:color w:val="000000" w:themeColor="text1"/>
                <w:spacing w:val="8"/>
                <w:sz w:val="21"/>
                <w:szCs w:val="21"/>
              </w:rPr>
              <w:t>惠服务</w:t>
            </w:r>
            <w:proofErr w:type="gramEnd"/>
          </w:p>
        </w:tc>
        <w:tc>
          <w:tcPr>
            <w:tcW w:w="2040" w:type="auto"/>
            <w:tcMar>
              <w:top w:w="150" w:type="dxa"/>
              <w:left w:w="150" w:type="dxa"/>
              <w:bottom w:w="150" w:type="dxa"/>
              <w:right w:w="150" w:type="dxa"/>
            </w:tcMar>
            <w:hideMark/>
          </w:tcPr>
          <w:p w14:paraId="388C7361"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普</w:t>
            </w:r>
            <w:proofErr w:type="gramStart"/>
            <w:r w:rsidRPr="00660147">
              <w:rPr>
                <w:rFonts w:ascii="楷体" w:eastAsia="楷体" w:hAnsi="楷体" w:cs="Segoe UI"/>
                <w:color w:val="000000" w:themeColor="text1"/>
                <w:spacing w:val="8"/>
                <w:sz w:val="21"/>
                <w:szCs w:val="21"/>
              </w:rPr>
              <w:t>惠算力</w:t>
            </w:r>
            <w:proofErr w:type="gramEnd"/>
            <w:r w:rsidRPr="00660147">
              <w:rPr>
                <w:rFonts w:ascii="楷体" w:eastAsia="楷体" w:hAnsi="楷体" w:cs="Segoe UI"/>
                <w:color w:val="000000" w:themeColor="text1"/>
                <w:spacing w:val="8"/>
                <w:sz w:val="21"/>
                <w:szCs w:val="21"/>
              </w:rPr>
              <w:t>赋能中小企业专项行动</w:t>
            </w:r>
          </w:p>
        </w:tc>
        <w:tc>
          <w:tcPr>
            <w:tcW w:w="4342" w:type="auto"/>
            <w:tcMar>
              <w:top w:w="150" w:type="dxa"/>
              <w:left w:w="150" w:type="dxa"/>
              <w:bottom w:w="150" w:type="dxa"/>
              <w:right w:w="150" w:type="dxa"/>
            </w:tcMar>
            <w:hideMark/>
          </w:tcPr>
          <w:p w14:paraId="7F332A73"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降低</w:t>
            </w:r>
            <w:proofErr w:type="gramStart"/>
            <w:r w:rsidRPr="00660147">
              <w:rPr>
                <w:rFonts w:ascii="楷体" w:eastAsia="楷体" w:hAnsi="楷体" w:cs="Segoe UI"/>
                <w:color w:val="000000" w:themeColor="text1"/>
                <w:spacing w:val="8"/>
                <w:sz w:val="21"/>
                <w:szCs w:val="21"/>
              </w:rPr>
              <w:t>中小企业用算成本</w:t>
            </w:r>
            <w:proofErr w:type="gramEnd"/>
            <w:r w:rsidRPr="00660147">
              <w:rPr>
                <w:rFonts w:ascii="楷体" w:eastAsia="楷体" w:hAnsi="楷体" w:cs="Segoe UI"/>
                <w:color w:val="000000" w:themeColor="text1"/>
                <w:spacing w:val="8"/>
                <w:sz w:val="21"/>
                <w:szCs w:val="21"/>
              </w:rPr>
              <w:t>，推动</w:t>
            </w:r>
            <w:proofErr w:type="gramStart"/>
            <w:r w:rsidRPr="00660147">
              <w:rPr>
                <w:rFonts w:ascii="楷体" w:eastAsia="楷体" w:hAnsi="楷体" w:cs="Segoe UI"/>
                <w:color w:val="000000" w:themeColor="text1"/>
                <w:spacing w:val="8"/>
                <w:sz w:val="21"/>
                <w:szCs w:val="21"/>
              </w:rPr>
              <w:t>算力即取即</w:t>
            </w:r>
            <w:proofErr w:type="gramEnd"/>
            <w:r w:rsidRPr="00660147">
              <w:rPr>
                <w:rFonts w:ascii="楷体" w:eastAsia="楷体" w:hAnsi="楷体" w:cs="Segoe UI"/>
                <w:color w:val="000000" w:themeColor="text1"/>
                <w:spacing w:val="8"/>
                <w:sz w:val="21"/>
                <w:szCs w:val="21"/>
              </w:rPr>
              <w:t>用</w:t>
            </w:r>
          </w:p>
        </w:tc>
        <w:tc>
          <w:tcPr>
            <w:tcW w:w="1128" w:type="auto"/>
            <w:tcMar>
              <w:top w:w="150" w:type="dxa"/>
              <w:left w:w="150" w:type="dxa"/>
              <w:bottom w:w="150" w:type="dxa"/>
              <w:right w:w="150" w:type="dxa"/>
            </w:tcMar>
            <w:hideMark/>
          </w:tcPr>
          <w:p w14:paraId="68F0724A"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2026年</w:t>
            </w:r>
          </w:p>
        </w:tc>
      </w:tr>
      <w:tr w:rsidR="004F7E65" w:rsidRPr="00660147" w14:paraId="05B27ADE" w14:textId="77777777">
        <w:tc>
          <w:tcPr>
            <w:tcW w:w="786" w:type="auto"/>
            <w:tcMar>
              <w:top w:w="150" w:type="dxa"/>
              <w:left w:w="150" w:type="dxa"/>
              <w:bottom w:w="150" w:type="dxa"/>
              <w:right w:w="150" w:type="dxa"/>
            </w:tcMar>
            <w:hideMark/>
          </w:tcPr>
          <w:p w14:paraId="7A091EDF"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地方落地</w:t>
            </w:r>
          </w:p>
        </w:tc>
        <w:tc>
          <w:tcPr>
            <w:tcW w:w="2040" w:type="auto"/>
            <w:tcMar>
              <w:top w:w="150" w:type="dxa"/>
              <w:left w:w="150" w:type="dxa"/>
              <w:bottom w:w="150" w:type="dxa"/>
              <w:right w:w="150" w:type="dxa"/>
            </w:tcMar>
            <w:hideMark/>
          </w:tcPr>
          <w:p w14:paraId="4AF253E9"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深圳"</w:t>
            </w:r>
            <w:proofErr w:type="gramStart"/>
            <w:r w:rsidRPr="00660147">
              <w:rPr>
                <w:rFonts w:ascii="楷体" w:eastAsia="楷体" w:hAnsi="楷体" w:cs="Segoe UI"/>
                <w:color w:val="000000" w:themeColor="text1"/>
                <w:spacing w:val="8"/>
                <w:sz w:val="21"/>
                <w:szCs w:val="21"/>
              </w:rPr>
              <w:t>算力飞地</w:t>
            </w:r>
            <w:proofErr w:type="gramEnd"/>
            <w:r w:rsidRPr="00660147">
              <w:rPr>
                <w:rFonts w:ascii="楷体" w:eastAsia="楷体" w:hAnsi="楷体" w:cs="Segoe UI"/>
                <w:color w:val="000000" w:themeColor="text1"/>
                <w:spacing w:val="8"/>
                <w:sz w:val="21"/>
                <w:szCs w:val="21"/>
              </w:rPr>
              <w:t>"战略</w:t>
            </w:r>
          </w:p>
        </w:tc>
        <w:tc>
          <w:tcPr>
            <w:tcW w:w="4342" w:type="auto"/>
            <w:tcMar>
              <w:top w:w="150" w:type="dxa"/>
              <w:left w:w="150" w:type="dxa"/>
              <w:bottom w:w="150" w:type="dxa"/>
              <w:right w:w="150" w:type="dxa"/>
            </w:tcMar>
            <w:hideMark/>
          </w:tcPr>
          <w:p w14:paraId="4D89F812"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45亿元专项资金；1ms/3ms/10ms梯度</w:t>
            </w:r>
            <w:proofErr w:type="gramStart"/>
            <w:r w:rsidRPr="00660147">
              <w:rPr>
                <w:rFonts w:ascii="楷体" w:eastAsia="楷体" w:hAnsi="楷体" w:cs="Segoe UI"/>
                <w:color w:val="000000" w:themeColor="text1"/>
                <w:spacing w:val="8"/>
                <w:sz w:val="21"/>
                <w:szCs w:val="21"/>
              </w:rPr>
              <w:t>算力网</w:t>
            </w:r>
            <w:proofErr w:type="gramEnd"/>
          </w:p>
        </w:tc>
        <w:tc>
          <w:tcPr>
            <w:tcW w:w="1128" w:type="auto"/>
            <w:tcMar>
              <w:top w:w="150" w:type="dxa"/>
              <w:left w:w="150" w:type="dxa"/>
              <w:bottom w:w="150" w:type="dxa"/>
              <w:right w:w="150" w:type="dxa"/>
            </w:tcMar>
            <w:hideMark/>
          </w:tcPr>
          <w:p w14:paraId="40FEAFFE" w14:textId="77777777" w:rsidR="004F7E65" w:rsidRPr="00660147" w:rsidRDefault="00000000">
            <w:pPr>
              <w:widowControl/>
              <w:spacing w:after="0" w:line="330" w:lineRule="atLeast"/>
              <w:rPr>
                <w:rFonts w:ascii="楷体" w:eastAsia="楷体" w:hAnsi="楷体" w:cs="Segoe UI" w:hint="eastAsia"/>
                <w:color w:val="000000" w:themeColor="text1"/>
                <w:spacing w:val="8"/>
                <w:kern w:val="0"/>
                <w:sz w:val="21"/>
                <w:szCs w:val="21"/>
                <w14:ligatures w14:val="none"/>
              </w:rPr>
            </w:pPr>
            <w:r w:rsidRPr="00660147">
              <w:rPr>
                <w:rFonts w:ascii="楷体" w:eastAsia="楷体" w:hAnsi="楷体" w:cs="Segoe UI"/>
                <w:color w:val="000000" w:themeColor="text1"/>
                <w:spacing w:val="8"/>
                <w:sz w:val="21"/>
                <w:szCs w:val="21"/>
              </w:rPr>
              <w:t>2025年</w:t>
            </w:r>
          </w:p>
        </w:tc>
      </w:tr>
    </w:tbl>
    <w:p w14:paraId="12B9C8ED" w14:textId="015817A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国家</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的建设目标是"普惠易用、经济高效"，而普惠化的前提是模型能力的标准化输出——没有基础大模型将 raw compute 转化为可调用、可微调、可迭代的认知推理服务，</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只是空转的电力设施。运营商的"Token经营"战略、政府的"</w:t>
      </w:r>
      <w:proofErr w:type="gramStart"/>
      <w:r w:rsidRPr="00660147">
        <w:rPr>
          <w:rFonts w:ascii="楷体" w:eastAsia="楷体" w:hAnsi="楷体" w:hint="eastAsia"/>
          <w:color w:val="000000" w:themeColor="text1"/>
          <w:szCs w:val="22"/>
        </w:rPr>
        <w:t>算力租赁</w:t>
      </w:r>
      <w:proofErr w:type="gramEnd"/>
      <w:r w:rsidRPr="00660147">
        <w:rPr>
          <w:rFonts w:ascii="楷体" w:eastAsia="楷体" w:hAnsi="楷体" w:hint="eastAsia"/>
          <w:color w:val="000000" w:themeColor="text1"/>
          <w:szCs w:val="22"/>
        </w:rPr>
        <w:t>"模式，其商业闭环均指向基础大模型作为</w:t>
      </w:r>
      <w:proofErr w:type="gramStart"/>
      <w:r w:rsidRPr="00660147">
        <w:rPr>
          <w:rFonts w:ascii="楷体" w:eastAsia="楷体" w:hAnsi="楷体" w:hint="eastAsia"/>
          <w:color w:val="000000" w:themeColor="text1"/>
          <w:szCs w:val="22"/>
        </w:rPr>
        <w:t>算力网络</w:t>
      </w:r>
      <w:proofErr w:type="gramEnd"/>
      <w:r w:rsidRPr="00660147">
        <w:rPr>
          <w:rFonts w:ascii="楷体" w:eastAsia="楷体" w:hAnsi="楷体" w:hint="eastAsia"/>
          <w:color w:val="000000" w:themeColor="text1"/>
          <w:szCs w:val="22"/>
        </w:rPr>
        <w:t>的"认知转化层"。因此，投资基础大模型不是投资"AI应用公司"，而是投资国家AI基础设施的操作系统层——这一层的垄断性、政策依附性与网络效应，远超传统基建中的硬件供应商。</w:t>
      </w:r>
    </w:p>
    <w:p w14:paraId="7C5DEF15" w14:textId="0317DEA9" w:rsidR="004F7E65" w:rsidRPr="00342124" w:rsidRDefault="00F405DF">
      <w:pPr>
        <w:pStyle w:val="3"/>
        <w:rPr>
          <w:rFonts w:ascii="楷体" w:eastAsia="楷体" w:hAnsi="楷体" w:hint="eastAsia"/>
          <w:color w:val="000000" w:themeColor="text1"/>
          <w:sz w:val="30"/>
          <w:szCs w:val="30"/>
        </w:rPr>
      </w:pPr>
      <w:bookmarkStart w:id="6" w:name="_Toc228374856"/>
      <w:r w:rsidRPr="00342124">
        <w:rPr>
          <w:rFonts w:ascii="楷体" w:eastAsia="楷体" w:hAnsi="楷体" w:hint="eastAsia"/>
          <w:color w:val="000000" w:themeColor="text1"/>
          <w:sz w:val="30"/>
          <w:szCs w:val="30"/>
        </w:rPr>
        <w:t>1.2.2</w:t>
      </w:r>
      <w:r w:rsidR="00B54E1E" w:rsidRPr="00342124">
        <w:rPr>
          <w:rFonts w:ascii="楷体" w:eastAsia="楷体" w:hAnsi="楷体" w:hint="eastAsia"/>
          <w:color w:val="000000" w:themeColor="text1"/>
          <w:sz w:val="30"/>
          <w:szCs w:val="30"/>
        </w:rPr>
        <w:t>市场规模与产业阶段</w:t>
      </w:r>
      <w:bookmarkEnd w:id="6"/>
    </w:p>
    <w:p w14:paraId="3AA9E14E" w14:textId="6BD17939"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t>1.2.2.1市场规模</w:t>
      </w:r>
    </w:p>
    <w:p w14:paraId="22353DB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当前大模型技术仍处于快速迭代阶段。根据</w:t>
      </w:r>
      <w:proofErr w:type="gramStart"/>
      <w:r w:rsidRPr="00660147">
        <w:rPr>
          <w:rFonts w:ascii="楷体" w:eastAsia="楷体" w:hAnsi="楷体" w:hint="eastAsia"/>
          <w:color w:val="000000" w:themeColor="text1"/>
          <w:szCs w:val="22"/>
        </w:rPr>
        <w:t>灼识咨询</w:t>
      </w:r>
      <w:proofErr w:type="gramEnd"/>
      <w:r w:rsidRPr="00660147">
        <w:rPr>
          <w:rFonts w:ascii="楷体" w:eastAsia="楷体" w:hAnsi="楷体" w:hint="eastAsia"/>
          <w:color w:val="000000" w:themeColor="text1"/>
          <w:szCs w:val="22"/>
        </w:rPr>
        <w:t>研究数据显示，伴随技术成熟度提升与付费意愿持续释放，全球大模型市场规模预计将由 2024年的107 亿美元，快速增长至 2029 年的 2,065 亿美元，2024-2029 五年复合增长率将达 80.7%。另据IDC《2026全球企业级大模型服务市场白皮书》，2026年全球大模型服务相关市场支出已突破 1,800 亿美元，同比增长 63%，其中企业级大模型服务平台需求占比超 75%，市场扩张速度超出此前预期。</w:t>
      </w:r>
    </w:p>
    <w:p w14:paraId="6F8E2B50"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表：2023-2029E全球大模型市场规模</w:t>
      </w:r>
    </w:p>
    <w:p w14:paraId="475A4E01" w14:textId="2B8EFA84" w:rsidR="004F7E65" w:rsidRPr="00660147" w:rsidRDefault="00000000" w:rsidP="00CD458E">
      <w:pPr>
        <w:jc w:val="center"/>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1324FAAE" wp14:editId="0CB19FF5">
            <wp:extent cx="4204094" cy="2449773"/>
            <wp:effectExtent l="0" t="0" r="6350" b="8255"/>
            <wp:docPr id="97004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6003" name=""/>
                    <pic:cNvPicPr/>
                  </pic:nvPicPr>
                  <pic:blipFill>
                    <a:blip r:embed="rId8"/>
                    <a:stretch>
                      <a:fillRect/>
                    </a:stretch>
                  </pic:blipFill>
                  <pic:spPr>
                    <a:xfrm>
                      <a:off x="0" y="0"/>
                      <a:ext cx="4214065" cy="2455583"/>
                    </a:xfrm>
                    <a:prstGeom prst="rect">
                      <a:avLst/>
                    </a:prstGeom>
                  </pic:spPr>
                </pic:pic>
              </a:graphicData>
            </a:graphic>
          </wp:inline>
        </w:drawing>
      </w:r>
    </w:p>
    <w:p w14:paraId="6E6F64D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中国大模型市场大致可划分为三个阶段。2020 年至 2022 年为技术积累期，以学术研究和头部企业探索为主，市场体量有限但基础能力逐步夯实，三年累计增量不足 100 亿元。2023 年至 2024 年为爆发式增长期，技术突破与资本热潮形成共振，市场进入跑马圈地阶段。2025 年起进入应用深化期，虽然增速随基数扩大而自然回落，但应用场景持续拓宽，商业模式逐步清晰。据</w:t>
      </w:r>
      <w:proofErr w:type="gramStart"/>
      <w:r w:rsidRPr="00660147">
        <w:rPr>
          <w:rFonts w:ascii="楷体" w:eastAsia="楷体" w:hAnsi="楷体" w:hint="eastAsia"/>
          <w:color w:val="000000" w:themeColor="text1"/>
          <w:szCs w:val="22"/>
        </w:rPr>
        <w:t>艾媒咨询</w:t>
      </w:r>
      <w:proofErr w:type="gramEnd"/>
      <w:r w:rsidRPr="00660147">
        <w:rPr>
          <w:rFonts w:ascii="楷体" w:eastAsia="楷体" w:hAnsi="楷体" w:hint="eastAsia"/>
          <w:color w:val="000000" w:themeColor="text1"/>
          <w:szCs w:val="22"/>
        </w:rPr>
        <w:t>数据，2024 年中国大模型市场规模已达到人民币 294.16亿元，预计到 2026 年将增至人民币 738.57 亿元，2024 年至 2026 年预计复合年增长率为 58.5%。另据IDC预测，在</w:t>
      </w:r>
      <w:proofErr w:type="gramStart"/>
      <w:r w:rsidRPr="00660147">
        <w:rPr>
          <w:rFonts w:ascii="楷体" w:eastAsia="楷体" w:hAnsi="楷体" w:hint="eastAsia"/>
          <w:color w:val="000000" w:themeColor="text1"/>
          <w:szCs w:val="22"/>
        </w:rPr>
        <w:t>信创政策</w:t>
      </w:r>
      <w:proofErr w:type="gramEnd"/>
      <w:r w:rsidRPr="00660147">
        <w:rPr>
          <w:rFonts w:ascii="楷体" w:eastAsia="楷体" w:hAnsi="楷体" w:hint="eastAsia"/>
          <w:color w:val="000000" w:themeColor="text1"/>
          <w:szCs w:val="22"/>
        </w:rPr>
        <w:t>持续深化与行业AI落地加速的双重赋能下，中国市场规模预计 2028 年将突破 1,600 亿元，企业级大模型服务平台已成为金融、政务、互联网、制造等关键领域的核心数字化基础设施。</w:t>
      </w:r>
    </w:p>
    <w:p w14:paraId="427B6158"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表：2020-2026E中国大模型市场规模</w:t>
      </w:r>
    </w:p>
    <w:p w14:paraId="503311FF" w14:textId="272D65EF" w:rsidR="004F7E65" w:rsidRPr="00660147" w:rsidRDefault="00000000" w:rsidP="00CD458E">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5523D11" wp14:editId="0EFD7E75">
            <wp:extent cx="4162425" cy="2644989"/>
            <wp:effectExtent l="0" t="0" r="0" b="3175"/>
            <wp:docPr id="183820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01053" name=""/>
                    <pic:cNvPicPr/>
                  </pic:nvPicPr>
                  <pic:blipFill>
                    <a:blip r:embed="rId9"/>
                    <a:stretch>
                      <a:fillRect/>
                    </a:stretch>
                  </pic:blipFill>
                  <pic:spPr>
                    <a:xfrm>
                      <a:off x="0" y="0"/>
                      <a:ext cx="4179062" cy="2655561"/>
                    </a:xfrm>
                    <a:prstGeom prst="rect">
                      <a:avLst/>
                    </a:prstGeom>
                  </pic:spPr>
                </pic:pic>
              </a:graphicData>
            </a:graphic>
          </wp:inline>
        </w:drawing>
      </w:r>
    </w:p>
    <w:p w14:paraId="52463A2E" w14:textId="3D401877"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lastRenderedPageBreak/>
        <w:t>1.2.2.2产业阶段：</w:t>
      </w:r>
    </w:p>
    <w:p w14:paraId="6B32C8AE" w14:textId="05EBE78E" w:rsidR="004F7E65" w:rsidRPr="00660147" w:rsidRDefault="00F405DF">
      <w:pPr>
        <w:pStyle w:val="5"/>
        <w:rPr>
          <w:rFonts w:ascii="楷体" w:eastAsia="楷体" w:hAnsi="楷体" w:hint="eastAsia"/>
          <w:color w:val="000000" w:themeColor="text1"/>
        </w:rPr>
      </w:pPr>
      <w:r w:rsidRPr="00660147">
        <w:rPr>
          <w:rFonts w:ascii="楷体" w:eastAsia="楷体" w:hAnsi="楷体" w:hint="eastAsia"/>
          <w:color w:val="000000" w:themeColor="text1"/>
        </w:rPr>
        <w:t>I．产业属性界定</w:t>
      </w:r>
    </w:p>
    <w:p w14:paraId="1649B07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基础大模型产业具备典型的新兴成长行业特征，其驱动力源于颠覆性技术创新而非传统经济周期。</w:t>
      </w:r>
    </w:p>
    <w:p w14:paraId="2403F623" w14:textId="156FE568"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首先，市场规模预测数据揭示了其高成长潜力。不止上文对于国内外大模型市场CAGR的乐观估计，多家大型机构也对其进行了预估。Bloomberg Intelligence给出2023-2032E期间CAGR 37%的预估，沙利文给出CAGR 50%的预估。此类高增长已有市场验证，根据智</w:t>
      </w:r>
      <w:proofErr w:type="gramStart"/>
      <w:r w:rsidR="00EE7B17" w:rsidRPr="00660147">
        <w:rPr>
          <w:rFonts w:ascii="楷体" w:eastAsia="楷体" w:hAnsi="楷体" w:hint="eastAsia"/>
          <w:color w:val="000000" w:themeColor="text1"/>
          <w:szCs w:val="22"/>
        </w:rPr>
        <w:t>研</w:t>
      </w:r>
      <w:proofErr w:type="gramEnd"/>
      <w:r w:rsidRPr="00660147">
        <w:rPr>
          <w:rFonts w:ascii="楷体" w:eastAsia="楷体" w:hAnsi="楷体" w:hint="eastAsia"/>
          <w:color w:val="000000" w:themeColor="text1"/>
          <w:szCs w:val="22"/>
        </w:rPr>
        <w:t>咨询研究，MaaS（模型即服务）作为大模型落地的核心载体，在2024年中国市场呈现爆发式增长，全年规模达7.1亿元，较2023年同比激增215.7%。</w:t>
      </w:r>
    </w:p>
    <w:p w14:paraId="470670E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这种</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预期，和商业化早期陡峭的增长斜率，是成长期企业的特征。其产业波动主要受技术迭代节奏、监管政策及自身商业化进展影响，与传统的库存、产能周期关联性弱。尽管发展中可能因预期与现实的差距出现估值波动，但这本质上是成长过程中的修正，而非由宏观经济决定的周期性进退。</w:t>
      </w:r>
    </w:p>
    <w:p w14:paraId="5D2760F5" w14:textId="16BB6A56" w:rsidR="004F7E65" w:rsidRPr="00660147" w:rsidRDefault="00F405DF">
      <w:pPr>
        <w:pStyle w:val="5"/>
        <w:rPr>
          <w:rFonts w:ascii="楷体" w:eastAsia="楷体" w:hAnsi="楷体" w:hint="eastAsia"/>
          <w:color w:val="000000" w:themeColor="text1"/>
        </w:rPr>
      </w:pPr>
      <w:r w:rsidRPr="00660147">
        <w:rPr>
          <w:rFonts w:ascii="楷体" w:eastAsia="楷体" w:hAnsi="楷体" w:hint="eastAsia"/>
          <w:color w:val="000000" w:themeColor="text1"/>
        </w:rPr>
        <w:t>II. 成长阶段定位</w:t>
      </w:r>
    </w:p>
    <w:p w14:paraId="4ABF729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依据新兴产业从“0-1”（技术萌芽）到“1-10”（期望膨胀/规模化）再到“10-100”（稳步爬升）的发展框架分析，基础大模型产业已明确越过“0-1”的</w:t>
      </w:r>
      <w:proofErr w:type="gramStart"/>
      <w:r w:rsidRPr="00660147">
        <w:rPr>
          <w:rFonts w:ascii="楷体" w:eastAsia="楷体" w:hAnsi="楷体" w:hint="eastAsia"/>
          <w:color w:val="000000" w:themeColor="text1"/>
          <w:szCs w:val="22"/>
        </w:rPr>
        <w:t>纯粹探索</w:t>
      </w:r>
      <w:proofErr w:type="gramEnd"/>
      <w:r w:rsidRPr="00660147">
        <w:rPr>
          <w:rFonts w:ascii="楷体" w:eastAsia="楷体" w:hAnsi="楷体" w:hint="eastAsia"/>
          <w:color w:val="000000" w:themeColor="text1"/>
          <w:szCs w:val="22"/>
        </w:rPr>
        <w:t>期，正处于“1-10”阶段的中期。这一判断基于技术、商业化、竞争格局等多重信号。</w:t>
      </w:r>
    </w:p>
    <w:p w14:paraId="2D9AFD2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技术演进：从突破“可用”到追求“好用”与“普惠” 技术发展已跨越最初的“iPhone时刻”，进入“DeepSeek时刻”。 技术的成本等瓶颈被打破，从稀缺、昂贵、小众，转向普惠、易用，真正具备面向千行百业大规模普及的基础条件。应用场景进一步快速渗透，商业化空间开始打开</w:t>
      </w:r>
    </w:p>
    <w:p w14:paraId="2DEF21F4"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20178B73" wp14:editId="424D7658">
            <wp:extent cx="3345246" cy="2377487"/>
            <wp:effectExtent l="0" t="0" r="7620" b="3810"/>
            <wp:docPr id="154664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9" name=""/>
                    <pic:cNvPicPr/>
                  </pic:nvPicPr>
                  <pic:blipFill>
                    <a:blip r:embed="rId10"/>
                    <a:stretch>
                      <a:fillRect/>
                    </a:stretch>
                  </pic:blipFill>
                  <pic:spPr>
                    <a:xfrm>
                      <a:off x="0" y="0"/>
                      <a:ext cx="3360362" cy="2388230"/>
                    </a:xfrm>
                    <a:prstGeom prst="rect">
                      <a:avLst/>
                    </a:prstGeom>
                  </pic:spPr>
                </pic:pic>
              </a:graphicData>
            </a:graphic>
          </wp:inline>
        </w:drawing>
      </w:r>
    </w:p>
    <w:p w14:paraId="49F6647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行业早期通过Transformer架构</w:t>
      </w:r>
      <w:proofErr w:type="gramStart"/>
      <w:r w:rsidRPr="00660147">
        <w:rPr>
          <w:rFonts w:ascii="楷体" w:eastAsia="楷体" w:hAnsi="楷体" w:hint="eastAsia"/>
          <w:color w:val="000000" w:themeColor="text1"/>
          <w:szCs w:val="22"/>
        </w:rPr>
        <w:t>等突破</w:t>
      </w:r>
      <w:proofErr w:type="gramEnd"/>
      <w:r w:rsidRPr="00660147">
        <w:rPr>
          <w:rFonts w:ascii="楷体" w:eastAsia="楷体" w:hAnsi="楷体" w:hint="eastAsia"/>
          <w:color w:val="000000" w:themeColor="text1"/>
          <w:szCs w:val="22"/>
        </w:rPr>
        <w:t>证明了技术的“可用性”。当前，标志性事件是</w:t>
      </w:r>
      <w:r w:rsidRPr="00660147">
        <w:rPr>
          <w:rFonts w:ascii="楷体" w:eastAsia="楷体" w:hAnsi="楷体" w:hint="eastAsia"/>
          <w:color w:val="000000" w:themeColor="text1"/>
          <w:szCs w:val="22"/>
        </w:rPr>
        <w:lastRenderedPageBreak/>
        <w:t>高性能开源模型（如DeepSeek R1）的出现，它大幅降低了模型使用成本与技术门槛。根据API聚合平台OpenRouter数据，平台大模型Tokens处理量从2025年1月第二周的0.48TB，快速攀升至2026年1月第二周的7.68TB，规模增长16倍，这标志</w:t>
      </w:r>
      <w:proofErr w:type="gramStart"/>
      <w:r w:rsidRPr="00660147">
        <w:rPr>
          <w:rFonts w:ascii="楷体" w:eastAsia="楷体" w:hAnsi="楷体" w:hint="eastAsia"/>
          <w:color w:val="000000" w:themeColor="text1"/>
          <w:szCs w:val="22"/>
        </w:rPr>
        <w:t>着算力需求</w:t>
      </w:r>
      <w:proofErr w:type="gramEnd"/>
      <w:r w:rsidRPr="00660147">
        <w:rPr>
          <w:rFonts w:ascii="楷体" w:eastAsia="楷体" w:hAnsi="楷体" w:hint="eastAsia"/>
          <w:color w:val="000000" w:themeColor="text1"/>
          <w:szCs w:val="22"/>
        </w:rPr>
        <w:t>和应用普及进入高速通道。</w:t>
      </w:r>
    </w:p>
    <w:p w14:paraId="0C79B08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从当前基础大模型所展现出的巨大需求弹性，我们认为大模型行业的杰文斯悖论下的最优化还远未实现。根据杰文斯悖论，</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DeepSeek”时刻后，该新兴产业将会实现“价”减而“量”增。成本的大幅降低并不会带来市场的萎缩，因为需求的弹性较大，因此，市场反而会进入蓬勃发展的阶段。较为经典的例子便是在蒸汽机发明之后，虽然单位煤炭的消耗下降，但由于成本降低和应用范围扩大，煤炭的总需求反而实现了激增。</w:t>
      </w:r>
    </w:p>
    <w:p w14:paraId="33760FD3"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图：杰文斯最优示意图</w:t>
      </w:r>
    </w:p>
    <w:p w14:paraId="5349D0E4"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0C1F752" wp14:editId="1C39C71A">
            <wp:extent cx="4123809" cy="3009524"/>
            <wp:effectExtent l="0" t="0" r="0" b="635"/>
            <wp:docPr id="214654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4168" name=""/>
                    <pic:cNvPicPr/>
                  </pic:nvPicPr>
                  <pic:blipFill>
                    <a:blip r:embed="rId11"/>
                    <a:stretch>
                      <a:fillRect/>
                    </a:stretch>
                  </pic:blipFill>
                  <pic:spPr>
                    <a:xfrm>
                      <a:off x="0" y="0"/>
                      <a:ext cx="4123809" cy="3009524"/>
                    </a:xfrm>
                    <a:prstGeom prst="rect">
                      <a:avLst/>
                    </a:prstGeom>
                  </pic:spPr>
                </pic:pic>
              </a:graphicData>
            </a:graphic>
          </wp:inline>
        </w:drawing>
      </w:r>
    </w:p>
    <w:p w14:paraId="51DFA05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以 DeepSeek 为例，其发布</w:t>
      </w:r>
      <w:proofErr w:type="gramStart"/>
      <w:r w:rsidRPr="00660147">
        <w:rPr>
          <w:rFonts w:ascii="楷体" w:eastAsia="楷体" w:hAnsi="楷体" w:hint="eastAsia"/>
          <w:color w:val="000000" w:themeColor="text1"/>
          <w:szCs w:val="22"/>
        </w:rPr>
        <w:t>后算力</w:t>
      </w:r>
      <w:proofErr w:type="gramEnd"/>
      <w:r w:rsidRPr="00660147">
        <w:rPr>
          <w:rFonts w:ascii="楷体" w:eastAsia="楷体" w:hAnsi="楷体" w:hint="eastAsia"/>
          <w:color w:val="000000" w:themeColor="text1"/>
          <w:szCs w:val="22"/>
        </w:rPr>
        <w:t>用量大幅提升。其推动了 AI 应用真正走向普及，</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进入高速增长通道，也标志着大模型产业正式迈入规模化落地、普惠化应用的新阶段。</w:t>
      </w:r>
    </w:p>
    <w:p w14:paraId="0B17A19F"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图：2024年</w:t>
      </w:r>
      <w:proofErr w:type="gramStart"/>
      <w:r w:rsidRPr="00660147">
        <w:rPr>
          <w:rFonts w:ascii="楷体" w:eastAsia="楷体" w:hAnsi="楷体" w:hint="eastAsia"/>
          <w:color w:val="000000" w:themeColor="text1"/>
          <w:szCs w:val="22"/>
        </w:rPr>
        <w:t>以来算力变化</w:t>
      </w:r>
      <w:proofErr w:type="gramEnd"/>
      <w:r w:rsidRPr="00660147">
        <w:rPr>
          <w:rFonts w:ascii="楷体" w:eastAsia="楷体" w:hAnsi="楷体" w:hint="eastAsia"/>
          <w:color w:val="000000" w:themeColor="text1"/>
          <w:szCs w:val="22"/>
        </w:rPr>
        <w:t>情况一览</w:t>
      </w:r>
    </w:p>
    <w:p w14:paraId="24A00D15" w14:textId="77777777" w:rsidR="004F7E65" w:rsidRPr="00660147" w:rsidRDefault="00000000">
      <w:pPr>
        <w:rPr>
          <w:rFonts w:ascii="楷体" w:eastAsia="楷体" w:hAnsi="楷体" w:hint="eastAsia"/>
          <w:color w:val="000000" w:themeColor="text1"/>
        </w:rPr>
      </w:pPr>
      <w:r w:rsidRPr="00660147">
        <w:rPr>
          <w:rFonts w:ascii="楷体" w:eastAsia="楷体" w:hAnsi="楷体"/>
          <w:noProof/>
          <w:color w:val="000000" w:themeColor="text1"/>
        </w:rPr>
        <w:lastRenderedPageBreak/>
        <w:drawing>
          <wp:inline distT="0" distB="0" distL="0" distR="0" wp14:anchorId="6F9800C4" wp14:editId="3562549E">
            <wp:extent cx="5274310" cy="2657475"/>
            <wp:effectExtent l="0" t="0" r="2540" b="9525"/>
            <wp:docPr id="365476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604" name=""/>
                    <pic:cNvPicPr/>
                  </pic:nvPicPr>
                  <pic:blipFill>
                    <a:blip r:embed="rId12"/>
                    <a:stretch>
                      <a:fillRect/>
                    </a:stretch>
                  </pic:blipFill>
                  <pic:spPr>
                    <a:xfrm>
                      <a:off x="0" y="0"/>
                      <a:ext cx="5274310" cy="2657475"/>
                    </a:xfrm>
                    <a:prstGeom prst="rect">
                      <a:avLst/>
                    </a:prstGeom>
                  </pic:spPr>
                </pic:pic>
              </a:graphicData>
            </a:graphic>
          </wp:inline>
        </w:drawing>
      </w:r>
    </w:p>
    <w:p w14:paraId="2B229A93" w14:textId="6FF69B7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注：不同颜色为</w:t>
      </w:r>
      <w:proofErr w:type="gramStart"/>
      <w:r w:rsidRPr="00660147">
        <w:rPr>
          <w:rFonts w:ascii="楷体" w:eastAsia="楷体" w:hAnsi="楷体" w:hint="eastAsia"/>
          <w:color w:val="000000" w:themeColor="text1"/>
          <w:szCs w:val="22"/>
        </w:rPr>
        <w:t>不同大</w:t>
      </w:r>
      <w:proofErr w:type="gramEnd"/>
      <w:r w:rsidRPr="00660147">
        <w:rPr>
          <w:rFonts w:ascii="楷体" w:eastAsia="楷体" w:hAnsi="楷体" w:hint="eastAsia"/>
          <w:color w:val="000000" w:themeColor="text1"/>
          <w:szCs w:val="22"/>
        </w:rPr>
        <w:t>模型所占比例</w:t>
      </w:r>
      <w:r w:rsidR="00A90954" w:rsidRPr="00660147">
        <w:rPr>
          <w:rFonts w:ascii="楷体" w:eastAsia="楷体" w:hAnsi="楷体" w:hint="eastAsia"/>
          <w:color w:val="000000" w:themeColor="text1"/>
          <w:szCs w:val="22"/>
        </w:rPr>
        <w:t>，此处略</w:t>
      </w:r>
    </w:p>
    <w:p w14:paraId="6990B8DD"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图：近期开源模型引用一览</w:t>
      </w:r>
    </w:p>
    <w:p w14:paraId="7010F0B7" w14:textId="77777777" w:rsidR="004F7E65" w:rsidRPr="00660147" w:rsidRDefault="00000000">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854FD27" wp14:editId="0F808D26">
            <wp:extent cx="5274310" cy="4053205"/>
            <wp:effectExtent l="0" t="0" r="2540" b="4445"/>
            <wp:docPr id="15711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0773" name=""/>
                    <pic:cNvPicPr/>
                  </pic:nvPicPr>
                  <pic:blipFill>
                    <a:blip r:embed="rId13"/>
                    <a:stretch>
                      <a:fillRect/>
                    </a:stretch>
                  </pic:blipFill>
                  <pic:spPr>
                    <a:xfrm>
                      <a:off x="0" y="0"/>
                      <a:ext cx="5274310" cy="4053205"/>
                    </a:xfrm>
                    <a:prstGeom prst="rect">
                      <a:avLst/>
                    </a:prstGeom>
                  </pic:spPr>
                </pic:pic>
              </a:graphicData>
            </a:graphic>
          </wp:inline>
        </w:drawing>
      </w:r>
    </w:p>
    <w:p w14:paraId="54EF950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数据来源：openrouter</w:t>
      </w:r>
    </w:p>
    <w:p w14:paraId="4E29744C" w14:textId="00C095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注：moonshot，即月之暗面，kimi母公司；z-ai，即智谱。</w:t>
      </w:r>
    </w:p>
    <w:p w14:paraId="275F783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同时，技术竞争焦点已从通用能力追赶转向推理能力强化、多模态融合以及Agent（智能体）等成为模型基础标配，标志着技术向“好用”和“能干实事”演进。3中美技术差距已压缩至3-6个月，中国前沿模型综合智能分数逼近海外顶级模型的87%。10</w:t>
      </w:r>
    </w:p>
    <w:p w14:paraId="14942323" w14:textId="0EE61C93" w:rsidR="004F7E65" w:rsidRPr="00660147" w:rsidRDefault="00F405DF">
      <w:pPr>
        <w:pStyle w:val="1"/>
        <w:rPr>
          <w:rFonts w:ascii="楷体" w:eastAsia="楷体" w:hAnsi="楷体" w:hint="eastAsia"/>
          <w:color w:val="000000" w:themeColor="text1"/>
          <w:sz w:val="36"/>
          <w:szCs w:val="36"/>
        </w:rPr>
      </w:pPr>
      <w:bookmarkStart w:id="7" w:name="_Toc228374857"/>
      <w:r w:rsidRPr="00660147">
        <w:rPr>
          <w:rFonts w:ascii="楷体" w:eastAsia="楷体" w:hAnsi="楷体" w:hint="eastAsia"/>
          <w:color w:val="000000" w:themeColor="text1"/>
          <w:sz w:val="36"/>
          <w:szCs w:val="36"/>
        </w:rPr>
        <w:t>2</w:t>
      </w:r>
      <w:r w:rsidR="00043F4A" w:rsidRPr="00660147">
        <w:rPr>
          <w:rFonts w:ascii="楷体" w:eastAsia="楷体" w:hAnsi="楷体" w:hint="eastAsia"/>
          <w:color w:val="000000" w:themeColor="text1"/>
          <w:sz w:val="36"/>
          <w:szCs w:val="36"/>
        </w:rPr>
        <w:t>.产业链与商业模式深度解析</w:t>
      </w:r>
      <w:bookmarkEnd w:id="7"/>
    </w:p>
    <w:p w14:paraId="1214B5EE" w14:textId="1D655110" w:rsidR="004F7E65" w:rsidRPr="00D357CC" w:rsidRDefault="00F405DF">
      <w:pPr>
        <w:pStyle w:val="2"/>
        <w:rPr>
          <w:rFonts w:ascii="楷体" w:eastAsia="楷体" w:hAnsi="楷体" w:hint="eastAsia"/>
          <w:color w:val="000000" w:themeColor="text1"/>
          <w:sz w:val="32"/>
          <w:szCs w:val="32"/>
        </w:rPr>
      </w:pPr>
      <w:bookmarkStart w:id="8" w:name="_Toc228374858"/>
      <w:r w:rsidRPr="00D357CC">
        <w:rPr>
          <w:rFonts w:ascii="楷体" w:eastAsia="楷体" w:hAnsi="楷体" w:hint="eastAsia"/>
          <w:color w:val="000000" w:themeColor="text1"/>
          <w:sz w:val="32"/>
          <w:szCs w:val="32"/>
        </w:rPr>
        <w:t>2.1上中下游产业链图谱</w:t>
      </w:r>
      <w:bookmarkEnd w:id="8"/>
    </w:p>
    <w:p w14:paraId="3F94387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当前，大模型产业已形成层次分明、联动紧密的产业链结构。上游是支撑产业发展</w:t>
      </w:r>
      <w:proofErr w:type="gramStart"/>
      <w:r w:rsidRPr="00660147">
        <w:rPr>
          <w:rFonts w:ascii="楷体" w:eastAsia="楷体" w:hAnsi="楷体" w:hint="eastAsia"/>
          <w:color w:val="000000" w:themeColor="text1"/>
          <w:szCs w:val="22"/>
        </w:rPr>
        <w:t>的算力与</w:t>
      </w:r>
      <w:proofErr w:type="gramEnd"/>
      <w:r w:rsidRPr="00660147">
        <w:rPr>
          <w:rFonts w:ascii="楷体" w:eastAsia="楷体" w:hAnsi="楷体" w:hint="eastAsia"/>
          <w:color w:val="000000" w:themeColor="text1"/>
          <w:szCs w:val="22"/>
        </w:rPr>
        <w:t>数据基石，中游是决定产业高度的模型与平台核心，下游则是实现商业价值的多元化应用场景。三者共同构成了从硬件基础设施到智能应用服务的完整价值链条。</w:t>
      </w:r>
    </w:p>
    <w:p w14:paraId="3447E2C3" w14:textId="5893CFE4" w:rsidR="004F7E65" w:rsidRPr="00D357CC" w:rsidRDefault="00F405DF">
      <w:pPr>
        <w:pStyle w:val="3"/>
        <w:rPr>
          <w:rFonts w:ascii="楷体" w:eastAsia="楷体" w:hAnsi="楷体" w:hint="eastAsia"/>
          <w:color w:val="000000" w:themeColor="text1"/>
          <w:sz w:val="30"/>
          <w:szCs w:val="30"/>
        </w:rPr>
      </w:pPr>
      <w:bookmarkStart w:id="9" w:name="_Toc228374859"/>
      <w:r w:rsidRPr="00D357CC">
        <w:rPr>
          <w:rFonts w:ascii="楷体" w:eastAsia="楷体" w:hAnsi="楷体" w:hint="eastAsia"/>
          <w:color w:val="000000" w:themeColor="text1"/>
          <w:sz w:val="30"/>
          <w:szCs w:val="30"/>
        </w:rPr>
        <w:t>2.1.1上游：</w:t>
      </w:r>
      <w:proofErr w:type="gramStart"/>
      <w:r w:rsidRPr="00D357CC">
        <w:rPr>
          <w:rFonts w:ascii="楷体" w:eastAsia="楷体" w:hAnsi="楷体" w:hint="eastAsia"/>
          <w:color w:val="000000" w:themeColor="text1"/>
          <w:sz w:val="30"/>
          <w:szCs w:val="30"/>
        </w:rPr>
        <w:t>算力与</w:t>
      </w:r>
      <w:proofErr w:type="gramEnd"/>
      <w:r w:rsidRPr="00D357CC">
        <w:rPr>
          <w:rFonts w:ascii="楷体" w:eastAsia="楷体" w:hAnsi="楷体" w:hint="eastAsia"/>
          <w:color w:val="000000" w:themeColor="text1"/>
          <w:sz w:val="30"/>
          <w:szCs w:val="30"/>
        </w:rPr>
        <w:t>数据基石</w:t>
      </w:r>
      <w:bookmarkEnd w:id="9"/>
    </w:p>
    <w:p w14:paraId="44D3140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上游产业链是整个人工智能与大模型产业的物理和数字基础，其核心是提供模型训练与推理所必需</w:t>
      </w:r>
      <w:proofErr w:type="gramStart"/>
      <w:r w:rsidRPr="00660147">
        <w:rPr>
          <w:rFonts w:ascii="楷体" w:eastAsia="楷体" w:hAnsi="楷体" w:hint="eastAsia"/>
          <w:color w:val="000000" w:themeColor="text1"/>
          <w:szCs w:val="22"/>
        </w:rPr>
        <w:t>的算力硬件</w:t>
      </w:r>
      <w:proofErr w:type="gramEnd"/>
      <w:r w:rsidRPr="00660147">
        <w:rPr>
          <w:rFonts w:ascii="楷体" w:eastAsia="楷体" w:hAnsi="楷体" w:hint="eastAsia"/>
          <w:color w:val="000000" w:themeColor="text1"/>
          <w:szCs w:val="22"/>
        </w:rPr>
        <w:t>、</w:t>
      </w:r>
      <w:proofErr w:type="gramStart"/>
      <w:r w:rsidRPr="00660147">
        <w:rPr>
          <w:rFonts w:ascii="楷体" w:eastAsia="楷体" w:hAnsi="楷体" w:hint="eastAsia"/>
          <w:color w:val="000000" w:themeColor="text1"/>
          <w:szCs w:val="22"/>
        </w:rPr>
        <w:t>云计算</w:t>
      </w:r>
      <w:proofErr w:type="gramEnd"/>
      <w:r w:rsidRPr="00660147">
        <w:rPr>
          <w:rFonts w:ascii="楷体" w:eastAsia="楷体" w:hAnsi="楷体" w:hint="eastAsia"/>
          <w:color w:val="000000" w:themeColor="text1"/>
          <w:szCs w:val="22"/>
        </w:rPr>
        <w:t>服务以及高质量数据。这一层的稳定性和先进性直接决定了中游模型研发的效率和成本，是产业发展的先决条件。</w:t>
      </w:r>
    </w:p>
    <w:p w14:paraId="70B42B6E" w14:textId="3562D7D2" w:rsidR="004F7E65" w:rsidRPr="00660147" w:rsidRDefault="00F405DF">
      <w:pPr>
        <w:pStyle w:val="4"/>
        <w:rPr>
          <w:rFonts w:ascii="楷体" w:eastAsia="楷体" w:hAnsi="楷体" w:hint="eastAsia"/>
          <w:color w:val="000000" w:themeColor="text1"/>
        </w:rPr>
      </w:pPr>
      <w:r w:rsidRPr="00660147">
        <w:rPr>
          <w:rFonts w:ascii="楷体" w:eastAsia="楷体" w:hAnsi="楷体" w:hint="eastAsia"/>
          <w:color w:val="000000" w:themeColor="text1"/>
        </w:rPr>
        <w:t>2.1.1.1 核心构成与竞争格局</w:t>
      </w:r>
    </w:p>
    <w:p w14:paraId="4AF3017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上游产业链呈现高度技术密集和资本密集的特征，主要由以下几个关键环节构成：</w:t>
      </w:r>
    </w:p>
    <w:p w14:paraId="678BF849" w14:textId="459F2B59"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算力芯片</w:t>
      </w:r>
      <w:proofErr w:type="gramEnd"/>
      <w:r w:rsidRPr="00660147">
        <w:rPr>
          <w:rFonts w:ascii="楷体" w:eastAsia="楷体" w:hAnsi="楷体" w:hint="eastAsia"/>
          <w:color w:val="000000" w:themeColor="text1"/>
          <w:szCs w:val="22"/>
        </w:rPr>
        <w:t>与硬件：这是</w:t>
      </w:r>
      <w:proofErr w:type="gramStart"/>
      <w:r w:rsidRPr="00660147">
        <w:rPr>
          <w:rFonts w:ascii="楷体" w:eastAsia="楷体" w:hAnsi="楷体" w:hint="eastAsia"/>
          <w:color w:val="000000" w:themeColor="text1"/>
          <w:szCs w:val="22"/>
        </w:rPr>
        <w:t>最</w:t>
      </w:r>
      <w:proofErr w:type="gramEnd"/>
      <w:r w:rsidRPr="00660147">
        <w:rPr>
          <w:rFonts w:ascii="楷体" w:eastAsia="楷体" w:hAnsi="楷体" w:hint="eastAsia"/>
          <w:color w:val="000000" w:themeColor="text1"/>
          <w:szCs w:val="22"/>
        </w:rPr>
        <w:t>核心的环节，包括GPU、AI专用芯片（ASIC）、高带宽内存（HBM）、光模块、交换设备以及液冷、电力等数据中心基础设施。</w:t>
      </w:r>
      <w:r w:rsidR="003A6B8F" w:rsidRPr="00660147">
        <w:rPr>
          <w:rFonts w:ascii="楷体" w:eastAsia="楷体" w:hAnsi="楷体" w:hint="eastAsia"/>
          <w:color w:val="000000" w:themeColor="text1"/>
          <w:szCs w:val="22"/>
        </w:rPr>
        <w:t>封装市场目前由台积电主导，</w:t>
      </w:r>
      <w:r w:rsidR="004F5379" w:rsidRPr="00660147">
        <w:rPr>
          <w:rFonts w:ascii="楷体" w:eastAsia="楷体" w:hAnsi="楷体" w:hint="eastAsia"/>
          <w:color w:val="000000" w:themeColor="text1"/>
          <w:szCs w:val="22"/>
        </w:rPr>
        <w:t>其</w:t>
      </w:r>
      <w:r w:rsidR="004F5379" w:rsidRPr="00660147">
        <w:rPr>
          <w:rFonts w:ascii="楷体" w:eastAsia="楷体" w:hAnsi="楷体"/>
          <w:color w:val="000000" w:themeColor="text1"/>
          <w:szCs w:val="22"/>
        </w:rPr>
        <w:t>CoWoS（Chip on Wafer on Substrate）等2.5D/3D封装技术是HBM与GPU逻辑芯片集成的物理基础，也是当前全球AI</w:t>
      </w:r>
      <w:proofErr w:type="gramStart"/>
      <w:r w:rsidR="004F5379" w:rsidRPr="00660147">
        <w:rPr>
          <w:rFonts w:ascii="楷体" w:eastAsia="楷体" w:hAnsi="楷体"/>
          <w:color w:val="000000" w:themeColor="text1"/>
          <w:szCs w:val="22"/>
        </w:rPr>
        <w:t>算力供应</w:t>
      </w:r>
      <w:proofErr w:type="gramEnd"/>
      <w:r w:rsidR="004F5379" w:rsidRPr="00660147">
        <w:rPr>
          <w:rFonts w:ascii="楷体" w:eastAsia="楷体" w:hAnsi="楷体"/>
          <w:color w:val="000000" w:themeColor="text1"/>
          <w:szCs w:val="22"/>
        </w:rPr>
        <w:t>的</w:t>
      </w:r>
      <w:proofErr w:type="gramStart"/>
      <w:r w:rsidR="004F5379" w:rsidRPr="00660147">
        <w:rPr>
          <w:rFonts w:ascii="楷体" w:eastAsia="楷体" w:hAnsi="楷体"/>
          <w:color w:val="000000" w:themeColor="text1"/>
          <w:szCs w:val="22"/>
        </w:rPr>
        <w:t>最</w:t>
      </w:r>
      <w:proofErr w:type="gramEnd"/>
      <w:r w:rsidR="004F5379" w:rsidRPr="00660147">
        <w:rPr>
          <w:rFonts w:ascii="楷体" w:eastAsia="楷体" w:hAnsi="楷体"/>
          <w:color w:val="000000" w:themeColor="text1"/>
          <w:szCs w:val="22"/>
        </w:rPr>
        <w:t>刚性瓶颈之一</w:t>
      </w:r>
      <w:r w:rsidR="004F5379" w:rsidRPr="00660147">
        <w:rPr>
          <w:rFonts w:ascii="楷体" w:eastAsia="楷体" w:hAnsi="楷体" w:hint="eastAsia"/>
          <w:color w:val="000000" w:themeColor="text1"/>
          <w:szCs w:val="22"/>
        </w:rPr>
        <w:t>。</w:t>
      </w:r>
      <w:r w:rsidR="00ED3460" w:rsidRPr="00660147">
        <w:rPr>
          <w:rFonts w:ascii="楷体" w:eastAsia="楷体" w:hAnsi="楷体" w:hint="eastAsia"/>
          <w:color w:val="000000" w:themeColor="text1"/>
          <w:szCs w:val="22"/>
        </w:rPr>
        <w:t>互联领域则分为上游光电芯片和下游光模块，上游光电芯片方面，以lumentum</w:t>
      </w:r>
      <w:r w:rsidR="00A45C46" w:rsidRPr="00660147">
        <w:rPr>
          <w:rFonts w:ascii="楷体" w:eastAsia="楷体" w:hAnsi="楷体" w:hint="eastAsia"/>
          <w:color w:val="000000" w:themeColor="text1"/>
          <w:szCs w:val="22"/>
        </w:rPr>
        <w:t>，Coherent，Broadcom，住友电工，三菱电机</w:t>
      </w:r>
      <w:r w:rsidR="0032378F" w:rsidRPr="00660147">
        <w:rPr>
          <w:rFonts w:ascii="楷体" w:eastAsia="楷体" w:hAnsi="楷体" w:hint="eastAsia"/>
          <w:color w:val="000000" w:themeColor="text1"/>
          <w:szCs w:val="22"/>
        </w:rPr>
        <w:t>，Marvell</w:t>
      </w:r>
      <w:r w:rsidR="00A45C46" w:rsidRPr="00660147">
        <w:rPr>
          <w:rFonts w:ascii="楷体" w:eastAsia="楷体" w:hAnsi="楷体" w:hint="eastAsia"/>
          <w:color w:val="000000" w:themeColor="text1"/>
          <w:szCs w:val="22"/>
        </w:rPr>
        <w:t>等占据优势</w:t>
      </w:r>
      <w:r w:rsidR="00BD1B9F" w:rsidRPr="00660147">
        <w:rPr>
          <w:rFonts w:ascii="楷体" w:eastAsia="楷体" w:hAnsi="楷体" w:hint="eastAsia"/>
          <w:color w:val="000000" w:themeColor="text1"/>
          <w:szCs w:val="22"/>
        </w:rPr>
        <w:t>，高端光电芯片</w:t>
      </w:r>
      <w:proofErr w:type="gramStart"/>
      <w:r w:rsidR="00BD1B9F" w:rsidRPr="00660147">
        <w:rPr>
          <w:rFonts w:ascii="楷体" w:eastAsia="楷体" w:hAnsi="楷体" w:hint="eastAsia"/>
          <w:color w:val="000000" w:themeColor="text1"/>
          <w:szCs w:val="22"/>
        </w:rPr>
        <w:t>现严重</w:t>
      </w:r>
      <w:proofErr w:type="gramEnd"/>
      <w:r w:rsidR="00BD1B9F" w:rsidRPr="00660147">
        <w:rPr>
          <w:rFonts w:ascii="楷体" w:eastAsia="楷体" w:hAnsi="楷体" w:hint="eastAsia"/>
          <w:color w:val="000000" w:themeColor="text1"/>
          <w:szCs w:val="22"/>
        </w:rPr>
        <w:t>依赖进口，低端芯片已实现国产化替代。下游光模块封装上，则以国内</w:t>
      </w:r>
      <w:r w:rsidR="009609A0" w:rsidRPr="00660147">
        <w:rPr>
          <w:rFonts w:ascii="楷体" w:eastAsia="楷体" w:hAnsi="楷体" w:hint="eastAsia"/>
          <w:color w:val="000000" w:themeColor="text1"/>
          <w:szCs w:val="22"/>
        </w:rPr>
        <w:t>新易盛，中</w:t>
      </w:r>
      <w:proofErr w:type="gramStart"/>
      <w:r w:rsidR="009609A0" w:rsidRPr="00660147">
        <w:rPr>
          <w:rFonts w:ascii="楷体" w:eastAsia="楷体" w:hAnsi="楷体" w:hint="eastAsia"/>
          <w:color w:val="000000" w:themeColor="text1"/>
          <w:szCs w:val="22"/>
        </w:rPr>
        <w:t>际旭创</w:t>
      </w:r>
      <w:proofErr w:type="gramEnd"/>
      <w:r w:rsidR="009609A0" w:rsidRPr="00660147">
        <w:rPr>
          <w:rFonts w:ascii="楷体" w:eastAsia="楷体" w:hAnsi="楷体" w:hint="eastAsia"/>
          <w:color w:val="000000" w:themeColor="text1"/>
          <w:szCs w:val="22"/>
        </w:rPr>
        <w:t>等企业为龙头，技术突破迅速，高性能高带宽产能在2026年持续放量。</w:t>
      </w:r>
      <w:proofErr w:type="gramStart"/>
      <w:r w:rsidR="003A6B8F" w:rsidRPr="00660147">
        <w:rPr>
          <w:rFonts w:ascii="楷体" w:eastAsia="楷体" w:hAnsi="楷体" w:hint="eastAsia"/>
          <w:color w:val="000000" w:themeColor="text1"/>
          <w:szCs w:val="22"/>
        </w:rPr>
        <w:t>算力单元</w:t>
      </w:r>
      <w:proofErr w:type="gramEnd"/>
      <w:r w:rsidRPr="00660147">
        <w:rPr>
          <w:rFonts w:ascii="楷体" w:eastAsia="楷体" w:hAnsi="楷体" w:hint="eastAsia"/>
          <w:color w:val="000000" w:themeColor="text1"/>
          <w:szCs w:val="22"/>
        </w:rPr>
        <w:t>全球市场由</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主导，其凭借CUDA生态占据了超过80%的高性能AI芯片市场份额。国内华为昇腾、寒武纪、壁</w:t>
      </w:r>
      <w:proofErr w:type="gramStart"/>
      <w:r w:rsidRPr="00660147">
        <w:rPr>
          <w:rFonts w:ascii="楷体" w:eastAsia="楷体" w:hAnsi="楷体" w:hint="eastAsia"/>
          <w:color w:val="000000" w:themeColor="text1"/>
          <w:szCs w:val="22"/>
        </w:rPr>
        <w:t>仞</w:t>
      </w:r>
      <w:proofErr w:type="gramEnd"/>
      <w:r w:rsidRPr="00660147">
        <w:rPr>
          <w:rFonts w:ascii="楷体" w:eastAsia="楷体" w:hAnsi="楷体" w:hint="eastAsia"/>
          <w:color w:val="000000" w:themeColor="text1"/>
          <w:szCs w:val="22"/>
        </w:rPr>
        <w:t>科技</w:t>
      </w:r>
      <w:r w:rsidR="00BC107F" w:rsidRPr="00660147">
        <w:rPr>
          <w:rFonts w:ascii="楷体" w:eastAsia="楷体" w:hAnsi="楷体" w:hint="eastAsia"/>
          <w:color w:val="000000" w:themeColor="text1"/>
          <w:szCs w:val="22"/>
        </w:rPr>
        <w:t>、摩尔线程</w:t>
      </w:r>
      <w:r w:rsidRPr="00660147">
        <w:rPr>
          <w:rFonts w:ascii="楷体" w:eastAsia="楷体" w:hAnsi="楷体" w:hint="eastAsia"/>
          <w:color w:val="000000" w:themeColor="text1"/>
          <w:szCs w:val="22"/>
        </w:rPr>
        <w:t>等厂商正加快自</w:t>
      </w:r>
      <w:proofErr w:type="gramStart"/>
      <w:r w:rsidRPr="00660147">
        <w:rPr>
          <w:rFonts w:ascii="楷体" w:eastAsia="楷体" w:hAnsi="楷体" w:hint="eastAsia"/>
          <w:color w:val="000000" w:themeColor="text1"/>
          <w:szCs w:val="22"/>
        </w:rPr>
        <w:t>研</w:t>
      </w:r>
      <w:proofErr w:type="gramEnd"/>
      <w:r w:rsidRPr="00660147">
        <w:rPr>
          <w:rFonts w:ascii="楷体" w:eastAsia="楷体" w:hAnsi="楷体" w:hint="eastAsia"/>
          <w:color w:val="000000" w:themeColor="text1"/>
          <w:szCs w:val="22"/>
        </w:rPr>
        <w:t>步伐，致力于构建自主可控</w:t>
      </w:r>
      <w:proofErr w:type="gramStart"/>
      <w:r w:rsidRPr="00660147">
        <w:rPr>
          <w:rFonts w:ascii="楷体" w:eastAsia="楷体" w:hAnsi="楷体" w:hint="eastAsia"/>
          <w:color w:val="000000" w:themeColor="text1"/>
          <w:szCs w:val="22"/>
        </w:rPr>
        <w:t>的算力底座</w:t>
      </w:r>
      <w:proofErr w:type="gramEnd"/>
      <w:r w:rsidRPr="00660147">
        <w:rPr>
          <w:rFonts w:ascii="楷体" w:eastAsia="楷体" w:hAnsi="楷体" w:hint="eastAsia"/>
          <w:color w:val="000000" w:themeColor="text1"/>
          <w:szCs w:val="22"/>
        </w:rPr>
        <w:t>。</w:t>
      </w:r>
    </w:p>
    <w:p w14:paraId="7FC10259" w14:textId="1B5E06DF"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云计算</w:t>
      </w:r>
      <w:proofErr w:type="gramEnd"/>
      <w:r w:rsidRPr="00660147">
        <w:rPr>
          <w:rFonts w:ascii="楷体" w:eastAsia="楷体" w:hAnsi="楷体" w:hint="eastAsia"/>
          <w:color w:val="000000" w:themeColor="text1"/>
          <w:szCs w:val="22"/>
        </w:rPr>
        <w:t>平台：为模型训练和部署提供</w:t>
      </w:r>
      <w:proofErr w:type="gramStart"/>
      <w:r w:rsidRPr="00660147">
        <w:rPr>
          <w:rFonts w:ascii="楷体" w:eastAsia="楷体" w:hAnsi="楷体" w:hint="eastAsia"/>
          <w:color w:val="000000" w:themeColor="text1"/>
          <w:szCs w:val="22"/>
        </w:rPr>
        <w:t>弹性算力服务</w:t>
      </w:r>
      <w:proofErr w:type="gramEnd"/>
      <w:r w:rsidRPr="00660147">
        <w:rPr>
          <w:rFonts w:ascii="楷体" w:eastAsia="楷体" w:hAnsi="楷体" w:hint="eastAsia"/>
          <w:color w:val="000000" w:themeColor="text1"/>
          <w:szCs w:val="22"/>
        </w:rPr>
        <w:t>。全球市场由AWS、Azure、谷歌云主导，合计占据超70%份额。国内阿里云、华为云、</w:t>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szCs w:val="22"/>
        </w:rPr>
        <w:t>是主要参与者，正持续加大AI</w:t>
      </w:r>
      <w:proofErr w:type="gramStart"/>
      <w:r w:rsidRPr="00660147">
        <w:rPr>
          <w:rFonts w:ascii="楷体" w:eastAsia="楷体" w:hAnsi="楷体" w:hint="eastAsia"/>
          <w:color w:val="000000" w:themeColor="text1"/>
          <w:szCs w:val="22"/>
        </w:rPr>
        <w:t>算力投入</w:t>
      </w:r>
      <w:proofErr w:type="gramEnd"/>
      <w:r w:rsidRPr="00660147">
        <w:rPr>
          <w:rFonts w:ascii="楷体" w:eastAsia="楷体" w:hAnsi="楷体" w:hint="eastAsia"/>
          <w:color w:val="000000" w:themeColor="text1"/>
          <w:szCs w:val="22"/>
        </w:rPr>
        <w:t>，例如阿里</w:t>
      </w:r>
      <w:proofErr w:type="gramStart"/>
      <w:r w:rsidRPr="00660147">
        <w:rPr>
          <w:rFonts w:ascii="楷体" w:eastAsia="楷体" w:hAnsi="楷体" w:hint="eastAsia"/>
          <w:color w:val="000000" w:themeColor="text1"/>
          <w:szCs w:val="22"/>
        </w:rPr>
        <w:t>云计划</w:t>
      </w:r>
      <w:proofErr w:type="gramEnd"/>
      <w:r w:rsidRPr="00660147">
        <w:rPr>
          <w:rFonts w:ascii="楷体" w:eastAsia="楷体" w:hAnsi="楷体" w:hint="eastAsia"/>
          <w:color w:val="000000" w:themeColor="text1"/>
          <w:szCs w:val="22"/>
        </w:rPr>
        <w:t>未来三年投入524亿美元扩充AI算力。</w:t>
      </w:r>
      <w:r w:rsidR="0061323D" w:rsidRPr="00660147">
        <w:rPr>
          <w:rFonts w:ascii="楷体" w:eastAsia="楷体" w:hAnsi="楷体" w:hint="eastAsia"/>
          <w:color w:val="000000" w:themeColor="text1"/>
          <w:szCs w:val="22"/>
        </w:rPr>
        <w:t>同时国家也在这一领域进行加码，</w:t>
      </w:r>
      <w:r w:rsidR="0061323D" w:rsidRPr="00660147">
        <w:rPr>
          <w:rFonts w:ascii="楷体" w:eastAsia="楷体" w:hAnsi="楷体"/>
          <w:color w:val="000000" w:themeColor="text1"/>
          <w:szCs w:val="22"/>
        </w:rPr>
        <w:t>国内"</w:t>
      </w:r>
      <w:proofErr w:type="gramStart"/>
      <w:r w:rsidR="0061323D" w:rsidRPr="00660147">
        <w:rPr>
          <w:rFonts w:ascii="楷体" w:eastAsia="楷体" w:hAnsi="楷体"/>
          <w:color w:val="000000" w:themeColor="text1"/>
          <w:szCs w:val="22"/>
        </w:rPr>
        <w:t>东数西</w:t>
      </w:r>
      <w:proofErr w:type="gramEnd"/>
      <w:r w:rsidR="0061323D" w:rsidRPr="00660147">
        <w:rPr>
          <w:rFonts w:ascii="楷体" w:eastAsia="楷体" w:hAnsi="楷体"/>
          <w:color w:val="000000" w:themeColor="text1"/>
          <w:szCs w:val="22"/>
        </w:rPr>
        <w:t>算"工程下</w:t>
      </w:r>
      <w:proofErr w:type="gramStart"/>
      <w:r w:rsidR="0061323D" w:rsidRPr="00660147">
        <w:rPr>
          <w:rFonts w:ascii="楷体" w:eastAsia="楷体" w:hAnsi="楷体"/>
          <w:color w:val="000000" w:themeColor="text1"/>
          <w:szCs w:val="22"/>
        </w:rPr>
        <w:t>的智算中心</w:t>
      </w:r>
      <w:proofErr w:type="gramEnd"/>
      <w:r w:rsidR="0061323D" w:rsidRPr="00660147">
        <w:rPr>
          <w:rFonts w:ascii="楷体" w:eastAsia="楷体" w:hAnsi="楷体" w:hint="eastAsia"/>
          <w:color w:val="000000" w:themeColor="text1"/>
          <w:szCs w:val="22"/>
        </w:rPr>
        <w:t>正逐渐完成建设与投入运营，其</w:t>
      </w:r>
      <w:r w:rsidR="0061323D" w:rsidRPr="00660147">
        <w:rPr>
          <w:rFonts w:ascii="楷体" w:eastAsia="楷体" w:hAnsi="楷体"/>
          <w:color w:val="000000" w:themeColor="text1"/>
          <w:szCs w:val="22"/>
        </w:rPr>
        <w:t>与传统</w:t>
      </w:r>
      <w:proofErr w:type="gramStart"/>
      <w:r w:rsidR="0061323D" w:rsidRPr="00660147">
        <w:rPr>
          <w:rFonts w:ascii="楷体" w:eastAsia="楷体" w:hAnsi="楷体"/>
          <w:color w:val="000000" w:themeColor="text1"/>
          <w:szCs w:val="22"/>
        </w:rPr>
        <w:t>云计算</w:t>
      </w:r>
      <w:proofErr w:type="gramEnd"/>
      <w:r w:rsidR="0061323D" w:rsidRPr="00660147">
        <w:rPr>
          <w:rFonts w:ascii="楷体" w:eastAsia="楷体" w:hAnsi="楷体"/>
          <w:color w:val="000000" w:themeColor="text1"/>
          <w:szCs w:val="22"/>
        </w:rPr>
        <w:t>在计费模式（裸金属租赁、算力</w:t>
      </w:r>
      <w:proofErr w:type="gramStart"/>
      <w:r w:rsidR="0061323D" w:rsidRPr="00660147">
        <w:rPr>
          <w:rFonts w:ascii="楷体" w:eastAsia="楷体" w:hAnsi="楷体"/>
          <w:color w:val="000000" w:themeColor="text1"/>
          <w:szCs w:val="22"/>
        </w:rPr>
        <w:t>券</w:t>
      </w:r>
      <w:proofErr w:type="gramEnd"/>
      <w:r w:rsidR="0061323D" w:rsidRPr="00660147">
        <w:rPr>
          <w:rFonts w:ascii="楷体" w:eastAsia="楷体" w:hAnsi="楷体"/>
          <w:color w:val="000000" w:themeColor="text1"/>
          <w:szCs w:val="22"/>
        </w:rPr>
        <w:t>）、网络拓扑（无损以太网</w:t>
      </w:r>
      <w:r w:rsidR="0061323D" w:rsidRPr="00660147">
        <w:rPr>
          <w:rFonts w:ascii="楷体" w:eastAsia="楷体" w:hAnsi="楷体"/>
          <w:color w:val="000000" w:themeColor="text1"/>
          <w:szCs w:val="22"/>
        </w:rPr>
        <w:lastRenderedPageBreak/>
        <w:t>/InfiniBand）和能耗密度（液冷渗透率）上差异显著。</w:t>
      </w:r>
      <w:r w:rsidR="003A6B8F" w:rsidRPr="00660147">
        <w:rPr>
          <w:rFonts w:ascii="楷体" w:eastAsia="楷体" w:hAnsi="楷体" w:hint="eastAsia"/>
          <w:color w:val="000000" w:themeColor="text1"/>
          <w:szCs w:val="22"/>
        </w:rPr>
        <w:t>在此</w:t>
      </w:r>
      <w:r w:rsidR="0061323D" w:rsidRPr="00660147">
        <w:rPr>
          <w:rFonts w:ascii="楷体" w:eastAsia="楷体" w:hAnsi="楷体"/>
          <w:color w:val="000000" w:themeColor="text1"/>
          <w:szCs w:val="22"/>
        </w:rPr>
        <w:t>之外，地方国</w:t>
      </w:r>
      <w:proofErr w:type="gramStart"/>
      <w:r w:rsidR="0061323D" w:rsidRPr="00660147">
        <w:rPr>
          <w:rFonts w:ascii="楷体" w:eastAsia="楷体" w:hAnsi="楷体"/>
          <w:color w:val="000000" w:themeColor="text1"/>
          <w:szCs w:val="22"/>
        </w:rPr>
        <w:t>资智算</w:t>
      </w:r>
      <w:proofErr w:type="gramEnd"/>
      <w:r w:rsidR="0061323D" w:rsidRPr="00660147">
        <w:rPr>
          <w:rFonts w:ascii="楷体" w:eastAsia="楷体" w:hAnsi="楷体"/>
          <w:color w:val="000000" w:themeColor="text1"/>
          <w:szCs w:val="22"/>
        </w:rPr>
        <w:t>平台（如</w:t>
      </w:r>
      <w:proofErr w:type="gramStart"/>
      <w:r w:rsidR="0061323D" w:rsidRPr="00660147">
        <w:rPr>
          <w:rFonts w:ascii="楷体" w:eastAsia="楷体" w:hAnsi="楷体"/>
          <w:color w:val="000000" w:themeColor="text1"/>
          <w:szCs w:val="22"/>
        </w:rPr>
        <w:t>各地算力集团</w:t>
      </w:r>
      <w:proofErr w:type="gramEnd"/>
      <w:r w:rsidR="0061323D" w:rsidRPr="00660147">
        <w:rPr>
          <w:rFonts w:ascii="楷体" w:eastAsia="楷体" w:hAnsi="楷体"/>
          <w:color w:val="000000" w:themeColor="text1"/>
          <w:szCs w:val="22"/>
        </w:rPr>
        <w:t>）也是上游的重要参与者。</w:t>
      </w:r>
    </w:p>
    <w:p w14:paraId="2A841DE0" w14:textId="5918FA54"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数据服务：涵盖数据采集、清洗、标注及治理。高质量、大规模、多模态的数据是训练高性能模型的“燃料”。</w:t>
      </w:r>
      <w:r w:rsidR="000A0741" w:rsidRPr="00660147">
        <w:rPr>
          <w:rFonts w:ascii="楷体" w:eastAsia="楷体" w:hAnsi="楷体" w:hint="eastAsia"/>
          <w:color w:val="000000" w:themeColor="text1"/>
          <w:szCs w:val="22"/>
        </w:rPr>
        <w:t>在数据科学领域，</w:t>
      </w:r>
      <w:r w:rsidRPr="00660147">
        <w:rPr>
          <w:rFonts w:ascii="楷体" w:eastAsia="楷体" w:hAnsi="楷体" w:hint="eastAsia"/>
          <w:color w:val="000000" w:themeColor="text1"/>
          <w:szCs w:val="22"/>
        </w:rPr>
        <w:t>数据质量直接决定模型效果，研究表明约90%的模型问题源于数据而非架构。</w:t>
      </w:r>
    </w:p>
    <w:p w14:paraId="297AD27F" w14:textId="3F16D926" w:rsidR="004F7E65" w:rsidRPr="00660147" w:rsidRDefault="006C2E81">
      <w:pPr>
        <w:pStyle w:val="4"/>
        <w:rPr>
          <w:rFonts w:ascii="楷体" w:eastAsia="楷体" w:hAnsi="楷体" w:hint="eastAsia"/>
          <w:color w:val="000000" w:themeColor="text1"/>
        </w:rPr>
      </w:pPr>
      <w:r w:rsidRPr="00660147">
        <w:rPr>
          <w:rFonts w:ascii="楷体" w:eastAsia="楷体" w:hAnsi="楷体" w:hint="eastAsia"/>
          <w:color w:val="000000" w:themeColor="text1"/>
        </w:rPr>
        <w:t>2.1.1.2 发展趋势</w:t>
      </w:r>
    </w:p>
    <w:p w14:paraId="67EA2DD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上游产业正经历深刻变革，投资逻辑从单纯的“囤积算力”转向“核算单位产出成本”。</w:t>
      </w:r>
    </w:p>
    <w:p w14:paraId="1DEDC4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需求结构转变上，随着大模型进入规模化应用阶段，推理</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正历史性地超越训练算力。根据行业预测，2026年推理型AI服务器在整体出货结构中的比重有望提升至44%。推理任务更关注能耗、稳定性和</w:t>
      </w:r>
      <w:proofErr w:type="gramStart"/>
      <w:r w:rsidRPr="00660147">
        <w:rPr>
          <w:rFonts w:ascii="楷体" w:eastAsia="楷体" w:hAnsi="楷体" w:hint="eastAsia"/>
          <w:color w:val="000000" w:themeColor="text1"/>
          <w:szCs w:val="22"/>
        </w:rPr>
        <w:t>总拥有</w:t>
      </w:r>
      <w:proofErr w:type="gramEnd"/>
      <w:r w:rsidRPr="00660147">
        <w:rPr>
          <w:rFonts w:ascii="楷体" w:eastAsia="楷体" w:hAnsi="楷体" w:hint="eastAsia"/>
          <w:color w:val="000000" w:themeColor="text1"/>
          <w:szCs w:val="22"/>
        </w:rPr>
        <w:t>成本（TCO），这为在能效比上有优势的国产芯片提供了切入窗口。</w:t>
      </w:r>
    </w:p>
    <w:p w14:paraId="458EFD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采购标准变化上，客户不再只追求</w:t>
      </w:r>
      <w:proofErr w:type="gramStart"/>
      <w:r w:rsidRPr="00660147">
        <w:rPr>
          <w:rFonts w:ascii="楷体" w:eastAsia="楷体" w:hAnsi="楷体" w:hint="eastAsia"/>
          <w:color w:val="000000" w:themeColor="text1"/>
          <w:szCs w:val="22"/>
        </w:rPr>
        <w:t>单卡算力峰值</w:t>
      </w:r>
      <w:proofErr w:type="gramEnd"/>
      <w:r w:rsidRPr="00660147">
        <w:rPr>
          <w:rFonts w:ascii="楷体" w:eastAsia="楷体" w:hAnsi="楷体" w:hint="eastAsia"/>
          <w:color w:val="000000" w:themeColor="text1"/>
          <w:szCs w:val="22"/>
        </w:rPr>
        <w:t>，而是开始计算“每元投入能换取多少Token吞吐量”、“每瓦电能处理多少Token”。这种转变使得具备性价比和供应安全优势的国产</w:t>
      </w:r>
      <w:proofErr w:type="gramStart"/>
      <w:r w:rsidRPr="00660147">
        <w:rPr>
          <w:rFonts w:ascii="楷体" w:eastAsia="楷体" w:hAnsi="楷体" w:hint="eastAsia"/>
          <w:color w:val="000000" w:themeColor="text1"/>
          <w:szCs w:val="22"/>
        </w:rPr>
        <w:t>算力方案</w:t>
      </w:r>
      <w:proofErr w:type="gramEnd"/>
      <w:r w:rsidRPr="00660147">
        <w:rPr>
          <w:rFonts w:ascii="楷体" w:eastAsia="楷体" w:hAnsi="楷体" w:hint="eastAsia"/>
          <w:color w:val="000000" w:themeColor="text1"/>
          <w:szCs w:val="22"/>
        </w:rPr>
        <w:t>吸引力增强。</w:t>
      </w:r>
    </w:p>
    <w:p w14:paraId="0880885F" w14:textId="2291CA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技术迭代驱动上，稀疏化、模型蒸馏、量化等模型压缩技术能有效降低训练和推理成本，</w:t>
      </w:r>
      <w:proofErr w:type="gramStart"/>
      <w:r w:rsidRPr="00660147">
        <w:rPr>
          <w:rFonts w:ascii="楷体" w:eastAsia="楷体" w:hAnsi="楷体" w:hint="eastAsia"/>
          <w:color w:val="000000" w:themeColor="text1"/>
          <w:szCs w:val="22"/>
        </w:rPr>
        <w:t>缓解算力压力</w:t>
      </w:r>
      <w:proofErr w:type="gramEnd"/>
      <w:r w:rsidRPr="00660147">
        <w:rPr>
          <w:rFonts w:ascii="楷体" w:eastAsia="楷体" w:hAnsi="楷体" w:hint="eastAsia"/>
          <w:color w:val="000000" w:themeColor="text1"/>
          <w:szCs w:val="22"/>
        </w:rPr>
        <w:t>。同时，AI自动数据优化与标注技术也在发展，以降低数据准备阶段的人工成本。</w:t>
      </w:r>
    </w:p>
    <w:p w14:paraId="45FC633A" w14:textId="311C357C" w:rsidR="004F7E65" w:rsidRPr="00D357CC" w:rsidRDefault="006C2E81">
      <w:pPr>
        <w:pStyle w:val="3"/>
        <w:rPr>
          <w:rFonts w:ascii="楷体" w:eastAsia="楷体" w:hAnsi="楷体" w:hint="eastAsia"/>
          <w:color w:val="000000" w:themeColor="text1"/>
          <w:sz w:val="30"/>
          <w:szCs w:val="30"/>
        </w:rPr>
      </w:pPr>
      <w:bookmarkStart w:id="10" w:name="_Toc228374860"/>
      <w:r w:rsidRPr="00D357CC">
        <w:rPr>
          <w:rFonts w:ascii="楷体" w:eastAsia="楷体" w:hAnsi="楷体" w:hint="eastAsia"/>
          <w:color w:val="000000" w:themeColor="text1"/>
          <w:sz w:val="30"/>
          <w:szCs w:val="30"/>
        </w:rPr>
        <w:t>2.1.2中游：模型与平台核心</w:t>
      </w:r>
      <w:bookmarkEnd w:id="10"/>
    </w:p>
    <w:p w14:paraId="7E7783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中游产业链是大模型产业的技术中枢和价值创造核心，聚焦于基础大模型的研发、训练、优化以及将其能力标准化输出的平台服务。这一层直接决定了产业智能水平的上限和商业化拓展的广度。</w:t>
      </w:r>
    </w:p>
    <w:p w14:paraId="49F0771E" w14:textId="7FC57B37"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2.1.2.1 核心构成与竞争格局</w:t>
      </w:r>
    </w:p>
    <w:p w14:paraId="29169A08" w14:textId="37656DC4"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中游已形成多元化的竞争生态，参与者主要包括独立大模型厂商、互联网科技巨头以及开源社区</w:t>
      </w:r>
      <w:r w:rsidR="00CE7213" w:rsidRPr="00660147">
        <w:rPr>
          <w:rFonts w:ascii="楷体" w:eastAsia="楷体" w:hAnsi="楷体" w:hint="eastAsia"/>
          <w:color w:val="000000" w:themeColor="text1"/>
          <w:szCs w:val="22"/>
        </w:rPr>
        <w:t>，细节将在3.2参与者类型中进行讨论</w:t>
      </w:r>
      <w:r w:rsidRPr="00660147">
        <w:rPr>
          <w:rFonts w:ascii="楷体" w:eastAsia="楷体" w:hAnsi="楷体" w:hint="eastAsia"/>
          <w:color w:val="000000" w:themeColor="text1"/>
          <w:szCs w:val="22"/>
        </w:rPr>
        <w:t>。</w:t>
      </w:r>
    </w:p>
    <w:p w14:paraId="63200078" w14:textId="22506CEC"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模型层（核心引擎）致力于研发通用或垂直领域的大模型。全球范围内，</w:t>
      </w:r>
      <w:r w:rsidR="007F6AB9" w:rsidRPr="00660147">
        <w:rPr>
          <w:rFonts w:ascii="楷体" w:eastAsia="楷体" w:hAnsi="楷体" w:hint="eastAsia"/>
          <w:color w:val="000000" w:themeColor="text1"/>
          <w:szCs w:val="22"/>
        </w:rPr>
        <w:t>产业整体</w:t>
      </w:r>
      <w:proofErr w:type="gramStart"/>
      <w:r w:rsidR="007F6AB9" w:rsidRPr="00660147">
        <w:rPr>
          <w:rFonts w:ascii="楷体" w:eastAsia="楷体" w:hAnsi="楷体" w:hint="eastAsia"/>
          <w:color w:val="000000" w:themeColor="text1"/>
          <w:szCs w:val="22"/>
        </w:rPr>
        <w:t>以闭源为主</w:t>
      </w:r>
      <w:proofErr w:type="gramEnd"/>
      <w:r w:rsidR="007F6AB9"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OpenAI、Google、Anthropic等</w:t>
      </w:r>
      <w:proofErr w:type="gramStart"/>
      <w:r w:rsidRPr="00660147">
        <w:rPr>
          <w:rFonts w:ascii="楷体" w:eastAsia="楷体" w:hAnsi="楷体" w:hint="eastAsia"/>
          <w:color w:val="000000" w:themeColor="text1"/>
          <w:szCs w:val="22"/>
        </w:rPr>
        <w:t>处于闭源模型</w:t>
      </w:r>
      <w:proofErr w:type="gramEnd"/>
      <w:r w:rsidRPr="00660147">
        <w:rPr>
          <w:rFonts w:ascii="楷体" w:eastAsia="楷体" w:hAnsi="楷体" w:hint="eastAsia"/>
          <w:color w:val="000000" w:themeColor="text1"/>
          <w:szCs w:val="22"/>
        </w:rPr>
        <w:t>领先地位，Meta的Llama系列</w:t>
      </w:r>
      <w:r w:rsidR="007F6AB9" w:rsidRPr="00660147">
        <w:rPr>
          <w:rFonts w:ascii="楷体" w:eastAsia="楷体" w:hAnsi="楷体" w:hint="eastAsia"/>
          <w:color w:val="000000" w:themeColor="text1"/>
          <w:szCs w:val="22"/>
        </w:rPr>
        <w:t>一度</w:t>
      </w:r>
      <w:r w:rsidRPr="00660147">
        <w:rPr>
          <w:rFonts w:ascii="楷体" w:eastAsia="楷体" w:hAnsi="楷体" w:hint="eastAsia"/>
          <w:color w:val="000000" w:themeColor="text1"/>
          <w:szCs w:val="22"/>
        </w:rPr>
        <w:t>激活开源生态</w:t>
      </w:r>
      <w:r w:rsidR="007F6AB9" w:rsidRPr="00660147">
        <w:rPr>
          <w:rFonts w:ascii="楷体" w:eastAsia="楷体" w:hAnsi="楷体" w:hint="eastAsia"/>
          <w:color w:val="000000" w:themeColor="text1"/>
          <w:szCs w:val="22"/>
        </w:rPr>
        <w:t>，但最终也转向闭源</w:t>
      </w:r>
      <w:r w:rsidRPr="00660147">
        <w:rPr>
          <w:rFonts w:ascii="楷体" w:eastAsia="楷体" w:hAnsi="楷体" w:hint="eastAsia"/>
          <w:color w:val="000000" w:themeColor="text1"/>
          <w:szCs w:val="22"/>
        </w:rPr>
        <w:t>。中国</w:t>
      </w:r>
      <w:r w:rsidR="009C17F5" w:rsidRPr="00660147">
        <w:rPr>
          <w:rFonts w:ascii="楷体" w:eastAsia="楷体" w:hAnsi="楷体" w:hint="eastAsia"/>
          <w:color w:val="000000" w:themeColor="text1"/>
          <w:szCs w:val="22"/>
        </w:rPr>
        <w:t>也</w:t>
      </w:r>
      <w:r w:rsidRPr="00660147">
        <w:rPr>
          <w:rFonts w:ascii="楷体" w:eastAsia="楷体" w:hAnsi="楷体" w:hint="eastAsia"/>
          <w:color w:val="000000" w:themeColor="text1"/>
          <w:szCs w:val="22"/>
        </w:rPr>
        <w:t>形成</w:t>
      </w:r>
      <w:proofErr w:type="gramStart"/>
      <w:r w:rsidR="009C17F5" w:rsidRPr="00660147">
        <w:rPr>
          <w:rFonts w:ascii="楷体" w:eastAsia="楷体" w:hAnsi="楷体" w:hint="eastAsia"/>
          <w:color w:val="000000" w:themeColor="text1"/>
          <w:szCs w:val="22"/>
        </w:rPr>
        <w:t>类似</w:t>
      </w:r>
      <w:r w:rsidRPr="00660147">
        <w:rPr>
          <w:rFonts w:ascii="楷体" w:eastAsia="楷体" w:hAnsi="楷体" w:hint="eastAsia"/>
          <w:color w:val="000000" w:themeColor="text1"/>
          <w:szCs w:val="22"/>
        </w:rPr>
        <w:t>发展</w:t>
      </w:r>
      <w:proofErr w:type="gramEnd"/>
      <w:r w:rsidRPr="00660147">
        <w:rPr>
          <w:rFonts w:ascii="楷体" w:eastAsia="楷体" w:hAnsi="楷体" w:hint="eastAsia"/>
          <w:color w:val="000000" w:themeColor="text1"/>
          <w:szCs w:val="22"/>
        </w:rPr>
        <w:t>路径，</w:t>
      </w:r>
      <w:r w:rsidR="00FB78B9" w:rsidRPr="00660147">
        <w:rPr>
          <w:rFonts w:ascii="楷体" w:eastAsia="楷体" w:hAnsi="楷体" w:hint="eastAsia"/>
          <w:color w:val="000000" w:themeColor="text1"/>
          <w:szCs w:val="22"/>
        </w:rPr>
        <w:t>整体</w:t>
      </w:r>
      <w:proofErr w:type="gramStart"/>
      <w:r w:rsidR="00FB78B9" w:rsidRPr="00660147">
        <w:rPr>
          <w:rFonts w:ascii="楷体" w:eastAsia="楷体" w:hAnsi="楷体" w:hint="eastAsia"/>
          <w:color w:val="000000" w:themeColor="text1"/>
          <w:szCs w:val="22"/>
        </w:rPr>
        <w:t>以闭源为</w:t>
      </w:r>
      <w:r w:rsidR="009C17F5" w:rsidRPr="00660147">
        <w:rPr>
          <w:rFonts w:ascii="楷体" w:eastAsia="楷体" w:hAnsi="楷体" w:hint="eastAsia"/>
          <w:color w:val="000000" w:themeColor="text1"/>
          <w:szCs w:val="22"/>
        </w:rPr>
        <w:t>主</w:t>
      </w:r>
      <w:proofErr w:type="gramEnd"/>
      <w:r w:rsidR="009C17F5" w:rsidRPr="00660147">
        <w:rPr>
          <w:rFonts w:ascii="楷体" w:eastAsia="楷体" w:hAnsi="楷体" w:hint="eastAsia"/>
          <w:color w:val="000000" w:themeColor="text1"/>
          <w:szCs w:val="22"/>
        </w:rPr>
        <w:t>，开源为辅（如deepseek，qwen）</w:t>
      </w:r>
      <w:r w:rsidR="00FB78B9"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头部厂商在文本和多模态理解与生成、深度推理等核心能力上已</w:t>
      </w:r>
      <w:r w:rsidR="00FB78B9" w:rsidRPr="00660147">
        <w:rPr>
          <w:rFonts w:ascii="楷体" w:eastAsia="楷体" w:hAnsi="楷体" w:hint="eastAsia"/>
          <w:color w:val="000000" w:themeColor="text1"/>
          <w:szCs w:val="22"/>
        </w:rPr>
        <w:t>和</w:t>
      </w:r>
      <w:r w:rsidRPr="00660147">
        <w:rPr>
          <w:rFonts w:ascii="楷体" w:eastAsia="楷体" w:hAnsi="楷体" w:hint="eastAsia"/>
          <w:color w:val="000000" w:themeColor="text1"/>
          <w:szCs w:val="22"/>
        </w:rPr>
        <w:t>国际顶尖</w:t>
      </w:r>
      <w:r w:rsidR="00FB78B9" w:rsidRPr="00660147">
        <w:rPr>
          <w:rFonts w:ascii="楷体" w:eastAsia="楷体" w:hAnsi="楷体" w:hint="eastAsia"/>
          <w:color w:val="000000" w:themeColor="text1"/>
          <w:szCs w:val="22"/>
        </w:rPr>
        <w:t>模型拉近距离</w:t>
      </w:r>
      <w:r w:rsidRPr="00660147">
        <w:rPr>
          <w:rFonts w:ascii="楷体" w:eastAsia="楷体" w:hAnsi="楷体" w:hint="eastAsia"/>
          <w:color w:val="000000" w:themeColor="text1"/>
          <w:szCs w:val="22"/>
        </w:rPr>
        <w:t>，形成了技术演进与场景协同并进的局面。当前，高性能模型研发已收敛至</w:t>
      </w:r>
      <w:r w:rsidR="00C27806" w:rsidRPr="00660147">
        <w:rPr>
          <w:rFonts w:ascii="楷体" w:eastAsia="楷体" w:hAnsi="楷体" w:hint="eastAsia"/>
          <w:color w:val="000000" w:themeColor="text1"/>
          <w:szCs w:val="22"/>
        </w:rPr>
        <w:t>智谱，kimi，</w:t>
      </w:r>
      <w:proofErr w:type="gramStart"/>
      <w:r w:rsidR="00C27806" w:rsidRPr="00660147">
        <w:rPr>
          <w:rFonts w:ascii="楷体" w:eastAsia="楷体" w:hAnsi="楷体" w:hint="eastAsia"/>
          <w:color w:val="000000" w:themeColor="text1"/>
          <w:szCs w:val="22"/>
        </w:rPr>
        <w:t>千问等</w:t>
      </w:r>
      <w:proofErr w:type="gramEnd"/>
      <w:r w:rsidRPr="00660147">
        <w:rPr>
          <w:rFonts w:ascii="楷体" w:eastAsia="楷体" w:hAnsi="楷体" w:hint="eastAsia"/>
          <w:color w:val="000000" w:themeColor="text1"/>
          <w:szCs w:val="22"/>
        </w:rPr>
        <w:t>少数厂商，技术迭代呈现非线性</w:t>
      </w:r>
      <w:r w:rsidRPr="00660147">
        <w:rPr>
          <w:rFonts w:ascii="楷体" w:eastAsia="楷体" w:hAnsi="楷体" w:hint="eastAsia"/>
          <w:color w:val="000000" w:themeColor="text1"/>
          <w:szCs w:val="22"/>
        </w:rPr>
        <w:lastRenderedPageBreak/>
        <w:t>跃升态势。</w:t>
      </w:r>
    </w:p>
    <w:p w14:paraId="5DBED415" w14:textId="77777777"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平台/服务层提供模型即服务（MaaS）、API接口、私有化部署工具及开发者生态。这一层降低了应用开发门槛，是连接底层模型与上层应用的关键桥梁。例如，DeepSeek，智谱，kimi，</w:t>
      </w:r>
      <w:proofErr w:type="gramStart"/>
      <w:r w:rsidRPr="00660147">
        <w:rPr>
          <w:rFonts w:ascii="楷体" w:eastAsia="楷体" w:hAnsi="楷体" w:hint="eastAsia"/>
          <w:color w:val="000000" w:themeColor="text1"/>
          <w:szCs w:val="22"/>
        </w:rPr>
        <w:t>阶跃星辰</w:t>
      </w:r>
      <w:proofErr w:type="gramEnd"/>
      <w:r w:rsidRPr="00660147">
        <w:rPr>
          <w:rFonts w:ascii="楷体" w:eastAsia="楷体" w:hAnsi="楷体" w:hint="eastAsia"/>
          <w:color w:val="000000" w:themeColor="text1"/>
          <w:szCs w:val="22"/>
        </w:rPr>
        <w:t>，和MiniMax均通过API、订阅、私有化部署等多种形式向客户输出大模型技术服务。</w:t>
      </w:r>
    </w:p>
    <w:p w14:paraId="1DF6D399" w14:textId="21205985" w:rsidR="00F65D79" w:rsidRPr="00660147" w:rsidRDefault="00F65D79" w:rsidP="00F65D79">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表：国内主流大模型开闭</w:t>
      </w:r>
      <w:proofErr w:type="gramStart"/>
      <w:r w:rsidRPr="00660147">
        <w:rPr>
          <w:rFonts w:ascii="楷体" w:eastAsia="楷体" w:hAnsi="楷体" w:hint="eastAsia"/>
          <w:color w:val="000000" w:themeColor="text1"/>
          <w:szCs w:val="22"/>
        </w:rPr>
        <w:t>源状态</w:t>
      </w:r>
      <w:proofErr w:type="gramEnd"/>
      <w:r w:rsidRPr="00660147">
        <w:rPr>
          <w:rFonts w:ascii="楷体" w:eastAsia="楷体" w:hAnsi="楷体" w:hint="eastAsia"/>
          <w:color w:val="000000" w:themeColor="text1"/>
          <w:szCs w:val="22"/>
        </w:rPr>
        <w:t>一览</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119"/>
        <w:gridCol w:w="4417"/>
      </w:tblGrid>
      <w:tr w:rsidR="00F65D79" w:rsidRPr="00660147" w14:paraId="5D2E4AF1" w14:textId="77777777" w:rsidTr="00F65D79">
        <w:trPr>
          <w:trHeight w:val="300"/>
          <w:jc w:val="center"/>
        </w:trPr>
        <w:tc>
          <w:tcPr>
            <w:tcW w:w="1696" w:type="dxa"/>
            <w:vAlign w:val="center"/>
            <w:hideMark/>
          </w:tcPr>
          <w:p w14:paraId="3DB69F9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厂商</w:t>
            </w:r>
          </w:p>
        </w:tc>
        <w:tc>
          <w:tcPr>
            <w:tcW w:w="3119" w:type="dxa"/>
            <w:vAlign w:val="center"/>
            <w:hideMark/>
          </w:tcPr>
          <w:p w14:paraId="221597D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主力商业模型（闭源）</w:t>
            </w:r>
          </w:p>
        </w:tc>
        <w:tc>
          <w:tcPr>
            <w:tcW w:w="4417" w:type="dxa"/>
            <w:vAlign w:val="center"/>
            <w:hideMark/>
          </w:tcPr>
          <w:p w14:paraId="316EB73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开源模型系列</w:t>
            </w:r>
          </w:p>
        </w:tc>
      </w:tr>
      <w:tr w:rsidR="00F65D79" w:rsidRPr="00660147" w14:paraId="054205F9" w14:textId="77777777" w:rsidTr="00F65D79">
        <w:trPr>
          <w:trHeight w:val="585"/>
          <w:jc w:val="center"/>
        </w:trPr>
        <w:tc>
          <w:tcPr>
            <w:tcW w:w="1696" w:type="dxa"/>
            <w:vAlign w:val="center"/>
            <w:hideMark/>
          </w:tcPr>
          <w:p w14:paraId="53FDEAB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DeepSeek</w:t>
            </w:r>
          </w:p>
        </w:tc>
        <w:tc>
          <w:tcPr>
            <w:tcW w:w="3119" w:type="dxa"/>
            <w:vAlign w:val="center"/>
            <w:hideMark/>
          </w:tcPr>
          <w:p w14:paraId="4F21A52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无严格区分，API服务基于开源模型提供</w:t>
            </w:r>
          </w:p>
        </w:tc>
        <w:tc>
          <w:tcPr>
            <w:tcW w:w="4417" w:type="dxa"/>
            <w:vAlign w:val="center"/>
            <w:hideMark/>
          </w:tcPr>
          <w:p w14:paraId="58C89D22"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V3、R1、V3.2、V3.1 等全系列</w:t>
            </w:r>
          </w:p>
        </w:tc>
      </w:tr>
      <w:tr w:rsidR="00F65D79" w:rsidRPr="00660147" w14:paraId="682D8B17" w14:textId="77777777" w:rsidTr="00F65D79">
        <w:trPr>
          <w:trHeight w:val="1155"/>
          <w:jc w:val="center"/>
        </w:trPr>
        <w:tc>
          <w:tcPr>
            <w:tcW w:w="1696" w:type="dxa"/>
            <w:vAlign w:val="center"/>
            <w:hideMark/>
          </w:tcPr>
          <w:p w14:paraId="50EBE6B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阿里</w:t>
            </w:r>
          </w:p>
        </w:tc>
        <w:tc>
          <w:tcPr>
            <w:tcW w:w="3119" w:type="dxa"/>
            <w:vAlign w:val="center"/>
            <w:hideMark/>
          </w:tcPr>
          <w:p w14:paraId="04FDE7DA"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通义千问</w:t>
            </w:r>
            <w:proofErr w:type="gramEnd"/>
            <w:r w:rsidRPr="00660147">
              <w:rPr>
                <w:rFonts w:ascii="楷体" w:eastAsia="楷体" w:hAnsi="楷体" w:cs="宋体"/>
                <w:color w:val="000000" w:themeColor="text1"/>
                <w:kern w:val="0"/>
                <w:szCs w:val="22"/>
                <w14:ligatures w14:val="none"/>
              </w:rPr>
              <w:t>-Max、Qwen3.5-Plus、Qwen3-Max</w:t>
            </w:r>
          </w:p>
        </w:tc>
        <w:tc>
          <w:tcPr>
            <w:tcW w:w="4417" w:type="dxa"/>
            <w:vAlign w:val="center"/>
            <w:hideMark/>
          </w:tcPr>
          <w:p w14:paraId="1BB4379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Qwen2.5 系列、Qwen3 系列（0.5B–235B）、Qwen3.5-397B、Qwen3-Coder、Qwen3-TTS</w:t>
            </w:r>
          </w:p>
        </w:tc>
      </w:tr>
      <w:tr w:rsidR="00F65D79" w:rsidRPr="00660147" w14:paraId="3870B73D" w14:textId="77777777" w:rsidTr="00F65D79">
        <w:trPr>
          <w:trHeight w:val="870"/>
          <w:jc w:val="center"/>
        </w:trPr>
        <w:tc>
          <w:tcPr>
            <w:tcW w:w="1696" w:type="dxa"/>
            <w:vAlign w:val="center"/>
            <w:hideMark/>
          </w:tcPr>
          <w:p w14:paraId="363DE83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字节</w:t>
            </w:r>
          </w:p>
        </w:tc>
        <w:tc>
          <w:tcPr>
            <w:tcW w:w="3119" w:type="dxa"/>
            <w:vAlign w:val="center"/>
            <w:hideMark/>
          </w:tcPr>
          <w:p w14:paraId="00017CCB"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豆包-Pro、Doubao-Seed-2.0-pro、豆包-Lite</w:t>
            </w:r>
          </w:p>
        </w:tc>
        <w:tc>
          <w:tcPr>
            <w:tcW w:w="4417" w:type="dxa"/>
            <w:vAlign w:val="center"/>
            <w:hideMark/>
          </w:tcPr>
          <w:p w14:paraId="541D14D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部分研究模型（如 Seed-TTS）通过 HuggingFace 开源</w:t>
            </w:r>
          </w:p>
        </w:tc>
      </w:tr>
      <w:tr w:rsidR="00F65D79" w:rsidRPr="00660147" w14:paraId="29506F32" w14:textId="77777777" w:rsidTr="00F65D79">
        <w:trPr>
          <w:trHeight w:val="585"/>
          <w:jc w:val="center"/>
        </w:trPr>
        <w:tc>
          <w:tcPr>
            <w:tcW w:w="1696" w:type="dxa"/>
            <w:vAlign w:val="center"/>
            <w:hideMark/>
          </w:tcPr>
          <w:p w14:paraId="5732619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百度</w:t>
            </w:r>
          </w:p>
        </w:tc>
        <w:tc>
          <w:tcPr>
            <w:tcW w:w="3119" w:type="dxa"/>
            <w:vAlign w:val="center"/>
            <w:hideMark/>
          </w:tcPr>
          <w:p w14:paraId="42D7EF0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文心一言 / ERNIE 4.5、ERNIE 5.0</w:t>
            </w:r>
          </w:p>
        </w:tc>
        <w:tc>
          <w:tcPr>
            <w:tcW w:w="4417" w:type="dxa"/>
            <w:vAlign w:val="center"/>
            <w:hideMark/>
          </w:tcPr>
          <w:p w14:paraId="70F97FFC"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早期部分小模型开源，主力大</w:t>
            </w:r>
            <w:proofErr w:type="gramStart"/>
            <w:r w:rsidRPr="00660147">
              <w:rPr>
                <w:rFonts w:ascii="楷体" w:eastAsia="楷体" w:hAnsi="楷体" w:cs="宋体"/>
                <w:color w:val="000000" w:themeColor="text1"/>
                <w:kern w:val="0"/>
                <w:szCs w:val="22"/>
                <w14:ligatures w14:val="none"/>
              </w:rPr>
              <w:t>模型闭源</w:t>
            </w:r>
            <w:proofErr w:type="gramEnd"/>
          </w:p>
        </w:tc>
      </w:tr>
      <w:tr w:rsidR="00F65D79" w:rsidRPr="00660147" w14:paraId="25283571" w14:textId="77777777" w:rsidTr="00F65D79">
        <w:trPr>
          <w:trHeight w:val="585"/>
          <w:jc w:val="center"/>
        </w:trPr>
        <w:tc>
          <w:tcPr>
            <w:tcW w:w="1696" w:type="dxa"/>
            <w:vAlign w:val="center"/>
            <w:hideMark/>
          </w:tcPr>
          <w:p w14:paraId="0DC6A90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腾讯</w:t>
            </w:r>
            <w:proofErr w:type="gramEnd"/>
          </w:p>
        </w:tc>
        <w:tc>
          <w:tcPr>
            <w:tcW w:w="3119" w:type="dxa"/>
            <w:vAlign w:val="center"/>
            <w:hideMark/>
          </w:tcPr>
          <w:p w14:paraId="19505A6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混元-Pro、混元-Lite、混元-Think</w:t>
            </w:r>
          </w:p>
        </w:tc>
        <w:tc>
          <w:tcPr>
            <w:tcW w:w="4417" w:type="dxa"/>
            <w:vAlign w:val="center"/>
            <w:hideMark/>
          </w:tcPr>
          <w:p w14:paraId="3AA8CC8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无大规模开源动作，主力</w:t>
            </w:r>
            <w:proofErr w:type="gramStart"/>
            <w:r w:rsidRPr="00660147">
              <w:rPr>
                <w:rFonts w:ascii="楷体" w:eastAsia="楷体" w:hAnsi="楷体" w:cs="宋体"/>
                <w:color w:val="000000" w:themeColor="text1"/>
                <w:kern w:val="0"/>
                <w:szCs w:val="22"/>
                <w14:ligatures w14:val="none"/>
              </w:rPr>
              <w:t>模型闭源</w:t>
            </w:r>
            <w:proofErr w:type="gramEnd"/>
          </w:p>
        </w:tc>
      </w:tr>
      <w:tr w:rsidR="00F65D79" w:rsidRPr="00660147" w14:paraId="2A788B67" w14:textId="77777777" w:rsidTr="00F65D79">
        <w:trPr>
          <w:trHeight w:val="585"/>
          <w:jc w:val="center"/>
        </w:trPr>
        <w:tc>
          <w:tcPr>
            <w:tcW w:w="1696" w:type="dxa"/>
            <w:vAlign w:val="center"/>
            <w:hideMark/>
          </w:tcPr>
          <w:p w14:paraId="1296E73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智谱</w:t>
            </w:r>
          </w:p>
        </w:tc>
        <w:tc>
          <w:tcPr>
            <w:tcW w:w="3119" w:type="dxa"/>
            <w:vAlign w:val="center"/>
            <w:hideMark/>
          </w:tcPr>
          <w:p w14:paraId="42305D6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GLM-5、ChatGLM-6</w:t>
            </w:r>
          </w:p>
        </w:tc>
        <w:tc>
          <w:tcPr>
            <w:tcW w:w="4417" w:type="dxa"/>
            <w:vAlign w:val="center"/>
            <w:hideMark/>
          </w:tcPr>
          <w:p w14:paraId="547B2183"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GLM-4.5 系列、GLM-4-9B、GLM-Edge、QwQ-32B</w:t>
            </w:r>
          </w:p>
        </w:tc>
      </w:tr>
      <w:tr w:rsidR="00F65D79" w:rsidRPr="00660147" w14:paraId="3B876B9D" w14:textId="77777777" w:rsidTr="00F65D79">
        <w:trPr>
          <w:trHeight w:val="585"/>
          <w:jc w:val="center"/>
        </w:trPr>
        <w:tc>
          <w:tcPr>
            <w:tcW w:w="1696" w:type="dxa"/>
            <w:vAlign w:val="center"/>
            <w:hideMark/>
          </w:tcPr>
          <w:p w14:paraId="6D88B7FF"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w:t>
            </w:r>
          </w:p>
        </w:tc>
        <w:tc>
          <w:tcPr>
            <w:tcW w:w="3119" w:type="dxa"/>
            <w:vAlign w:val="center"/>
            <w:hideMark/>
          </w:tcPr>
          <w:p w14:paraId="310799B7"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 K2（商业版）</w:t>
            </w:r>
          </w:p>
        </w:tc>
        <w:tc>
          <w:tcPr>
            <w:tcW w:w="4417" w:type="dxa"/>
            <w:vAlign w:val="center"/>
            <w:hideMark/>
          </w:tcPr>
          <w:p w14:paraId="0BA0C08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Kimi-K2.5（2026年1月开源）</w:t>
            </w:r>
          </w:p>
        </w:tc>
      </w:tr>
      <w:tr w:rsidR="00F65D79" w:rsidRPr="00660147" w14:paraId="64882984" w14:textId="77777777" w:rsidTr="00F65D79">
        <w:trPr>
          <w:trHeight w:val="585"/>
          <w:jc w:val="center"/>
        </w:trPr>
        <w:tc>
          <w:tcPr>
            <w:tcW w:w="1696" w:type="dxa"/>
            <w:vAlign w:val="center"/>
            <w:hideMark/>
          </w:tcPr>
          <w:p w14:paraId="55382C8B"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MiniMax</w:t>
            </w:r>
          </w:p>
        </w:tc>
        <w:tc>
          <w:tcPr>
            <w:tcW w:w="3119" w:type="dxa"/>
            <w:vAlign w:val="center"/>
            <w:hideMark/>
          </w:tcPr>
          <w:p w14:paraId="6711A76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M2、MiniMax-Music 2.5</w:t>
            </w:r>
          </w:p>
        </w:tc>
        <w:tc>
          <w:tcPr>
            <w:tcW w:w="4417" w:type="dxa"/>
            <w:vAlign w:val="center"/>
            <w:hideMark/>
          </w:tcPr>
          <w:p w14:paraId="2B505BF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2025 年后部分模型开源</w:t>
            </w:r>
          </w:p>
        </w:tc>
      </w:tr>
      <w:tr w:rsidR="00F65D79" w:rsidRPr="00660147" w14:paraId="0BCF3AE0" w14:textId="77777777" w:rsidTr="00F65D79">
        <w:trPr>
          <w:trHeight w:val="585"/>
          <w:jc w:val="center"/>
        </w:trPr>
        <w:tc>
          <w:tcPr>
            <w:tcW w:w="1696" w:type="dxa"/>
            <w:vAlign w:val="center"/>
            <w:hideMark/>
          </w:tcPr>
          <w:p w14:paraId="56AD9D45"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华为</w:t>
            </w:r>
          </w:p>
        </w:tc>
        <w:tc>
          <w:tcPr>
            <w:tcW w:w="3119" w:type="dxa"/>
            <w:vAlign w:val="center"/>
            <w:hideMark/>
          </w:tcPr>
          <w:p w14:paraId="5D77449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盘古-5.0</w:t>
            </w:r>
          </w:p>
        </w:tc>
        <w:tc>
          <w:tcPr>
            <w:tcW w:w="4417" w:type="dxa"/>
            <w:vAlign w:val="center"/>
            <w:hideMark/>
          </w:tcPr>
          <w:p w14:paraId="43905876"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极少开源，以</w:t>
            </w:r>
            <w:proofErr w:type="gramStart"/>
            <w:r w:rsidRPr="00660147">
              <w:rPr>
                <w:rFonts w:ascii="楷体" w:eastAsia="楷体" w:hAnsi="楷体" w:cs="宋体"/>
                <w:color w:val="000000" w:themeColor="text1"/>
                <w:kern w:val="0"/>
                <w:szCs w:val="22"/>
                <w14:ligatures w14:val="none"/>
              </w:rPr>
              <w:t>闭源为主</w:t>
            </w:r>
            <w:proofErr w:type="gramEnd"/>
          </w:p>
        </w:tc>
      </w:tr>
      <w:tr w:rsidR="00F65D79" w:rsidRPr="00660147" w14:paraId="7DEFFADE" w14:textId="77777777" w:rsidTr="00F65D79">
        <w:trPr>
          <w:trHeight w:val="300"/>
          <w:jc w:val="center"/>
        </w:trPr>
        <w:tc>
          <w:tcPr>
            <w:tcW w:w="1696" w:type="dxa"/>
            <w:vAlign w:val="center"/>
            <w:hideMark/>
          </w:tcPr>
          <w:p w14:paraId="2812506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讯飞</w:t>
            </w:r>
            <w:proofErr w:type="gramEnd"/>
          </w:p>
        </w:tc>
        <w:tc>
          <w:tcPr>
            <w:tcW w:w="3119" w:type="dxa"/>
            <w:vAlign w:val="center"/>
            <w:hideMark/>
          </w:tcPr>
          <w:p w14:paraId="61A385F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星火-4.0</w:t>
            </w:r>
          </w:p>
        </w:tc>
        <w:tc>
          <w:tcPr>
            <w:tcW w:w="4417" w:type="dxa"/>
            <w:vAlign w:val="center"/>
            <w:hideMark/>
          </w:tcPr>
          <w:p w14:paraId="59581D71"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极少</w:t>
            </w:r>
          </w:p>
        </w:tc>
      </w:tr>
      <w:tr w:rsidR="00F65D79" w:rsidRPr="00660147" w14:paraId="067EAF31" w14:textId="77777777" w:rsidTr="00F65D79">
        <w:trPr>
          <w:trHeight w:val="300"/>
          <w:jc w:val="center"/>
        </w:trPr>
        <w:tc>
          <w:tcPr>
            <w:tcW w:w="1696" w:type="dxa"/>
            <w:vAlign w:val="center"/>
            <w:hideMark/>
          </w:tcPr>
          <w:p w14:paraId="7A78164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小米</w:t>
            </w:r>
          </w:p>
        </w:tc>
        <w:tc>
          <w:tcPr>
            <w:tcW w:w="3119" w:type="dxa"/>
            <w:vAlign w:val="center"/>
            <w:hideMark/>
          </w:tcPr>
          <w:p w14:paraId="6BFA7BF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MiMo-V2-Pro</w:t>
            </w:r>
          </w:p>
        </w:tc>
        <w:tc>
          <w:tcPr>
            <w:tcW w:w="4417" w:type="dxa"/>
            <w:vAlign w:val="center"/>
            <w:hideMark/>
          </w:tcPr>
          <w:p w14:paraId="037300D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MiMo-V2-Flash</w:t>
            </w:r>
          </w:p>
        </w:tc>
      </w:tr>
      <w:tr w:rsidR="00F65D79" w:rsidRPr="00660147" w14:paraId="4D5A8FC7" w14:textId="77777777" w:rsidTr="00F65D79">
        <w:trPr>
          <w:trHeight w:val="300"/>
          <w:jc w:val="center"/>
        </w:trPr>
        <w:tc>
          <w:tcPr>
            <w:tcW w:w="1696" w:type="dxa"/>
            <w:vAlign w:val="center"/>
            <w:hideMark/>
          </w:tcPr>
          <w:p w14:paraId="45138C85"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零一万物</w:t>
            </w:r>
          </w:p>
        </w:tc>
        <w:tc>
          <w:tcPr>
            <w:tcW w:w="3119" w:type="dxa"/>
            <w:vAlign w:val="center"/>
            <w:hideMark/>
          </w:tcPr>
          <w:p w14:paraId="1A029A1E"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Yi-Large</w:t>
            </w:r>
          </w:p>
        </w:tc>
        <w:tc>
          <w:tcPr>
            <w:tcW w:w="4417" w:type="dxa"/>
            <w:vAlign w:val="center"/>
            <w:hideMark/>
          </w:tcPr>
          <w:p w14:paraId="70DF3588"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Yi-34B、Yi-1.5 系列</w:t>
            </w:r>
          </w:p>
        </w:tc>
      </w:tr>
      <w:tr w:rsidR="00F65D79" w:rsidRPr="00660147" w14:paraId="5F79AD6B" w14:textId="77777777" w:rsidTr="00F65D79">
        <w:trPr>
          <w:trHeight w:val="585"/>
          <w:jc w:val="center"/>
        </w:trPr>
        <w:tc>
          <w:tcPr>
            <w:tcW w:w="1696" w:type="dxa"/>
            <w:vAlign w:val="center"/>
            <w:hideMark/>
          </w:tcPr>
          <w:p w14:paraId="264AB277"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百川智能</w:t>
            </w:r>
          </w:p>
        </w:tc>
        <w:tc>
          <w:tcPr>
            <w:tcW w:w="3119" w:type="dxa"/>
            <w:vAlign w:val="center"/>
            <w:hideMark/>
          </w:tcPr>
          <w:p w14:paraId="1AAD4BA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Baichuan 4</w:t>
            </w:r>
          </w:p>
        </w:tc>
        <w:tc>
          <w:tcPr>
            <w:tcW w:w="4417" w:type="dxa"/>
            <w:vAlign w:val="center"/>
            <w:hideMark/>
          </w:tcPr>
          <w:p w14:paraId="053C505D"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早期 Baichuan-7B/13B 开源，现</w:t>
            </w:r>
            <w:proofErr w:type="gramStart"/>
            <w:r w:rsidRPr="00660147">
              <w:rPr>
                <w:rFonts w:ascii="楷体" w:eastAsia="楷体" w:hAnsi="楷体" w:cs="宋体"/>
                <w:color w:val="000000" w:themeColor="text1"/>
                <w:kern w:val="0"/>
                <w:szCs w:val="22"/>
                <w14:ligatures w14:val="none"/>
              </w:rPr>
              <w:t>转向闭源</w:t>
            </w:r>
            <w:proofErr w:type="gramEnd"/>
          </w:p>
        </w:tc>
      </w:tr>
      <w:tr w:rsidR="00F65D79" w:rsidRPr="00660147" w14:paraId="2C294D26" w14:textId="77777777" w:rsidTr="00F65D79">
        <w:trPr>
          <w:trHeight w:val="285"/>
          <w:jc w:val="center"/>
        </w:trPr>
        <w:tc>
          <w:tcPr>
            <w:tcW w:w="1696" w:type="dxa"/>
            <w:vAlign w:val="center"/>
            <w:hideMark/>
          </w:tcPr>
          <w:p w14:paraId="59FEBA4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proofErr w:type="gramStart"/>
            <w:r w:rsidRPr="00660147">
              <w:rPr>
                <w:rFonts w:ascii="楷体" w:eastAsia="楷体" w:hAnsi="楷体" w:cs="宋体"/>
                <w:color w:val="000000" w:themeColor="text1"/>
                <w:kern w:val="0"/>
                <w:szCs w:val="22"/>
                <w14:ligatures w14:val="none"/>
              </w:rPr>
              <w:t>阶跃星辰</w:t>
            </w:r>
            <w:proofErr w:type="gramEnd"/>
          </w:p>
        </w:tc>
        <w:tc>
          <w:tcPr>
            <w:tcW w:w="3119" w:type="dxa"/>
            <w:vAlign w:val="center"/>
            <w:hideMark/>
          </w:tcPr>
          <w:p w14:paraId="1C3D6940"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Step 系列</w:t>
            </w:r>
          </w:p>
        </w:tc>
        <w:tc>
          <w:tcPr>
            <w:tcW w:w="4417" w:type="dxa"/>
            <w:vAlign w:val="center"/>
            <w:hideMark/>
          </w:tcPr>
          <w:p w14:paraId="7AFB70D9" w14:textId="77777777" w:rsidR="00F65D79" w:rsidRPr="00660147" w:rsidRDefault="00F65D79" w:rsidP="00E33054">
            <w:pPr>
              <w:widowControl/>
              <w:spacing w:after="0" w:line="240" w:lineRule="auto"/>
              <w:rPr>
                <w:rFonts w:ascii="楷体" w:eastAsia="楷体" w:hAnsi="楷体" w:cs="宋体" w:hint="eastAsia"/>
                <w:color w:val="000000" w:themeColor="text1"/>
                <w:kern w:val="0"/>
                <w:szCs w:val="22"/>
                <w14:ligatures w14:val="none"/>
              </w:rPr>
            </w:pPr>
            <w:r w:rsidRPr="00660147">
              <w:rPr>
                <w:rFonts w:ascii="楷体" w:eastAsia="楷体" w:hAnsi="楷体" w:cs="宋体"/>
                <w:color w:val="000000" w:themeColor="text1"/>
                <w:kern w:val="0"/>
                <w:szCs w:val="22"/>
                <w14:ligatures w14:val="none"/>
              </w:rPr>
              <w:t>无</w:t>
            </w:r>
          </w:p>
        </w:tc>
      </w:tr>
    </w:tbl>
    <w:p w14:paraId="7CDB1752" w14:textId="11C39F41" w:rsidR="004F7E65" w:rsidRPr="00660147" w:rsidRDefault="00000000">
      <w:pPr>
        <w:pStyle w:val="4"/>
        <w:rPr>
          <w:rFonts w:ascii="楷体" w:eastAsia="楷体" w:hAnsi="楷体" w:hint="eastAsia"/>
          <w:color w:val="000000" w:themeColor="text1"/>
        </w:rPr>
      </w:pPr>
      <w:r w:rsidRPr="00660147">
        <w:rPr>
          <w:rFonts w:ascii="楷体" w:eastAsia="楷体" w:hAnsi="楷体" w:hint="eastAsia"/>
          <w:color w:val="000000" w:themeColor="text1"/>
        </w:rPr>
        <w:t>2.</w:t>
      </w:r>
      <w:r w:rsidR="00C06109" w:rsidRPr="00660147">
        <w:rPr>
          <w:rFonts w:ascii="楷体" w:eastAsia="楷体" w:hAnsi="楷体" w:hint="eastAsia"/>
          <w:color w:val="000000" w:themeColor="text1"/>
        </w:rPr>
        <w:t>1.2.2</w:t>
      </w:r>
      <w:r w:rsidRPr="00660147">
        <w:rPr>
          <w:rFonts w:ascii="楷体" w:eastAsia="楷体" w:hAnsi="楷体" w:hint="eastAsia"/>
          <w:color w:val="000000" w:themeColor="text1"/>
        </w:rPr>
        <w:t xml:space="preserve"> 发展趋势</w:t>
      </w:r>
    </w:p>
    <w:p w14:paraId="7C1AA1F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中游产业正从早期的“参数竞赛”和“技术叙事”阶段，全面转向“商业化效率”与“落地能力”竞争阶段。</w:t>
      </w:r>
    </w:p>
    <w:p w14:paraId="24C57B3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技术范式演进上，技术重点从单纯扩大参数规模，转向强化推理能力（思维链CoT）、多模态融合以及智能体（Agent）基础能力建设。多智能体协作、本地网关和cli工具</w:t>
      </w:r>
      <w:r w:rsidRPr="00660147">
        <w:rPr>
          <w:rFonts w:ascii="楷体" w:eastAsia="楷体" w:hAnsi="楷体" w:hint="eastAsia"/>
          <w:color w:val="000000" w:themeColor="text1"/>
          <w:szCs w:val="22"/>
        </w:rPr>
        <w:lastRenderedPageBreak/>
        <w:t>操作能力、长记忆、长文本、自主任务执行等正在成为模型的底层标配。</w:t>
      </w:r>
    </w:p>
    <w:p w14:paraId="4713F29F" w14:textId="7995BA5C" w:rsidR="004F7E65"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商业模式分化与探索</w:t>
      </w:r>
      <w:r w:rsidR="0054546B" w:rsidRPr="00660147">
        <w:rPr>
          <w:rFonts w:ascii="楷体" w:eastAsia="楷体" w:hAnsi="楷体" w:hint="eastAsia"/>
          <w:color w:val="000000" w:themeColor="text1"/>
          <w:szCs w:val="22"/>
        </w:rPr>
        <w:t>在国内</w:t>
      </w:r>
      <w:r w:rsidRPr="00660147">
        <w:rPr>
          <w:rFonts w:ascii="楷体" w:eastAsia="楷体" w:hAnsi="楷体" w:hint="eastAsia"/>
          <w:color w:val="000000" w:themeColor="text1"/>
          <w:szCs w:val="22"/>
        </w:rPr>
        <w:t>主要呈现两种路径</w:t>
      </w:r>
      <w:r w:rsidR="005C7F4D" w:rsidRPr="00660147">
        <w:rPr>
          <w:rFonts w:ascii="楷体" w:eastAsia="楷体" w:hAnsi="楷体" w:hint="eastAsia"/>
          <w:color w:val="000000" w:themeColor="text1"/>
          <w:szCs w:val="22"/>
        </w:rPr>
        <w:t>，</w:t>
      </w:r>
      <w:r w:rsidRPr="00660147">
        <w:rPr>
          <w:rFonts w:ascii="楷体" w:eastAsia="楷体" w:hAnsi="楷体" w:hint="eastAsia"/>
          <w:color w:val="000000" w:themeColor="text1"/>
          <w:szCs w:val="22"/>
        </w:rPr>
        <w:t>一是以智谱为代表的To B深度定制模式，聚焦</w:t>
      </w:r>
      <w:proofErr w:type="gramStart"/>
      <w:r w:rsidRPr="00660147">
        <w:rPr>
          <w:rFonts w:ascii="楷体" w:eastAsia="楷体" w:hAnsi="楷体" w:hint="eastAsia"/>
          <w:color w:val="000000" w:themeColor="text1"/>
          <w:szCs w:val="22"/>
        </w:rPr>
        <w:t>政企信创</w:t>
      </w:r>
      <w:proofErr w:type="gramEnd"/>
      <w:r w:rsidRPr="00660147">
        <w:rPr>
          <w:rFonts w:ascii="楷体" w:eastAsia="楷体" w:hAnsi="楷体" w:hint="eastAsia"/>
          <w:color w:val="000000" w:themeColor="text1"/>
          <w:szCs w:val="22"/>
        </w:rPr>
        <w:t>市场，通过私有化部署和行业定制获取收入，毛利率较高（1H25达50%），但规模化难度大；二是以MiniMax为代表的To C产品化与全球化模式，收入超70%来自C端，全球化特征突出，通过标准化API和订阅服务实现快速扩张，但毛利率相对较低。</w:t>
      </w:r>
      <w:r w:rsidR="005C7F4D" w:rsidRPr="00660147">
        <w:rPr>
          <w:rFonts w:ascii="楷体" w:eastAsia="楷体" w:hAnsi="楷体" w:hint="eastAsia"/>
          <w:color w:val="000000" w:themeColor="text1"/>
          <w:szCs w:val="22"/>
        </w:rPr>
        <w:t>海外市场情况也与国内类似，以C端为提供</w:t>
      </w:r>
      <w:r w:rsidR="005C7F4D" w:rsidRPr="00660147">
        <w:rPr>
          <w:rFonts w:ascii="楷体" w:eastAsia="楷体" w:hAnsi="楷体"/>
          <w:color w:val="000000" w:themeColor="text1"/>
          <w:szCs w:val="22"/>
        </w:rPr>
        <w:t>稳定、可预测的现金流，支撑研发开支；B端API和企业服务则承担打开行业渗透率、建立生态壁垒</w:t>
      </w:r>
      <w:r w:rsidR="00602FC8" w:rsidRPr="00660147">
        <w:rPr>
          <w:rFonts w:ascii="楷体" w:eastAsia="楷体" w:hAnsi="楷体" w:hint="eastAsia"/>
          <w:color w:val="000000" w:themeColor="text1"/>
          <w:szCs w:val="22"/>
        </w:rPr>
        <w:t>和领导地位</w:t>
      </w:r>
      <w:r w:rsidR="005C7F4D" w:rsidRPr="00660147">
        <w:rPr>
          <w:rFonts w:ascii="楷体" w:eastAsia="楷体" w:hAnsi="楷体"/>
          <w:color w:val="000000" w:themeColor="text1"/>
          <w:szCs w:val="22"/>
        </w:rPr>
        <w:t>的战略任务。OpenAI和Anthropic都遵循这一逻辑</w:t>
      </w:r>
      <w:r w:rsidR="005C7F4D" w:rsidRPr="00660147">
        <w:rPr>
          <w:rFonts w:ascii="楷体" w:eastAsia="楷体" w:hAnsi="楷体" w:hint="eastAsia"/>
          <w:color w:val="000000" w:themeColor="text1"/>
          <w:szCs w:val="22"/>
        </w:rPr>
        <w:t>，</w:t>
      </w:r>
      <w:r w:rsidR="00602FC8" w:rsidRPr="00660147">
        <w:rPr>
          <w:rFonts w:ascii="楷体" w:eastAsia="楷体" w:hAnsi="楷体" w:hint="eastAsia"/>
          <w:color w:val="000000" w:themeColor="text1"/>
          <w:szCs w:val="22"/>
        </w:rPr>
        <w:t>海外对于B端的争夺，</w:t>
      </w:r>
      <w:r w:rsidR="005C7F4D" w:rsidRPr="00660147">
        <w:rPr>
          <w:rFonts w:ascii="楷体" w:eastAsia="楷体" w:hAnsi="楷体" w:hint="eastAsia"/>
          <w:color w:val="000000" w:themeColor="text1"/>
          <w:szCs w:val="22"/>
        </w:rPr>
        <w:t>从2026年初，OpenAI和Anthropic对于美国国防部订单，和Anthropic深度嵌入各大金融机构合作版图一事</w:t>
      </w:r>
      <w:r w:rsidR="00EF2F07" w:rsidRPr="00660147">
        <w:rPr>
          <w:rFonts w:ascii="楷体" w:eastAsia="楷体" w:hAnsi="楷体" w:hint="eastAsia"/>
          <w:color w:val="000000" w:themeColor="text1"/>
          <w:szCs w:val="22"/>
        </w:rPr>
        <w:t>就可见一斑。</w:t>
      </w:r>
    </w:p>
    <w:p w14:paraId="720E4937" w14:textId="48B6C6A2" w:rsidR="00D161A8" w:rsidRPr="00660147" w:rsidRDefault="00D161A8" w:rsidP="00D161A8">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表：海外三</w:t>
      </w:r>
      <w:proofErr w:type="gramStart"/>
      <w:r w:rsidRPr="00660147">
        <w:rPr>
          <w:rFonts w:ascii="楷体" w:eastAsia="楷体" w:hAnsi="楷体" w:hint="eastAsia"/>
          <w:color w:val="000000" w:themeColor="text1"/>
          <w:szCs w:val="22"/>
        </w:rPr>
        <w:t>大闭源厂商</w:t>
      </w:r>
      <w:proofErr w:type="gramEnd"/>
      <w:r w:rsidRPr="00660147">
        <w:rPr>
          <w:rFonts w:ascii="楷体" w:eastAsia="楷体" w:hAnsi="楷体" w:hint="eastAsia"/>
          <w:color w:val="000000" w:themeColor="text1"/>
          <w:szCs w:val="22"/>
        </w:rPr>
        <w:t>战略与盈利逻辑一览</w:t>
      </w:r>
    </w:p>
    <w:tbl>
      <w:tblPr>
        <w:tblStyle w:val="af2"/>
        <w:tblW w:w="9781" w:type="dxa"/>
        <w:tblInd w:w="-714" w:type="dxa"/>
        <w:tblLook w:val="04A0" w:firstRow="1" w:lastRow="0" w:firstColumn="1" w:lastColumn="0" w:noHBand="0" w:noVBand="1"/>
      </w:tblPr>
      <w:tblGrid>
        <w:gridCol w:w="1206"/>
        <w:gridCol w:w="1401"/>
        <w:gridCol w:w="2113"/>
        <w:gridCol w:w="5061"/>
      </w:tblGrid>
      <w:tr w:rsidR="00985A4E" w:rsidRPr="00660147" w14:paraId="1BCAFD6C" w14:textId="77777777" w:rsidTr="00D161A8">
        <w:trPr>
          <w:trHeight w:val="285"/>
        </w:trPr>
        <w:tc>
          <w:tcPr>
            <w:tcW w:w="1145" w:type="dxa"/>
            <w:hideMark/>
          </w:tcPr>
          <w:p w14:paraId="458A91B5" w14:textId="77777777" w:rsidR="00985A4E" w:rsidRPr="00660147" w:rsidRDefault="00985A4E" w:rsidP="00985A4E">
            <w:pPr>
              <w:rPr>
                <w:rFonts w:ascii="楷体" w:eastAsia="楷体" w:hAnsi="楷体"/>
                <w:color w:val="000000" w:themeColor="text1"/>
              </w:rPr>
            </w:pPr>
            <w:r w:rsidRPr="00660147">
              <w:rPr>
                <w:rFonts w:ascii="楷体" w:eastAsia="楷体" w:hAnsi="楷体"/>
                <w:color w:val="000000" w:themeColor="text1"/>
              </w:rPr>
              <w:t>企业</w:t>
            </w:r>
          </w:p>
        </w:tc>
        <w:tc>
          <w:tcPr>
            <w:tcW w:w="1407" w:type="dxa"/>
            <w:hideMark/>
          </w:tcPr>
          <w:p w14:paraId="70049B0D"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代表模型</w:t>
            </w:r>
          </w:p>
        </w:tc>
        <w:tc>
          <w:tcPr>
            <w:tcW w:w="2129" w:type="dxa"/>
            <w:hideMark/>
          </w:tcPr>
          <w:p w14:paraId="7BBD3ACE"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B &amp; To C 抉择</w:t>
            </w:r>
          </w:p>
        </w:tc>
        <w:tc>
          <w:tcPr>
            <w:tcW w:w="5100" w:type="dxa"/>
            <w:hideMark/>
          </w:tcPr>
          <w:p w14:paraId="2585DF0F"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盈利结构</w:t>
            </w:r>
          </w:p>
        </w:tc>
      </w:tr>
      <w:tr w:rsidR="00985A4E" w:rsidRPr="00660147" w14:paraId="40E3D00F" w14:textId="77777777" w:rsidTr="00D161A8">
        <w:trPr>
          <w:trHeight w:val="1140"/>
        </w:trPr>
        <w:tc>
          <w:tcPr>
            <w:tcW w:w="1145" w:type="dxa"/>
            <w:hideMark/>
          </w:tcPr>
          <w:p w14:paraId="5568C9D6"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Anthropic</w:t>
            </w:r>
          </w:p>
        </w:tc>
        <w:tc>
          <w:tcPr>
            <w:tcW w:w="1407" w:type="dxa"/>
            <w:hideMark/>
          </w:tcPr>
          <w:p w14:paraId="3013FA06"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Claude系列</w:t>
            </w:r>
          </w:p>
        </w:tc>
        <w:tc>
          <w:tcPr>
            <w:tcW w:w="2129" w:type="dxa"/>
            <w:hideMark/>
          </w:tcPr>
          <w:p w14:paraId="096B8582"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 xml:space="preserve">坚定To B </w:t>
            </w:r>
          </w:p>
        </w:tc>
        <w:tc>
          <w:tcPr>
            <w:tcW w:w="5100" w:type="dxa"/>
            <w:hideMark/>
          </w:tcPr>
          <w:p w14:paraId="7CED9115"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B收入80%，To C收入仅占20%。2026年3月报告首次采购AI工具的企业中有73%选择了Anthropic。拳头产品企业级编码智能体Claude Code是拉动增长的核心引擎。其在企业级编码Agent市场的占有率高达54%，远超OpenAI的21%</w:t>
            </w:r>
          </w:p>
        </w:tc>
      </w:tr>
      <w:tr w:rsidR="00985A4E" w:rsidRPr="00660147" w14:paraId="13E772A5" w14:textId="77777777" w:rsidTr="00D161A8">
        <w:trPr>
          <w:trHeight w:val="1140"/>
        </w:trPr>
        <w:tc>
          <w:tcPr>
            <w:tcW w:w="1145" w:type="dxa"/>
            <w:hideMark/>
          </w:tcPr>
          <w:p w14:paraId="7EB1ABFB"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OpenAI</w:t>
            </w:r>
          </w:p>
        </w:tc>
        <w:tc>
          <w:tcPr>
            <w:tcW w:w="1407" w:type="dxa"/>
            <w:hideMark/>
          </w:tcPr>
          <w:p w14:paraId="011FC8E7"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GPT系列</w:t>
            </w:r>
          </w:p>
        </w:tc>
        <w:tc>
          <w:tcPr>
            <w:tcW w:w="2129" w:type="dxa"/>
            <w:hideMark/>
          </w:tcPr>
          <w:p w14:paraId="3B6AFE31"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早期以To C为主，正全力转向To B</w:t>
            </w:r>
          </w:p>
        </w:tc>
        <w:tc>
          <w:tcPr>
            <w:tcW w:w="5100" w:type="dxa"/>
            <w:hideMark/>
          </w:tcPr>
          <w:p w14:paraId="12A66117"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C收入占总收入60-70%之间，但是转化率极差，UBS在三月的调研显示，</w:t>
            </w:r>
            <w:proofErr w:type="spellStart"/>
            <w:r w:rsidRPr="00660147">
              <w:rPr>
                <w:rFonts w:ascii="楷体" w:eastAsia="楷体" w:hAnsi="楷体"/>
                <w:color w:val="000000" w:themeColor="text1"/>
              </w:rPr>
              <w:t>gpt</w:t>
            </w:r>
            <w:proofErr w:type="spellEnd"/>
            <w:r w:rsidRPr="00660147">
              <w:rPr>
                <w:rFonts w:ascii="楷体" w:eastAsia="楷体" w:hAnsi="楷体"/>
                <w:color w:val="000000" w:themeColor="text1"/>
              </w:rPr>
              <w:t>系列在海外C端中有94%为免费用户。即使在美国和欧洲 ，这一比例依然高达73%。C</w:t>
            </w:r>
            <w:proofErr w:type="gramStart"/>
            <w:r w:rsidRPr="00660147">
              <w:rPr>
                <w:rFonts w:ascii="楷体" w:eastAsia="楷体" w:hAnsi="楷体"/>
                <w:color w:val="000000" w:themeColor="text1"/>
              </w:rPr>
              <w:t>端正在</w:t>
            </w:r>
            <w:proofErr w:type="gramEnd"/>
            <w:r w:rsidRPr="00660147">
              <w:rPr>
                <w:rFonts w:ascii="楷体" w:eastAsia="楷体" w:hAnsi="楷体"/>
                <w:color w:val="000000" w:themeColor="text1"/>
              </w:rPr>
              <w:t>对OpenAI的业务成本造成显著压力，使其不得不转向B端经营。</w:t>
            </w:r>
          </w:p>
        </w:tc>
      </w:tr>
      <w:tr w:rsidR="00985A4E" w:rsidRPr="00660147" w14:paraId="25360575" w14:textId="77777777" w:rsidTr="00D161A8">
        <w:trPr>
          <w:trHeight w:val="1710"/>
        </w:trPr>
        <w:tc>
          <w:tcPr>
            <w:tcW w:w="1145" w:type="dxa"/>
            <w:hideMark/>
          </w:tcPr>
          <w:p w14:paraId="3125DBC4"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Google</w:t>
            </w:r>
          </w:p>
        </w:tc>
        <w:tc>
          <w:tcPr>
            <w:tcW w:w="1407" w:type="dxa"/>
            <w:hideMark/>
          </w:tcPr>
          <w:p w14:paraId="146CAE0C" w14:textId="77777777" w:rsidR="00985A4E" w:rsidRPr="00660147" w:rsidRDefault="00985A4E">
            <w:pPr>
              <w:rPr>
                <w:rFonts w:ascii="楷体" w:eastAsia="楷体" w:hAnsi="楷体"/>
                <w:color w:val="000000" w:themeColor="text1"/>
              </w:rPr>
            </w:pPr>
            <w:proofErr w:type="spellStart"/>
            <w:r w:rsidRPr="00660147">
              <w:rPr>
                <w:rFonts w:ascii="楷体" w:eastAsia="楷体" w:hAnsi="楷体"/>
                <w:color w:val="000000" w:themeColor="text1"/>
              </w:rPr>
              <w:t>gemini</w:t>
            </w:r>
            <w:proofErr w:type="spellEnd"/>
            <w:r w:rsidRPr="00660147">
              <w:rPr>
                <w:rFonts w:ascii="楷体" w:eastAsia="楷体" w:hAnsi="楷体"/>
                <w:color w:val="000000" w:themeColor="text1"/>
              </w:rPr>
              <w:t>系列</w:t>
            </w:r>
          </w:p>
        </w:tc>
        <w:tc>
          <w:tcPr>
            <w:tcW w:w="2129" w:type="dxa"/>
            <w:hideMark/>
          </w:tcPr>
          <w:p w14:paraId="285DAC8C"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C业务健壮，To B业务先天格局优秀，正在双</w:t>
            </w:r>
            <w:proofErr w:type="gramStart"/>
            <w:r w:rsidRPr="00660147">
              <w:rPr>
                <w:rFonts w:ascii="楷体" w:eastAsia="楷体" w:hAnsi="楷体"/>
                <w:color w:val="000000" w:themeColor="text1"/>
              </w:rPr>
              <w:t>规</w:t>
            </w:r>
            <w:proofErr w:type="gramEnd"/>
            <w:r w:rsidRPr="00660147">
              <w:rPr>
                <w:rFonts w:ascii="楷体" w:eastAsia="楷体" w:hAnsi="楷体"/>
                <w:color w:val="000000" w:themeColor="text1"/>
              </w:rPr>
              <w:t>并行</w:t>
            </w:r>
          </w:p>
        </w:tc>
        <w:tc>
          <w:tcPr>
            <w:tcW w:w="5100" w:type="dxa"/>
            <w:hideMark/>
          </w:tcPr>
          <w:p w14:paraId="2CB13474" w14:textId="77777777" w:rsidR="00985A4E" w:rsidRPr="00660147" w:rsidRDefault="00985A4E">
            <w:pPr>
              <w:rPr>
                <w:rFonts w:ascii="楷体" w:eastAsia="楷体" w:hAnsi="楷体"/>
                <w:color w:val="000000" w:themeColor="text1"/>
              </w:rPr>
            </w:pPr>
            <w:r w:rsidRPr="00660147">
              <w:rPr>
                <w:rFonts w:ascii="楷体" w:eastAsia="楷体" w:hAnsi="楷体"/>
                <w:color w:val="000000" w:themeColor="text1"/>
              </w:rPr>
              <w:t>To C收入无显示披露，预测不应低于50-55%，</w:t>
            </w:r>
            <w:proofErr w:type="spellStart"/>
            <w:r w:rsidRPr="00660147">
              <w:rPr>
                <w:rFonts w:ascii="楷体" w:eastAsia="楷体" w:hAnsi="楷体"/>
                <w:color w:val="000000" w:themeColor="text1"/>
              </w:rPr>
              <w:t>gemini</w:t>
            </w:r>
            <w:proofErr w:type="spellEnd"/>
            <w:r w:rsidRPr="00660147">
              <w:rPr>
                <w:rFonts w:ascii="楷体" w:eastAsia="楷体" w:hAnsi="楷体"/>
                <w:color w:val="000000" w:themeColor="text1"/>
              </w:rPr>
              <w:t>的To C客群在业内仅次于OpenAI。且由于其</w:t>
            </w:r>
            <w:proofErr w:type="gramStart"/>
            <w:r w:rsidRPr="00660147">
              <w:rPr>
                <w:rFonts w:ascii="楷体" w:eastAsia="楷体" w:hAnsi="楷体"/>
                <w:color w:val="000000" w:themeColor="text1"/>
              </w:rPr>
              <w:t>背靠谷歌的</w:t>
            </w:r>
            <w:proofErr w:type="gramEnd"/>
            <w:r w:rsidRPr="00660147">
              <w:rPr>
                <w:rFonts w:ascii="楷体" w:eastAsia="楷体" w:hAnsi="楷体"/>
                <w:color w:val="000000" w:themeColor="text1"/>
              </w:rPr>
              <w:t>特殊性，并非大模型领域的</w:t>
            </w:r>
            <w:proofErr w:type="spellStart"/>
            <w:r w:rsidRPr="00660147">
              <w:rPr>
                <w:rFonts w:ascii="楷体" w:eastAsia="楷体" w:hAnsi="楷体"/>
                <w:color w:val="000000" w:themeColor="text1"/>
              </w:rPr>
              <w:t>pureplayer</w:t>
            </w:r>
            <w:proofErr w:type="spellEnd"/>
            <w:r w:rsidRPr="00660147">
              <w:rPr>
                <w:rFonts w:ascii="楷体" w:eastAsia="楷体" w:hAnsi="楷体"/>
                <w:color w:val="000000" w:themeColor="text1"/>
              </w:rPr>
              <w:t>，故其业务难以通过纯粹的BC分析界定。其广告业务强大，成熟且多元，是最大的收入来源之一。</w:t>
            </w:r>
            <w:proofErr w:type="gramStart"/>
            <w:r w:rsidRPr="00660147">
              <w:rPr>
                <w:rFonts w:ascii="楷体" w:eastAsia="楷体" w:hAnsi="楷体"/>
                <w:color w:val="000000" w:themeColor="text1"/>
              </w:rPr>
              <w:t>云业务</w:t>
            </w:r>
            <w:proofErr w:type="gramEnd"/>
            <w:r w:rsidRPr="00660147">
              <w:rPr>
                <w:rFonts w:ascii="楷体" w:eastAsia="楷体" w:hAnsi="楷体"/>
                <w:color w:val="000000" w:themeColor="text1"/>
              </w:rPr>
              <w:t>/工作空间业务使得其在办公领域具有强烈的</w:t>
            </w:r>
            <w:proofErr w:type="gramStart"/>
            <w:r w:rsidRPr="00660147">
              <w:rPr>
                <w:rFonts w:ascii="楷体" w:eastAsia="楷体" w:hAnsi="楷体"/>
                <w:color w:val="000000" w:themeColor="text1"/>
              </w:rPr>
              <w:t>引流拉新动力</w:t>
            </w:r>
            <w:proofErr w:type="gramEnd"/>
            <w:r w:rsidRPr="00660147">
              <w:rPr>
                <w:rFonts w:ascii="楷体" w:eastAsia="楷体" w:hAnsi="楷体"/>
                <w:color w:val="000000" w:themeColor="text1"/>
              </w:rPr>
              <w:t>。</w:t>
            </w:r>
            <w:proofErr w:type="gramStart"/>
            <w:r w:rsidRPr="00660147">
              <w:rPr>
                <w:rFonts w:ascii="楷体" w:eastAsia="楷体" w:hAnsi="楷体"/>
                <w:color w:val="000000" w:themeColor="text1"/>
              </w:rPr>
              <w:t>目前谷歌也</w:t>
            </w:r>
            <w:proofErr w:type="gramEnd"/>
            <w:r w:rsidRPr="00660147">
              <w:rPr>
                <w:rFonts w:ascii="楷体" w:eastAsia="楷体" w:hAnsi="楷体"/>
                <w:color w:val="000000" w:themeColor="text1"/>
              </w:rPr>
              <w:t>在积极布局大模型在B端业务，尝试双轨运行</w:t>
            </w:r>
          </w:p>
        </w:tc>
      </w:tr>
    </w:tbl>
    <w:p w14:paraId="43A9EE70" w14:textId="38D07F1C" w:rsidR="00985A4E" w:rsidRPr="00660147" w:rsidRDefault="00D161A8" w:rsidP="00D161A8">
      <w:pPr>
        <w:rPr>
          <w:rFonts w:ascii="楷体" w:eastAsia="楷体" w:hAnsi="楷体" w:hint="eastAsia"/>
          <w:color w:val="000000" w:themeColor="text1"/>
        </w:rPr>
      </w:pPr>
      <w:r w:rsidRPr="00660147">
        <w:rPr>
          <w:rFonts w:ascii="楷体" w:eastAsia="楷体" w:hAnsi="楷体" w:hint="eastAsia"/>
          <w:color w:val="000000" w:themeColor="text1"/>
        </w:rPr>
        <w:t>数据来源：UBS，Anthropic revenue 2026</w:t>
      </w:r>
    </w:p>
    <w:p w14:paraId="2FC7EF78" w14:textId="5BD3B311" w:rsidR="004F7E65" w:rsidRPr="00660147" w:rsidRDefault="00EF2F07">
      <w:pPr>
        <w:rPr>
          <w:rFonts w:ascii="楷体" w:eastAsia="楷体" w:hAnsi="楷体" w:hint="eastAsia"/>
          <w:color w:val="000000" w:themeColor="text1"/>
        </w:rPr>
      </w:pPr>
      <w:r w:rsidRPr="00660147">
        <w:rPr>
          <w:rFonts w:ascii="楷体" w:eastAsia="楷体" w:hAnsi="楷体" w:hint="eastAsia"/>
          <w:color w:val="000000" w:themeColor="text1"/>
          <w:szCs w:val="22"/>
        </w:rPr>
        <w:t>盈利能力和</w:t>
      </w:r>
      <w:proofErr w:type="gramStart"/>
      <w:r w:rsidRPr="00660147">
        <w:rPr>
          <w:rFonts w:ascii="楷体" w:eastAsia="楷体" w:hAnsi="楷体" w:hint="eastAsia"/>
          <w:color w:val="000000" w:themeColor="text1"/>
          <w:szCs w:val="22"/>
        </w:rPr>
        <w:t>可</w:t>
      </w:r>
      <w:proofErr w:type="gramEnd"/>
      <w:r w:rsidRPr="00660147">
        <w:rPr>
          <w:rFonts w:ascii="楷体" w:eastAsia="楷体" w:hAnsi="楷体" w:hint="eastAsia"/>
          <w:color w:val="000000" w:themeColor="text1"/>
          <w:szCs w:val="22"/>
        </w:rPr>
        <w:t>持续性逐渐成为投资的焦点，资本市场关注点已转向收入质量、毛利率改善及清晰的盈利拐点预期。尽管行业仍普遍亏损，但头部公司已展示出强劲的收入增长。例如，</w:t>
      </w:r>
      <w:proofErr w:type="spellStart"/>
      <w:r w:rsidRPr="00660147">
        <w:rPr>
          <w:rFonts w:ascii="楷体" w:eastAsia="楷体" w:hAnsi="楷体" w:hint="eastAsia"/>
          <w:color w:val="000000" w:themeColor="text1"/>
          <w:szCs w:val="22"/>
        </w:rPr>
        <w:t>MiniMax</w:t>
      </w:r>
      <w:proofErr w:type="spellEnd"/>
      <w:r w:rsidRPr="00660147">
        <w:rPr>
          <w:rFonts w:ascii="楷体" w:eastAsia="楷体" w:hAnsi="楷体" w:hint="eastAsia"/>
          <w:color w:val="000000" w:themeColor="text1"/>
          <w:szCs w:val="22"/>
        </w:rPr>
        <w:t>的年度经常性收入（ARR）在2026年2月已超过1.5亿美元，标志着从“烧钱投入期”向“价值兑现期”的过渡。</w:t>
      </w:r>
    </w:p>
    <w:p w14:paraId="243A9927" w14:textId="3D7086A0" w:rsidR="004F7E65" w:rsidRPr="00D357CC" w:rsidRDefault="00C06109">
      <w:pPr>
        <w:pStyle w:val="3"/>
        <w:rPr>
          <w:rFonts w:ascii="楷体" w:eastAsia="楷体" w:hAnsi="楷体" w:hint="eastAsia"/>
          <w:color w:val="000000" w:themeColor="text1"/>
          <w:sz w:val="30"/>
          <w:szCs w:val="30"/>
        </w:rPr>
      </w:pPr>
      <w:bookmarkStart w:id="11" w:name="_Toc228374861"/>
      <w:r w:rsidRPr="00D357CC">
        <w:rPr>
          <w:rFonts w:ascii="楷体" w:eastAsia="楷体" w:hAnsi="楷体" w:hint="eastAsia"/>
          <w:color w:val="000000" w:themeColor="text1"/>
          <w:sz w:val="30"/>
          <w:szCs w:val="30"/>
        </w:rPr>
        <w:lastRenderedPageBreak/>
        <w:t>2.1.3 下游：应用与产品落地</w:t>
      </w:r>
      <w:bookmarkEnd w:id="11"/>
    </w:p>
    <w:p w14:paraId="771221E1" w14:textId="5C861A13"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2.1.3.1 核心构成</w:t>
      </w:r>
    </w:p>
    <w:p w14:paraId="0DAA997C" w14:textId="36B72D70"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大模型应用正以前所未有的速度向各行业渗透，形成从通用工具到行业专有解决方案的矩阵。</w:t>
      </w:r>
      <w:r w:rsidR="00E250DA" w:rsidRPr="00660147">
        <w:rPr>
          <w:rFonts w:ascii="楷体" w:eastAsia="楷体" w:hAnsi="楷体"/>
          <w:color w:val="000000" w:themeColor="text1"/>
          <w:szCs w:val="22"/>
        </w:rPr>
        <w:t>大模型从基础能力到行业落地的路径，本质上是"通用</w:t>
      </w:r>
      <w:proofErr w:type="gramStart"/>
      <w:r w:rsidR="00E250DA" w:rsidRPr="00660147">
        <w:rPr>
          <w:rFonts w:ascii="楷体" w:eastAsia="楷体" w:hAnsi="楷体"/>
          <w:color w:val="000000" w:themeColor="text1"/>
          <w:szCs w:val="22"/>
        </w:rPr>
        <w:t>预训练—任务</w:t>
      </w:r>
      <w:proofErr w:type="gramEnd"/>
      <w:r w:rsidR="00E250DA" w:rsidRPr="00660147">
        <w:rPr>
          <w:rFonts w:ascii="楷体" w:eastAsia="楷体" w:hAnsi="楷体"/>
          <w:color w:val="000000" w:themeColor="text1"/>
          <w:szCs w:val="22"/>
        </w:rPr>
        <w:t>对齐—场景嵌入"的三层压缩过程。基础模型通过海量无标注语料习得语言的通用表征与推理框架，形成可迁移的"世界知识"；随后</w:t>
      </w:r>
      <w:proofErr w:type="gramStart"/>
      <w:r w:rsidR="00E250DA" w:rsidRPr="00660147">
        <w:rPr>
          <w:rFonts w:ascii="楷体" w:eastAsia="楷体" w:hAnsi="楷体"/>
          <w:color w:val="000000" w:themeColor="text1"/>
          <w:szCs w:val="22"/>
        </w:rPr>
        <w:t>经由有</w:t>
      </w:r>
      <w:proofErr w:type="gramEnd"/>
      <w:r w:rsidR="00E250DA" w:rsidRPr="00660147">
        <w:rPr>
          <w:rFonts w:ascii="楷体" w:eastAsia="楷体" w:hAnsi="楷体"/>
          <w:color w:val="000000" w:themeColor="text1"/>
          <w:szCs w:val="22"/>
        </w:rPr>
        <w:t>监督微调与强化学习对齐，将通用能力收敛到特定任务格式（如代码生成、文档摘要、客服对话），获得指令遵循与输出规范性；最终通过RAG检索增强、</w:t>
      </w:r>
      <w:proofErr w:type="spellStart"/>
      <w:r w:rsidR="00E250DA" w:rsidRPr="00660147">
        <w:rPr>
          <w:rFonts w:ascii="楷体" w:eastAsia="楷体" w:hAnsi="楷体"/>
          <w:color w:val="000000" w:themeColor="text1"/>
          <w:szCs w:val="22"/>
        </w:rPr>
        <w:t>LoRA</w:t>
      </w:r>
      <w:proofErr w:type="spellEnd"/>
      <w:r w:rsidR="00E250DA" w:rsidRPr="00660147">
        <w:rPr>
          <w:rFonts w:ascii="楷体" w:eastAsia="楷体" w:hAnsi="楷体"/>
          <w:color w:val="000000" w:themeColor="text1"/>
          <w:szCs w:val="22"/>
        </w:rPr>
        <w:t>轻量适配或Agent工具调用</w:t>
      </w:r>
      <w:r w:rsidR="00E250DA" w:rsidRPr="00660147">
        <w:rPr>
          <w:rFonts w:ascii="楷体" w:eastAsia="楷体" w:hAnsi="楷体" w:hint="eastAsia"/>
          <w:color w:val="000000" w:themeColor="text1"/>
          <w:szCs w:val="22"/>
        </w:rPr>
        <w:t>等I/O方案</w:t>
      </w:r>
      <w:r w:rsidR="00E250DA" w:rsidRPr="00660147">
        <w:rPr>
          <w:rFonts w:ascii="楷体" w:eastAsia="楷体" w:hAnsi="楷体"/>
          <w:color w:val="000000" w:themeColor="text1"/>
          <w:szCs w:val="22"/>
        </w:rPr>
        <w:t>，将模型嵌入企业私有数据流与业务系统（如金融投</w:t>
      </w:r>
      <w:proofErr w:type="gramStart"/>
      <w:r w:rsidR="00E250DA" w:rsidRPr="00660147">
        <w:rPr>
          <w:rFonts w:ascii="楷体" w:eastAsia="楷体" w:hAnsi="楷体"/>
          <w:color w:val="000000" w:themeColor="text1"/>
          <w:szCs w:val="22"/>
        </w:rPr>
        <w:t>研</w:t>
      </w:r>
      <w:proofErr w:type="gramEnd"/>
      <w:r w:rsidR="00E250DA" w:rsidRPr="00660147">
        <w:rPr>
          <w:rFonts w:ascii="楷体" w:eastAsia="楷体" w:hAnsi="楷体"/>
          <w:color w:val="000000" w:themeColor="text1"/>
          <w:szCs w:val="22"/>
        </w:rPr>
        <w:t>报告生成、医疗影像辅助诊断、法律合同审查），在保留基础推理能力的同时注入领域知识、合</w:t>
      </w:r>
      <w:proofErr w:type="gramStart"/>
      <w:r w:rsidR="00E250DA" w:rsidRPr="00660147">
        <w:rPr>
          <w:rFonts w:ascii="楷体" w:eastAsia="楷体" w:hAnsi="楷体"/>
          <w:color w:val="000000" w:themeColor="text1"/>
          <w:szCs w:val="22"/>
        </w:rPr>
        <w:t>规约束与操作</w:t>
      </w:r>
      <w:proofErr w:type="gramEnd"/>
      <w:r w:rsidR="00E250DA" w:rsidRPr="00660147">
        <w:rPr>
          <w:rFonts w:ascii="楷体" w:eastAsia="楷体" w:hAnsi="楷体"/>
          <w:color w:val="000000" w:themeColor="text1"/>
          <w:szCs w:val="22"/>
        </w:rPr>
        <w:t>权限。这一链条的终点并非模型本身，而是以模型为中枢的"人机协同工作流"——模型负责信息处理与初稿生成，人类负责价值判断与最终决策，二者在特定行业的SOP（标准作业程序）中形成闭环。</w:t>
      </w:r>
    </w:p>
    <w:p w14:paraId="43453448" w14:textId="5BB77FBB" w:rsidR="00DE1C29" w:rsidRPr="00660147" w:rsidRDefault="00DE1C29" w:rsidP="00DE1C29">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图：AI下游应用百景</w:t>
      </w:r>
    </w:p>
    <w:p w14:paraId="536011B1" w14:textId="0BC0419C" w:rsidR="007D73ED" w:rsidRPr="00660147" w:rsidRDefault="007D73ED">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9A1A468" wp14:editId="442AB700">
            <wp:extent cx="5274310" cy="2519680"/>
            <wp:effectExtent l="0" t="0" r="2540" b="0"/>
            <wp:docPr id="76209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4381" name=""/>
                    <pic:cNvPicPr/>
                  </pic:nvPicPr>
                  <pic:blipFill>
                    <a:blip r:embed="rId14"/>
                    <a:stretch>
                      <a:fillRect/>
                    </a:stretch>
                  </pic:blipFill>
                  <pic:spPr>
                    <a:xfrm>
                      <a:off x="0" y="0"/>
                      <a:ext cx="5274310" cy="2519680"/>
                    </a:xfrm>
                    <a:prstGeom prst="rect">
                      <a:avLst/>
                    </a:prstGeom>
                  </pic:spPr>
                </pic:pic>
              </a:graphicData>
            </a:graphic>
          </wp:inline>
        </w:drawing>
      </w:r>
    </w:p>
    <w:p w14:paraId="6BDB4E7F" w14:textId="29AC179B" w:rsidR="007D73ED" w:rsidRPr="00660147" w:rsidRDefault="007D73ED">
      <w:pPr>
        <w:rPr>
          <w:rFonts w:ascii="楷体" w:eastAsia="楷体" w:hAnsi="楷体" w:hint="eastAsia"/>
          <w:color w:val="000000" w:themeColor="text1"/>
        </w:rPr>
      </w:pPr>
      <w:r w:rsidRPr="00660147">
        <w:rPr>
          <w:rFonts w:ascii="楷体" w:eastAsia="楷体" w:hAnsi="楷体" w:hint="eastAsia"/>
          <w:color w:val="000000" w:themeColor="text1"/>
        </w:rPr>
        <w:t>来源：中欧商学院</w:t>
      </w:r>
    </w:p>
    <w:p w14:paraId="64CED2BB" w14:textId="4569028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To B（企业服务）场景：这是当前商业化落地最稳健、确定性最强的领域。金融、政务、医疗、制造、电商等行业是主力军。应用包括智能客服、代码辅助开发、智能营销、办公自动化、辅助诊断、生产流程优化等。这些场景</w:t>
      </w:r>
      <w:r w:rsidR="00DE1C29" w:rsidRPr="00660147">
        <w:rPr>
          <w:rFonts w:ascii="楷体" w:eastAsia="楷体" w:hAnsi="楷体" w:hint="eastAsia"/>
          <w:color w:val="000000" w:themeColor="text1"/>
          <w:szCs w:val="22"/>
        </w:rPr>
        <w:t>相对确定性高，客户</w:t>
      </w:r>
      <w:r w:rsidRPr="00660147">
        <w:rPr>
          <w:rFonts w:ascii="楷体" w:eastAsia="楷体" w:hAnsi="楷体" w:hint="eastAsia"/>
          <w:color w:val="000000" w:themeColor="text1"/>
          <w:szCs w:val="22"/>
        </w:rPr>
        <w:t>付费意愿强，能够</w:t>
      </w:r>
      <w:proofErr w:type="gramStart"/>
      <w:r w:rsidRPr="00660147">
        <w:rPr>
          <w:rFonts w:ascii="楷体" w:eastAsia="楷体" w:hAnsi="楷体" w:hint="eastAsia"/>
          <w:color w:val="000000" w:themeColor="text1"/>
          <w:szCs w:val="22"/>
        </w:rPr>
        <w:t>承接算力成本</w:t>
      </w:r>
      <w:proofErr w:type="gramEnd"/>
      <w:r w:rsidRPr="00660147">
        <w:rPr>
          <w:rFonts w:ascii="楷体" w:eastAsia="楷体" w:hAnsi="楷体" w:hint="eastAsia"/>
          <w:color w:val="000000" w:themeColor="text1"/>
          <w:szCs w:val="22"/>
        </w:rPr>
        <w:t>。</w:t>
      </w:r>
    </w:p>
    <w:p w14:paraId="6D7741F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To C（消费者）场景：包括AI聊天助手（如豆包、文心一言）、AIGC内容生成工具（文生图、视频生成）、AI社交、个人学习助理等。该模式想象空间大，但受巨头流量把控影响，独立厂商在国内的生存空间被压缩，出海机会更大。</w:t>
      </w:r>
    </w:p>
    <w:p w14:paraId="132AD8D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AI智能体（Agent）：这是下游应用演进的重要方向。智能</w:t>
      </w:r>
      <w:proofErr w:type="gramStart"/>
      <w:r w:rsidRPr="00660147">
        <w:rPr>
          <w:rFonts w:ascii="楷体" w:eastAsia="楷体" w:hAnsi="楷体" w:hint="eastAsia"/>
          <w:color w:val="000000" w:themeColor="text1"/>
          <w:szCs w:val="22"/>
        </w:rPr>
        <w:t>体不再</w:t>
      </w:r>
      <w:proofErr w:type="gramEnd"/>
      <w:r w:rsidRPr="00660147">
        <w:rPr>
          <w:rFonts w:ascii="楷体" w:eastAsia="楷体" w:hAnsi="楷体" w:hint="eastAsia"/>
          <w:color w:val="000000" w:themeColor="text1"/>
          <w:szCs w:val="22"/>
        </w:rPr>
        <w:t>是简单的问答机器人，而是能理解复杂指令、自主规划、调用工具完成任务的“数字员工”。其应用将Token消耗量提升了一个数量级，极大地拉动了中游模型调用和上游</w:t>
      </w:r>
      <w:proofErr w:type="gramStart"/>
      <w:r w:rsidRPr="00660147">
        <w:rPr>
          <w:rFonts w:ascii="楷体" w:eastAsia="楷体" w:hAnsi="楷体" w:hint="eastAsia"/>
          <w:color w:val="000000" w:themeColor="text1"/>
          <w:szCs w:val="22"/>
        </w:rPr>
        <w:t>推理算力需求</w:t>
      </w:r>
      <w:proofErr w:type="gramEnd"/>
      <w:r w:rsidRPr="00660147">
        <w:rPr>
          <w:rFonts w:ascii="楷体" w:eastAsia="楷体" w:hAnsi="楷体" w:hint="eastAsia"/>
          <w:color w:val="000000" w:themeColor="text1"/>
          <w:szCs w:val="22"/>
        </w:rPr>
        <w:t>。例如，开源项目OpenClaw（“龙虾”）的流行，直接带动了国产大模型调用量的激增。</w:t>
      </w:r>
    </w:p>
    <w:p w14:paraId="6DCD2217"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端侧</w:t>
      </w:r>
      <w:proofErr w:type="gramEnd"/>
      <w:r w:rsidRPr="00660147">
        <w:rPr>
          <w:rFonts w:ascii="楷体" w:eastAsia="楷体" w:hAnsi="楷体" w:hint="eastAsia"/>
          <w:color w:val="000000" w:themeColor="text1"/>
          <w:szCs w:val="22"/>
        </w:rPr>
        <w:t>AI：随着模型轻量化技术的发展，大模型正部署到手机、汽车、IoT设备等终端，实现低延迟、高隐私的本地化智能服务，开辟了新的市场空间。</w:t>
      </w:r>
    </w:p>
    <w:p w14:paraId="71A1CDD4" w14:textId="18C139F0" w:rsidR="004F7E65" w:rsidRPr="00660147" w:rsidRDefault="00C06109">
      <w:pPr>
        <w:pStyle w:val="4"/>
        <w:rPr>
          <w:rFonts w:ascii="楷体" w:eastAsia="楷体" w:hAnsi="楷体" w:hint="eastAsia"/>
          <w:color w:val="000000" w:themeColor="text1"/>
        </w:rPr>
      </w:pPr>
      <w:r w:rsidRPr="00660147">
        <w:rPr>
          <w:rFonts w:ascii="楷体" w:eastAsia="楷体" w:hAnsi="楷体" w:hint="eastAsia"/>
          <w:color w:val="000000" w:themeColor="text1"/>
        </w:rPr>
        <w:t>2.1.3.2 发展趋势</w:t>
      </w:r>
    </w:p>
    <w:p w14:paraId="6762396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下游应用的发展正深刻改变整个产业链的价值分配和增长逻辑。</w:t>
      </w:r>
    </w:p>
    <w:p w14:paraId="3E41C45E" w14:textId="7F500F7D"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应用模式变革驱动需求暴涨：从"问答式"</w:t>
      </w:r>
      <w:proofErr w:type="gramStart"/>
      <w:r w:rsidRPr="00660147">
        <w:rPr>
          <w:rFonts w:ascii="楷体" w:eastAsia="楷体" w:hAnsi="楷体" w:hint="eastAsia"/>
          <w:color w:val="000000" w:themeColor="text1"/>
          <w:szCs w:val="22"/>
        </w:rPr>
        <w:t>交互到</w:t>
      </w:r>
      <w:proofErr w:type="gramEnd"/>
      <w:r w:rsidRPr="00660147">
        <w:rPr>
          <w:rFonts w:ascii="楷体" w:eastAsia="楷体" w:hAnsi="楷体" w:hint="eastAsia"/>
          <w:color w:val="000000" w:themeColor="text1"/>
          <w:szCs w:val="22"/>
        </w:rPr>
        <w:t>"智能体"持续执行任务的模式转变，使得单次会话的Token消耗呈几何级数增长。这是推动2026年3月国产大模型周调用量突破 12.96 万亿Token、达到美国市场（3.03</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 xml:space="preserve">）的 4.28 </w:t>
      </w:r>
      <w:proofErr w:type="gramStart"/>
      <w:r w:rsidRPr="00660147">
        <w:rPr>
          <w:rFonts w:ascii="楷体" w:eastAsia="楷体" w:hAnsi="楷体" w:hint="eastAsia"/>
          <w:color w:val="000000" w:themeColor="text1"/>
          <w:szCs w:val="22"/>
        </w:rPr>
        <w:t>倍</w:t>
      </w:r>
      <w:proofErr w:type="gramEnd"/>
      <w:r w:rsidRPr="00660147">
        <w:rPr>
          <w:rFonts w:ascii="楷体" w:eastAsia="楷体" w:hAnsi="楷体" w:hint="eastAsia"/>
          <w:color w:val="000000" w:themeColor="text1"/>
          <w:szCs w:val="22"/>
        </w:rPr>
        <w:t>的核心原因。</w:t>
      </w:r>
    </w:p>
    <w:p w14:paraId="1F0E8F9C" w14:textId="3D6F2F9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“应用成功反哺全产业链”逻辑验证：一个成功的下游应用（如“龙虾”智能体）会像多米诺骨牌一样，强力拉动中游模型调用和</w:t>
      </w:r>
      <w:proofErr w:type="gramStart"/>
      <w:r w:rsidRPr="00660147">
        <w:rPr>
          <w:rFonts w:ascii="楷体" w:eastAsia="楷体" w:hAnsi="楷体" w:hint="eastAsia"/>
          <w:color w:val="000000" w:themeColor="text1"/>
          <w:szCs w:val="22"/>
        </w:rPr>
        <w:t>上游算力需求</w:t>
      </w:r>
      <w:proofErr w:type="gramEnd"/>
      <w:r w:rsidRPr="00660147">
        <w:rPr>
          <w:rFonts w:ascii="楷体" w:eastAsia="楷体" w:hAnsi="楷体" w:hint="eastAsia"/>
          <w:color w:val="000000" w:themeColor="text1"/>
          <w:szCs w:val="22"/>
        </w:rPr>
        <w:t>，验证了“应用-模型-算力”的产业增长飞轮。</w:t>
      </w:r>
    </w:p>
    <w:p w14:paraId="7B8D3E9F" w14:textId="2B44B8DA" w:rsidR="004F7E65" w:rsidRPr="00660147" w:rsidRDefault="001C0665" w:rsidP="001C0665">
      <w:pPr>
        <w:pStyle w:val="2"/>
        <w:rPr>
          <w:rFonts w:ascii="楷体" w:eastAsia="楷体" w:hAnsi="楷体" w:hint="eastAsia"/>
          <w:color w:val="000000" w:themeColor="text1"/>
          <w:sz w:val="32"/>
          <w:szCs w:val="36"/>
        </w:rPr>
      </w:pPr>
      <w:bookmarkStart w:id="12" w:name="_Toc228374862"/>
      <w:r w:rsidRPr="00660147">
        <w:rPr>
          <w:rFonts w:ascii="楷体" w:eastAsia="楷体" w:hAnsi="楷体" w:hint="eastAsia"/>
          <w:color w:val="000000" w:themeColor="text1"/>
          <w:sz w:val="32"/>
          <w:szCs w:val="36"/>
        </w:rPr>
        <w:t>2.2 商业</w:t>
      </w:r>
      <w:r w:rsidR="00D85A4D" w:rsidRPr="00660147">
        <w:rPr>
          <w:rFonts w:ascii="楷体" w:eastAsia="楷体" w:hAnsi="楷体" w:hint="eastAsia"/>
          <w:color w:val="000000" w:themeColor="text1"/>
          <w:sz w:val="32"/>
          <w:szCs w:val="36"/>
        </w:rPr>
        <w:t>化情况</w:t>
      </w:r>
      <w:bookmarkEnd w:id="12"/>
    </w:p>
    <w:p w14:paraId="7E235E43" w14:textId="54DAE328" w:rsidR="00387C17" w:rsidRPr="007E3262" w:rsidRDefault="00387C17" w:rsidP="00387C17">
      <w:pPr>
        <w:pStyle w:val="3"/>
        <w:rPr>
          <w:rFonts w:ascii="楷体" w:eastAsia="楷体" w:hAnsi="楷体" w:hint="eastAsia"/>
          <w:color w:val="000000" w:themeColor="text1"/>
          <w:sz w:val="30"/>
          <w:szCs w:val="30"/>
        </w:rPr>
      </w:pPr>
      <w:bookmarkStart w:id="13" w:name="_Toc228374863"/>
      <w:r w:rsidRPr="007E3262">
        <w:rPr>
          <w:rFonts w:ascii="楷体" w:eastAsia="楷体" w:hAnsi="楷体" w:hint="eastAsia"/>
          <w:color w:val="000000" w:themeColor="text1"/>
          <w:sz w:val="30"/>
          <w:szCs w:val="30"/>
        </w:rPr>
        <w:t>2.2.1 服务模式</w:t>
      </w:r>
      <w:bookmarkEnd w:id="13"/>
    </w:p>
    <w:p w14:paraId="2DE42501"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大模型的部署形态是其商业化落地的核心环节，直接决定了服务模式、成本结构、客户覆盖与收入增长曲线。当前，企业级市场已形成以云端部署和本地化部署为主流的两种形态，两者并非简单替代，而是针对不同客户需求、安全等级与成本</w:t>
      </w:r>
      <w:proofErr w:type="gramStart"/>
      <w:r w:rsidRPr="00660147">
        <w:rPr>
          <w:rFonts w:ascii="楷体" w:eastAsia="楷体" w:hAnsi="楷体" w:hint="eastAsia"/>
          <w:color w:val="000000" w:themeColor="text1"/>
          <w:szCs w:val="22"/>
        </w:rPr>
        <w:t>考量</w:t>
      </w:r>
      <w:proofErr w:type="gramEnd"/>
      <w:r w:rsidRPr="00660147">
        <w:rPr>
          <w:rFonts w:ascii="楷体" w:eastAsia="楷体" w:hAnsi="楷体" w:hint="eastAsia"/>
          <w:color w:val="000000" w:themeColor="text1"/>
          <w:szCs w:val="22"/>
        </w:rPr>
        <w:t>下的互补性选择。随着模型能力提升与市场教育深化，部署形态正呈现动态演进趋势。</w:t>
      </w:r>
    </w:p>
    <w:p w14:paraId="246C6A29"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从市场规模结构看，本地化部署目前占据主导地位。</w:t>
      </w:r>
    </w:p>
    <w:p w14:paraId="6E3175B7"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本地部署分为两种，一种是物理性本地部署，这类部署一般布设在企业或组织所属的物理机房内，此类机房由一系列为AI</w:t>
      </w:r>
      <w:proofErr w:type="gramStart"/>
      <w:r w:rsidRPr="00660147">
        <w:rPr>
          <w:rFonts w:ascii="楷体" w:eastAsia="楷体" w:hAnsi="楷体" w:hint="eastAsia"/>
          <w:color w:val="000000" w:themeColor="text1"/>
          <w:szCs w:val="22"/>
        </w:rPr>
        <w:t>存算规划</w:t>
      </w:r>
      <w:proofErr w:type="gramEnd"/>
      <w:r w:rsidRPr="00660147">
        <w:rPr>
          <w:rFonts w:ascii="楷体" w:eastAsia="楷体" w:hAnsi="楷体" w:hint="eastAsia"/>
          <w:color w:val="000000" w:themeColor="text1"/>
          <w:szCs w:val="22"/>
        </w:rPr>
        <w:t>而特殊定制</w:t>
      </w:r>
      <w:proofErr w:type="gramStart"/>
      <w:r w:rsidRPr="00660147">
        <w:rPr>
          <w:rFonts w:ascii="楷体" w:eastAsia="楷体" w:hAnsi="楷体" w:hint="eastAsia"/>
          <w:color w:val="000000" w:themeColor="text1"/>
          <w:szCs w:val="22"/>
        </w:rPr>
        <w:t>的算力机柜</w:t>
      </w:r>
      <w:proofErr w:type="gramEnd"/>
      <w:r w:rsidRPr="00660147">
        <w:rPr>
          <w:rFonts w:ascii="楷体" w:eastAsia="楷体" w:hAnsi="楷体" w:hint="eastAsia"/>
          <w:color w:val="000000" w:themeColor="text1"/>
          <w:szCs w:val="22"/>
        </w:rPr>
        <w:t>组成，物理部署涉及四类核心模块：</w:t>
      </w:r>
      <w:proofErr w:type="gramStart"/>
      <w:r w:rsidRPr="00660147">
        <w:rPr>
          <w:rFonts w:ascii="楷体" w:eastAsia="楷体" w:hAnsi="楷体" w:hint="eastAsia"/>
          <w:color w:val="000000" w:themeColor="text1"/>
          <w:szCs w:val="22"/>
        </w:rPr>
        <w:t>算力处理单元</w:t>
      </w:r>
      <w:proofErr w:type="gramEnd"/>
      <w:r w:rsidRPr="00660147">
        <w:rPr>
          <w:rFonts w:ascii="楷体" w:eastAsia="楷体" w:hAnsi="楷体" w:hint="eastAsia"/>
          <w:color w:val="000000" w:themeColor="text1"/>
          <w:szCs w:val="22"/>
        </w:rPr>
        <w:t>（GPU/TPU）、调度与系统平台（CPU+OS主机）、数据存储单元、机柜间高速通讯单元（光模块及光电转化设施）。物理部署的设备成本根据大模型的参数规模和复杂度而定，大模型的参数越高，并发吞吐量越大，算法结构越复杂，物理部署设备的要求就越高。在前超节点时代，一个单机柜的成本可能在数百万到一千万之间不等。而在即将到来的超节点时代中，一个紧耦合的单机柜的成本极有可能超过数千万甚至过亿。因此一般而言，只有财力雄厚的大型企业和组织才会选择进行</w:t>
      </w:r>
      <w:proofErr w:type="gramStart"/>
      <w:r w:rsidRPr="00660147">
        <w:rPr>
          <w:rFonts w:ascii="楷体" w:eastAsia="楷体" w:hAnsi="楷体" w:hint="eastAsia"/>
          <w:color w:val="000000" w:themeColor="text1"/>
          <w:szCs w:val="22"/>
        </w:rPr>
        <w:t>物理本地</w:t>
      </w:r>
      <w:proofErr w:type="gramEnd"/>
      <w:r w:rsidRPr="00660147">
        <w:rPr>
          <w:rFonts w:ascii="楷体" w:eastAsia="楷体" w:hAnsi="楷体" w:hint="eastAsia"/>
          <w:color w:val="000000" w:themeColor="text1"/>
          <w:szCs w:val="22"/>
        </w:rPr>
        <w:t>部署</w:t>
      </w:r>
    </w:p>
    <w:p w14:paraId="7A7DF0FA"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与物理性本地部署相对的是云端私有化部署。这类部署通常向云厂商租赁GPU云服务</w:t>
      </w:r>
      <w:r w:rsidRPr="00660147">
        <w:rPr>
          <w:rFonts w:ascii="楷体" w:eastAsia="楷体" w:hAnsi="楷体" w:hint="eastAsia"/>
          <w:color w:val="000000" w:themeColor="text1"/>
          <w:szCs w:val="22"/>
        </w:rPr>
        <w:lastRenderedPageBreak/>
        <w:t>器或裸金属实例，由客户（或模型厂商代为）将模型部署在租用的</w:t>
      </w:r>
      <w:proofErr w:type="gramStart"/>
      <w:r w:rsidRPr="00660147">
        <w:rPr>
          <w:rFonts w:ascii="楷体" w:eastAsia="楷体" w:hAnsi="楷体" w:hint="eastAsia"/>
          <w:color w:val="000000" w:themeColor="text1"/>
          <w:szCs w:val="22"/>
        </w:rPr>
        <w:t>云资源</w:t>
      </w:r>
      <w:proofErr w:type="gramEnd"/>
      <w:r w:rsidRPr="00660147">
        <w:rPr>
          <w:rFonts w:ascii="楷体" w:eastAsia="楷体" w:hAnsi="楷体" w:hint="eastAsia"/>
          <w:color w:val="000000" w:themeColor="text1"/>
          <w:szCs w:val="22"/>
        </w:rPr>
        <w:t>上。</w:t>
      </w:r>
      <w:proofErr w:type="gramStart"/>
      <w:r w:rsidRPr="00660147">
        <w:rPr>
          <w:rFonts w:ascii="楷体" w:eastAsia="楷体" w:hAnsi="楷体" w:hint="eastAsia"/>
          <w:color w:val="000000" w:themeColor="text1"/>
          <w:szCs w:val="22"/>
        </w:rPr>
        <w:t>云资源</w:t>
      </w:r>
      <w:proofErr w:type="gramEnd"/>
      <w:r w:rsidRPr="00660147">
        <w:rPr>
          <w:rFonts w:ascii="楷体" w:eastAsia="楷体" w:hAnsi="楷体" w:hint="eastAsia"/>
          <w:color w:val="000000" w:themeColor="text1"/>
          <w:szCs w:val="22"/>
        </w:rPr>
        <w:t>在底层</w:t>
      </w:r>
      <w:proofErr w:type="gramStart"/>
      <w:r w:rsidRPr="00660147">
        <w:rPr>
          <w:rFonts w:ascii="楷体" w:eastAsia="楷体" w:hAnsi="楷体" w:hint="eastAsia"/>
          <w:color w:val="000000" w:themeColor="text1"/>
          <w:szCs w:val="22"/>
        </w:rPr>
        <w:t>仍是算力厂商</w:t>
      </w:r>
      <w:proofErr w:type="gramEnd"/>
      <w:r w:rsidRPr="00660147">
        <w:rPr>
          <w:rFonts w:ascii="楷体" w:eastAsia="楷体" w:hAnsi="楷体" w:hint="eastAsia"/>
          <w:color w:val="000000" w:themeColor="text1"/>
          <w:szCs w:val="22"/>
        </w:rPr>
        <w:t>自有物理机房的硬件设备，只是经虚拟化封装后，以网络服务的形态交付给客户使用，客户通过网络访问的"云实例"，在底层仍对应着物理机房中具体的机柜、服务器与加速卡。相比自建机房，云端部署无需一次性采购硬件，初始投入低、上线周期短，可根据业务负载弹性</w:t>
      </w:r>
      <w:proofErr w:type="gramStart"/>
      <w:r w:rsidRPr="00660147">
        <w:rPr>
          <w:rFonts w:ascii="楷体" w:eastAsia="楷体" w:hAnsi="楷体" w:hint="eastAsia"/>
          <w:color w:val="000000" w:themeColor="text1"/>
          <w:szCs w:val="22"/>
        </w:rPr>
        <w:t>调整算力规模</w:t>
      </w:r>
      <w:proofErr w:type="gramEnd"/>
      <w:r w:rsidRPr="00660147">
        <w:rPr>
          <w:rFonts w:ascii="楷体" w:eastAsia="楷体" w:hAnsi="楷体" w:hint="eastAsia"/>
          <w:color w:val="000000" w:themeColor="text1"/>
          <w:szCs w:val="22"/>
        </w:rPr>
        <w:t>，但长期运行的综合成本通常比物理性本地部署更高。</w:t>
      </w:r>
    </w:p>
    <w:p w14:paraId="4C929EA1"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除上述两种本地部署外，第三种模式是</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API服务（亦称MaaS，模型即服务）。在这种模式下，大模型完全托管于模型厂商或云厂商的</w:t>
      </w:r>
      <w:proofErr w:type="gramStart"/>
      <w:r w:rsidRPr="00660147">
        <w:rPr>
          <w:rFonts w:ascii="楷体" w:eastAsia="楷体" w:hAnsi="楷体" w:hint="eastAsia"/>
          <w:color w:val="000000" w:themeColor="text1"/>
          <w:szCs w:val="22"/>
        </w:rPr>
        <w:t>算力集群</w:t>
      </w:r>
      <w:proofErr w:type="gramEnd"/>
      <w:r w:rsidRPr="00660147">
        <w:rPr>
          <w:rFonts w:ascii="楷体" w:eastAsia="楷体" w:hAnsi="楷体" w:hint="eastAsia"/>
          <w:color w:val="000000" w:themeColor="text1"/>
          <w:szCs w:val="22"/>
        </w:rPr>
        <w:t>中，客户无需租赁或采购</w:t>
      </w:r>
      <w:proofErr w:type="gramStart"/>
      <w:r w:rsidRPr="00660147">
        <w:rPr>
          <w:rFonts w:ascii="楷体" w:eastAsia="楷体" w:hAnsi="楷体" w:hint="eastAsia"/>
          <w:color w:val="000000" w:themeColor="text1"/>
          <w:szCs w:val="22"/>
        </w:rPr>
        <w:t>任何算力设备</w:t>
      </w:r>
      <w:proofErr w:type="gramEnd"/>
      <w:r w:rsidRPr="00660147">
        <w:rPr>
          <w:rFonts w:ascii="楷体" w:eastAsia="楷体" w:hAnsi="楷体" w:hint="eastAsia"/>
          <w:color w:val="000000" w:themeColor="text1"/>
          <w:szCs w:val="22"/>
        </w:rPr>
        <w:t>，也无需接触模型权重文件，仅通过标准化API接口调用模型的推理能力。服务以Token消耗量或月度订阅额度计费，客户按实际调用量付费。这种模式的本质是智能服务的消费而</w:t>
      </w:r>
      <w:proofErr w:type="gramStart"/>
      <w:r w:rsidRPr="00660147">
        <w:rPr>
          <w:rFonts w:ascii="楷体" w:eastAsia="楷体" w:hAnsi="楷体" w:hint="eastAsia"/>
          <w:color w:val="000000" w:themeColor="text1"/>
          <w:szCs w:val="22"/>
        </w:rPr>
        <w:t>非资产</w:t>
      </w:r>
      <w:proofErr w:type="gramEnd"/>
      <w:r w:rsidRPr="00660147">
        <w:rPr>
          <w:rFonts w:ascii="楷体" w:eastAsia="楷体" w:hAnsi="楷体" w:hint="eastAsia"/>
          <w:color w:val="000000" w:themeColor="text1"/>
          <w:szCs w:val="22"/>
        </w:rPr>
        <w:t>的持有，初始门槛最低、弹性最高，但模型能力边界、数据隐私策略及定价权完全由服务提供商掌控。</w:t>
      </w:r>
    </w:p>
    <w:p w14:paraId="2FDC716A" w14:textId="77777777"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根据Frost &amp; Sullivan的数据，2024年中国企业级大语言模型市场规模为47亿元，其中本地化</w:t>
      </w:r>
      <w:proofErr w:type="gramStart"/>
      <w:r w:rsidRPr="00660147">
        <w:rPr>
          <w:rFonts w:ascii="楷体" w:eastAsia="楷体" w:hAnsi="楷体" w:hint="eastAsia"/>
          <w:color w:val="000000" w:themeColor="text1"/>
          <w:szCs w:val="22"/>
        </w:rPr>
        <w:t>部署占比高</w:t>
      </w:r>
      <w:proofErr w:type="gramEnd"/>
      <w:r w:rsidRPr="00660147">
        <w:rPr>
          <w:rFonts w:ascii="楷体" w:eastAsia="楷体" w:hAnsi="楷体" w:hint="eastAsia"/>
          <w:color w:val="000000" w:themeColor="text1"/>
          <w:szCs w:val="22"/>
        </w:rPr>
        <w:t>达81%，</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API服务仅占19%。这深刻反映了国内企业客户，尤其是金融、政务、大型</w:t>
      </w:r>
      <w:proofErr w:type="gramStart"/>
      <w:r w:rsidRPr="00660147">
        <w:rPr>
          <w:rFonts w:ascii="楷体" w:eastAsia="楷体" w:hAnsi="楷体" w:hint="eastAsia"/>
          <w:color w:val="000000" w:themeColor="text1"/>
          <w:szCs w:val="22"/>
        </w:rPr>
        <w:t>央</w:t>
      </w:r>
      <w:proofErr w:type="gramEnd"/>
      <w:r w:rsidRPr="00660147">
        <w:rPr>
          <w:rFonts w:ascii="楷体" w:eastAsia="楷体" w:hAnsi="楷体" w:hint="eastAsia"/>
          <w:color w:val="000000" w:themeColor="text1"/>
          <w:szCs w:val="22"/>
        </w:rPr>
        <w:t>国企等领域，对数据主权、隐私保护和系统稳定性的极致要求。这些客户通常客单价高，合同金额可达百万甚至千万级别，且客户粘性强。</w:t>
      </w:r>
    </w:p>
    <w:p w14:paraId="514C7B4F" w14:textId="17F9CB1B" w:rsidR="00387C17" w:rsidRPr="00660147" w:rsidRDefault="00387C17" w:rsidP="00387C17">
      <w:pPr>
        <w:rPr>
          <w:rFonts w:ascii="楷体" w:eastAsia="楷体" w:hAnsi="楷体" w:hint="eastAsia"/>
          <w:color w:val="000000" w:themeColor="text1"/>
        </w:rPr>
      </w:pPr>
      <w:r w:rsidRPr="00660147">
        <w:rPr>
          <w:rFonts w:ascii="楷体" w:eastAsia="楷体" w:hAnsi="楷体" w:hint="eastAsia"/>
          <w:color w:val="000000" w:themeColor="text1"/>
          <w:szCs w:val="22"/>
        </w:rPr>
        <w:t>但，</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API服务正展现出更强的增长潜力。以行业领先的智谱公司为例，其2024年收入中本地化与云端</w:t>
      </w:r>
      <w:proofErr w:type="gramStart"/>
      <w:r w:rsidRPr="00660147">
        <w:rPr>
          <w:rFonts w:ascii="楷体" w:eastAsia="楷体" w:hAnsi="楷体" w:hint="eastAsia"/>
          <w:color w:val="000000" w:themeColor="text1"/>
          <w:szCs w:val="22"/>
        </w:rPr>
        <w:t>部署占</w:t>
      </w:r>
      <w:proofErr w:type="gramEnd"/>
      <w:r w:rsidRPr="00660147">
        <w:rPr>
          <w:rFonts w:ascii="楷体" w:eastAsia="楷体" w:hAnsi="楷体" w:hint="eastAsia"/>
          <w:color w:val="000000" w:themeColor="text1"/>
          <w:szCs w:val="22"/>
        </w:rPr>
        <w:t>比分别为84%和16%，本地化仍是主力。但公司预计，随着模型能力提升和客户付费习惯转化，</w:t>
      </w:r>
      <w:proofErr w:type="gramStart"/>
      <w:r w:rsidRPr="00660147">
        <w:rPr>
          <w:rFonts w:ascii="楷体" w:eastAsia="楷体" w:hAnsi="楷体" w:hint="eastAsia"/>
          <w:color w:val="000000" w:themeColor="text1"/>
          <w:szCs w:val="22"/>
        </w:rPr>
        <w:t>公有云</w:t>
      </w:r>
      <w:proofErr w:type="gramEnd"/>
      <w:r w:rsidRPr="00660147">
        <w:rPr>
          <w:rFonts w:ascii="楷体" w:eastAsia="楷体" w:hAnsi="楷体" w:hint="eastAsia"/>
          <w:color w:val="000000" w:themeColor="text1"/>
          <w:szCs w:val="22"/>
        </w:rPr>
        <w:t>API服务收入增速将持续超越本地化。其核心增长驱动力来自于标准化的MaaSAPI调用。公司模型日均Token消耗量从2024年底至2025年6月半年内增长23倍达到4.6</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，预计2025年底已超6</w:t>
      </w:r>
      <w:proofErr w:type="gramStart"/>
      <w:r w:rsidRPr="00660147">
        <w:rPr>
          <w:rFonts w:ascii="楷体" w:eastAsia="楷体" w:hAnsi="楷体" w:hint="eastAsia"/>
          <w:color w:val="000000" w:themeColor="text1"/>
          <w:szCs w:val="22"/>
        </w:rPr>
        <w:t>万亿</w:t>
      </w:r>
      <w:proofErr w:type="gramEnd"/>
      <w:r w:rsidRPr="00660147">
        <w:rPr>
          <w:rFonts w:ascii="楷体" w:eastAsia="楷体" w:hAnsi="楷体" w:hint="eastAsia"/>
          <w:color w:val="000000" w:themeColor="text1"/>
          <w:szCs w:val="22"/>
        </w:rPr>
        <w:t>。Token消耗量的</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增长直接支撑了API收入的扩张，预计至2026年初其API相关年度经常性收入（ARR）已接近6亿元，较去年同期实现数十倍增长。这预示着标准化、规模化的云端服务正成为下一阶段收入高增的引擎。</w:t>
      </w:r>
    </w:p>
    <w:p w14:paraId="35F198AC" w14:textId="3C883A76" w:rsidR="00D85A4D" w:rsidRPr="007E3262" w:rsidRDefault="00D85A4D" w:rsidP="00D85A4D">
      <w:pPr>
        <w:pStyle w:val="3"/>
        <w:rPr>
          <w:rFonts w:ascii="楷体" w:eastAsia="楷体" w:hAnsi="楷体" w:hint="eastAsia"/>
          <w:color w:val="000000" w:themeColor="text1"/>
          <w:sz w:val="30"/>
          <w:szCs w:val="30"/>
        </w:rPr>
      </w:pPr>
      <w:bookmarkStart w:id="14" w:name="_Toc228374864"/>
      <w:r w:rsidRPr="007E3262">
        <w:rPr>
          <w:rFonts w:ascii="楷体" w:eastAsia="楷体" w:hAnsi="楷体" w:hint="eastAsia"/>
          <w:color w:val="000000" w:themeColor="text1"/>
          <w:sz w:val="30"/>
          <w:szCs w:val="30"/>
        </w:rPr>
        <w:t>2.2.</w:t>
      </w:r>
      <w:r w:rsidR="00106375" w:rsidRPr="007E3262">
        <w:rPr>
          <w:rFonts w:ascii="楷体" w:eastAsia="楷体" w:hAnsi="楷体" w:hint="eastAsia"/>
          <w:color w:val="000000" w:themeColor="text1"/>
          <w:sz w:val="30"/>
          <w:szCs w:val="30"/>
        </w:rPr>
        <w:t>2</w:t>
      </w:r>
      <w:r w:rsidRPr="007E3262">
        <w:rPr>
          <w:rFonts w:ascii="楷体" w:eastAsia="楷体" w:hAnsi="楷体" w:hint="eastAsia"/>
          <w:color w:val="000000" w:themeColor="text1"/>
          <w:sz w:val="30"/>
          <w:szCs w:val="30"/>
        </w:rPr>
        <w:t xml:space="preserve"> 商业</w:t>
      </w:r>
      <w:r w:rsidR="00387C17" w:rsidRPr="007E3262">
        <w:rPr>
          <w:rFonts w:ascii="楷体" w:eastAsia="楷体" w:hAnsi="楷体" w:hint="eastAsia"/>
          <w:color w:val="000000" w:themeColor="text1"/>
          <w:sz w:val="30"/>
          <w:szCs w:val="30"/>
        </w:rPr>
        <w:t>模式</w:t>
      </w:r>
      <w:bookmarkEnd w:id="14"/>
    </w:p>
    <w:p w14:paraId="74A8654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大模型商业化目前形成三条清晰路径：API调用（MaaS）、订阅制（SaaS）和私有化部署（On-Premise），各自面向不同客群和使用场景。</w:t>
      </w:r>
    </w:p>
    <w:p w14:paraId="7B423705" w14:textId="56B0683E" w:rsidR="004F7E65"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API调用是</w:t>
      </w:r>
      <w:proofErr w:type="gramStart"/>
      <w:r w:rsidRPr="00660147">
        <w:rPr>
          <w:rFonts w:ascii="楷体" w:eastAsia="楷体" w:hAnsi="楷体" w:hint="eastAsia"/>
          <w:color w:val="000000" w:themeColor="text1"/>
          <w:szCs w:val="22"/>
        </w:rPr>
        <w:t>最</w:t>
      </w:r>
      <w:proofErr w:type="gramEnd"/>
      <w:r w:rsidRPr="00660147">
        <w:rPr>
          <w:rFonts w:ascii="楷体" w:eastAsia="楷体" w:hAnsi="楷体" w:hint="eastAsia"/>
          <w:color w:val="000000" w:themeColor="text1"/>
          <w:szCs w:val="22"/>
        </w:rPr>
        <w:t>核心的变现方式，按token计费，input/output分别定价。</w:t>
      </w:r>
      <w:r w:rsidR="001C0665" w:rsidRPr="00660147">
        <w:rPr>
          <w:rFonts w:ascii="楷体" w:eastAsia="楷体" w:hAnsi="楷体" w:hint="eastAsia"/>
          <w:color w:val="000000" w:themeColor="text1"/>
          <w:szCs w:val="22"/>
        </w:rPr>
        <w:t>通常</w:t>
      </w:r>
      <w:r w:rsidRPr="00660147">
        <w:rPr>
          <w:rFonts w:ascii="楷体" w:eastAsia="楷体" w:hAnsi="楷体" w:hint="eastAsia"/>
          <w:color w:val="000000" w:themeColor="text1"/>
          <w:szCs w:val="22"/>
        </w:rPr>
        <w:t>input价格为output的三分之一到十数</w:t>
      </w:r>
      <w:proofErr w:type="gramStart"/>
      <w:r w:rsidRPr="00660147">
        <w:rPr>
          <w:rFonts w:ascii="楷体" w:eastAsia="楷体" w:hAnsi="楷体" w:hint="eastAsia"/>
          <w:color w:val="000000" w:themeColor="text1"/>
          <w:szCs w:val="22"/>
        </w:rPr>
        <w:t>分之一</w:t>
      </w:r>
      <w:proofErr w:type="gramEnd"/>
      <w:r w:rsidRPr="00660147">
        <w:rPr>
          <w:rFonts w:ascii="楷体" w:eastAsia="楷体" w:hAnsi="楷体" w:hint="eastAsia"/>
          <w:color w:val="000000" w:themeColor="text1"/>
          <w:szCs w:val="22"/>
        </w:rPr>
        <w:t>。客户包括开发者、企业应用集成商和SaaS厂商。2024年Enterprise LLM市场中，云端</w:t>
      </w:r>
      <w:proofErr w:type="gramStart"/>
      <w:r w:rsidRPr="00660147">
        <w:rPr>
          <w:rFonts w:ascii="楷体" w:eastAsia="楷体" w:hAnsi="楷体" w:hint="eastAsia"/>
          <w:color w:val="000000" w:themeColor="text1"/>
          <w:szCs w:val="22"/>
        </w:rPr>
        <w:t>部署占</w:t>
      </w:r>
      <w:proofErr w:type="gramEnd"/>
      <w:r w:rsidRPr="00660147">
        <w:rPr>
          <w:rFonts w:ascii="楷体" w:eastAsia="楷体" w:hAnsi="楷体" w:hint="eastAsia"/>
          <w:color w:val="000000" w:themeColor="text1"/>
          <w:szCs w:val="22"/>
        </w:rPr>
        <w:t>比约49%，API调用是其中的主导形式。各厂商通过持续降价扩大采用规模：OpenAI GPT-4 Turbo在2023年</w:t>
      </w:r>
      <w:proofErr w:type="gramStart"/>
      <w:r w:rsidRPr="00660147">
        <w:rPr>
          <w:rFonts w:ascii="楷体" w:eastAsia="楷体" w:hAnsi="楷体" w:hint="eastAsia"/>
          <w:color w:val="000000" w:themeColor="text1"/>
          <w:szCs w:val="22"/>
        </w:rPr>
        <w:t>末定</w:t>
      </w:r>
      <w:proofErr w:type="gramEnd"/>
      <w:r w:rsidRPr="00660147">
        <w:rPr>
          <w:rFonts w:ascii="楷体" w:eastAsia="楷体" w:hAnsi="楷体" w:hint="eastAsia"/>
          <w:color w:val="000000" w:themeColor="text1"/>
          <w:szCs w:val="22"/>
        </w:rPr>
        <w:t>价$10/$30（/前为输入价格，后为输出价格，下同）每百万token，而2026年GPT-5.4已降至$2.50/$15 每百万token。Epoch AI研究显示，同等性能水平的推理价格以每</w:t>
      </w:r>
      <w:r w:rsidRPr="00660147">
        <w:rPr>
          <w:rFonts w:ascii="楷体" w:eastAsia="楷体" w:hAnsi="楷体" w:hint="eastAsia"/>
          <w:color w:val="000000" w:themeColor="text1"/>
          <w:szCs w:val="22"/>
        </w:rPr>
        <w:lastRenderedPageBreak/>
        <w:t>年约5-10倍的速度下降。</w:t>
      </w:r>
    </w:p>
    <w:p w14:paraId="78E8F944" w14:textId="0681F6DF" w:rsidR="00327FD5" w:rsidRPr="00660147" w:rsidRDefault="00327FD5" w:rsidP="00327FD5">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表：主流大模型I/O价格略</w:t>
      </w:r>
      <w:proofErr w:type="gramStart"/>
      <w:r w:rsidRPr="00660147">
        <w:rPr>
          <w:rFonts w:ascii="楷体" w:eastAsia="楷体" w:hAnsi="楷体" w:hint="eastAsia"/>
          <w:color w:val="000000" w:themeColor="text1"/>
          <w:szCs w:val="22"/>
        </w:rPr>
        <w:t>览</w:t>
      </w:r>
      <w:proofErr w:type="gramEnd"/>
    </w:p>
    <w:p w14:paraId="27FCC6D9" w14:textId="14AA9C69" w:rsidR="004D4EF4" w:rsidRPr="00660147" w:rsidRDefault="004D4EF4" w:rsidP="00327FD5">
      <w:pPr>
        <w:jc w:val="center"/>
        <w:rPr>
          <w:rFonts w:ascii="楷体" w:eastAsia="楷体" w:hAnsi="楷体"/>
          <w:color w:val="000000" w:themeColor="text1"/>
          <w:szCs w:val="22"/>
        </w:rPr>
      </w:pPr>
      <w:r w:rsidRPr="00660147">
        <w:rPr>
          <w:rFonts w:ascii="楷体" w:eastAsia="楷体" w:hAnsi="楷体"/>
          <w:noProof/>
          <w:color w:val="000000" w:themeColor="text1"/>
        </w:rPr>
        <w:drawing>
          <wp:inline distT="0" distB="0" distL="0" distR="0" wp14:anchorId="703F352B" wp14:editId="7EC82402">
            <wp:extent cx="4962525" cy="2161022"/>
            <wp:effectExtent l="0" t="0" r="0" b="0"/>
            <wp:docPr id="210962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1040" name=""/>
                    <pic:cNvPicPr/>
                  </pic:nvPicPr>
                  <pic:blipFill>
                    <a:blip r:embed="rId15"/>
                    <a:stretch>
                      <a:fillRect/>
                    </a:stretch>
                  </pic:blipFill>
                  <pic:spPr>
                    <a:xfrm>
                      <a:off x="0" y="0"/>
                      <a:ext cx="4991987" cy="2173852"/>
                    </a:xfrm>
                    <a:prstGeom prst="rect">
                      <a:avLst/>
                    </a:prstGeom>
                  </pic:spPr>
                </pic:pic>
              </a:graphicData>
            </a:graphic>
          </wp:inline>
        </w:drawing>
      </w:r>
    </w:p>
    <w:p w14:paraId="2BE1C0AD" w14:textId="25ED0B66" w:rsidR="000F43AA" w:rsidRPr="00660147" w:rsidRDefault="00327FD5">
      <w:pPr>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w:t>
      </w:r>
      <w:proofErr w:type="spellStart"/>
      <w:r w:rsidRPr="00660147">
        <w:rPr>
          <w:rFonts w:ascii="楷体" w:eastAsia="楷体" w:hAnsi="楷体" w:hint="eastAsia"/>
          <w:color w:val="000000" w:themeColor="text1"/>
          <w:szCs w:val="22"/>
        </w:rPr>
        <w:t>github</w:t>
      </w:r>
      <w:proofErr w:type="spellEnd"/>
      <w:r w:rsidRPr="00660147">
        <w:rPr>
          <w:rFonts w:ascii="楷体" w:eastAsia="楷体" w:hAnsi="楷体" w:hint="eastAsia"/>
          <w:color w:val="000000" w:themeColor="text1"/>
          <w:szCs w:val="22"/>
        </w:rPr>
        <w:t>，中泰证券</w:t>
      </w:r>
    </w:p>
    <w:p w14:paraId="1086DB04" w14:textId="1274DADB"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对使用者而言，token的价格下降并不会让总账单上AI的花销更低。Gartner 在2026年3月的报告中警告 ：虽然 token 成本到2030年将下降90%以上，但企业不会感到省钱——因为 Agent、多模态、长上下文等前沿应用每次任务消耗的 token 量是早期聊天机器人的几十倍。</w:t>
      </w:r>
    </w:p>
    <w:p w14:paraId="208CE659" w14:textId="03087B3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订阅制面向终端用户和企业办公场景。OpenAI的ChatGPT Plus（$20/月）、Pro（$200/月</w:t>
      </w:r>
      <w:r w:rsidR="0070608D" w:rsidRPr="00660147">
        <w:rPr>
          <w:rFonts w:ascii="楷体" w:eastAsia="楷体" w:hAnsi="楷体" w:hint="eastAsia"/>
          <w:color w:val="000000" w:themeColor="text1"/>
          <w:szCs w:val="22"/>
        </w:rPr>
        <w:t xml:space="preserve"> </w:t>
      </w:r>
      <w:proofErr w:type="gramStart"/>
      <w:r w:rsidR="0070608D" w:rsidRPr="00660147">
        <w:rPr>
          <w:rFonts w:ascii="楷体" w:eastAsia="楷体" w:hAnsi="楷体" w:hint="eastAsia"/>
          <w:color w:val="000000" w:themeColor="text1"/>
          <w:szCs w:val="22"/>
        </w:rPr>
        <w:t>由于算力紧张</w:t>
      </w:r>
      <w:proofErr w:type="gramEnd"/>
      <w:r w:rsidR="0070608D" w:rsidRPr="00660147">
        <w:rPr>
          <w:rFonts w:ascii="楷体" w:eastAsia="楷体" w:hAnsi="楷体" w:hint="eastAsia"/>
          <w:color w:val="000000" w:themeColor="text1"/>
          <w:szCs w:val="22"/>
        </w:rPr>
        <w:t>，于2026年4月已经取消</w:t>
      </w:r>
      <w:r w:rsidRPr="00660147">
        <w:rPr>
          <w:rFonts w:ascii="楷体" w:eastAsia="楷体" w:hAnsi="楷体" w:hint="eastAsia"/>
          <w:color w:val="000000" w:themeColor="text1"/>
          <w:szCs w:val="22"/>
        </w:rPr>
        <w:t>）和Team（$25/人/月）是最成熟的订阅体系，截至2025年7月拥有约3,500万付费订阅用户，付费转化率约5%。Google Gemini Advanced（$20/月）整合在Google One AI Premium中，截至2025年6月Gemini</w:t>
      </w:r>
      <w:proofErr w:type="gramStart"/>
      <w:r w:rsidRPr="00660147">
        <w:rPr>
          <w:rFonts w:ascii="楷体" w:eastAsia="楷体" w:hAnsi="楷体" w:hint="eastAsia"/>
          <w:color w:val="000000" w:themeColor="text1"/>
          <w:szCs w:val="22"/>
        </w:rPr>
        <w:t>月活用户</w:t>
      </w:r>
      <w:proofErr w:type="gramEnd"/>
      <w:r w:rsidRPr="00660147">
        <w:rPr>
          <w:rFonts w:ascii="楷体" w:eastAsia="楷体" w:hAnsi="楷体" w:hint="eastAsia"/>
          <w:color w:val="000000" w:themeColor="text1"/>
          <w:szCs w:val="22"/>
        </w:rPr>
        <w:t>达4.5亿。</w:t>
      </w:r>
    </w:p>
    <w:p w14:paraId="586D992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私有化部署主要面向金融、政府、医疗等对数据安全有强要求的行业。根据Forrester和IDC报告，PET（隐私增强技术）市场在2024年达$15.5亿，其中同态</w:t>
      </w:r>
      <w:proofErr w:type="gramStart"/>
      <w:r w:rsidRPr="00660147">
        <w:rPr>
          <w:rFonts w:ascii="楷体" w:eastAsia="楷体" w:hAnsi="楷体" w:hint="eastAsia"/>
          <w:color w:val="000000" w:themeColor="text1"/>
          <w:szCs w:val="22"/>
        </w:rPr>
        <w:t>加密占</w:t>
      </w:r>
      <w:proofErr w:type="gramEnd"/>
      <w:r w:rsidRPr="00660147">
        <w:rPr>
          <w:rFonts w:ascii="楷体" w:eastAsia="楷体" w:hAnsi="楷体" w:hint="eastAsia"/>
          <w:color w:val="000000" w:themeColor="text1"/>
          <w:szCs w:val="22"/>
        </w:rPr>
        <w:t>31.2%[AInvest, 2026]。企业选择私有化部署的核心驱动包括：数据合</w:t>
      </w:r>
      <w:proofErr w:type="gramStart"/>
      <w:r w:rsidRPr="00660147">
        <w:rPr>
          <w:rFonts w:ascii="楷体" w:eastAsia="楷体" w:hAnsi="楷体" w:hint="eastAsia"/>
          <w:color w:val="000000" w:themeColor="text1"/>
          <w:szCs w:val="22"/>
        </w:rPr>
        <w:t>规</w:t>
      </w:r>
      <w:proofErr w:type="gramEnd"/>
      <w:r w:rsidRPr="00660147">
        <w:rPr>
          <w:rFonts w:ascii="楷体" w:eastAsia="楷体" w:hAnsi="楷体" w:hint="eastAsia"/>
          <w:color w:val="000000" w:themeColor="text1"/>
          <w:szCs w:val="22"/>
        </w:rPr>
        <w:t>（GDPR、中国《生成式AI管理办法》等）、数据主权诉</w:t>
      </w:r>
      <w:proofErr w:type="gramStart"/>
      <w:r w:rsidRPr="00660147">
        <w:rPr>
          <w:rFonts w:ascii="楷体" w:eastAsia="楷体" w:hAnsi="楷体" w:hint="eastAsia"/>
          <w:color w:val="000000" w:themeColor="text1"/>
          <w:szCs w:val="22"/>
        </w:rPr>
        <w:t>求和低</w:t>
      </w:r>
      <w:proofErr w:type="gramEnd"/>
      <w:r w:rsidRPr="00660147">
        <w:rPr>
          <w:rFonts w:ascii="楷体" w:eastAsia="楷体" w:hAnsi="楷体" w:hint="eastAsia"/>
          <w:color w:val="000000" w:themeColor="text1"/>
          <w:szCs w:val="22"/>
        </w:rPr>
        <w:t>延迟需求。国内厂商在私有化部署方面具备先天优势，百度智能云、</w:t>
      </w:r>
      <w:proofErr w:type="gramStart"/>
      <w:r w:rsidRPr="00660147">
        <w:rPr>
          <w:rFonts w:ascii="楷体" w:eastAsia="楷体" w:hAnsi="楷体" w:hint="eastAsia"/>
          <w:color w:val="000000" w:themeColor="text1"/>
          <w:szCs w:val="22"/>
        </w:rPr>
        <w:t>阿里云均提供</w:t>
      </w:r>
      <w:proofErr w:type="gramEnd"/>
      <w:r w:rsidRPr="00660147">
        <w:rPr>
          <w:rFonts w:ascii="楷体" w:eastAsia="楷体" w:hAnsi="楷体" w:hint="eastAsia"/>
          <w:color w:val="000000" w:themeColor="text1"/>
          <w:szCs w:val="22"/>
        </w:rPr>
        <w:t>大模型私有化版本。</w:t>
      </w:r>
    </w:p>
    <w:p w14:paraId="7F996F8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三条路径并非互斥：头部厂商通常</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API + 订阅 + 私有化</w:t>
      </w:r>
      <w:proofErr w:type="gramStart"/>
      <w:r w:rsidRPr="00660147">
        <w:rPr>
          <w:rFonts w:ascii="楷体" w:eastAsia="楷体" w:hAnsi="楷体" w:hint="eastAsia"/>
          <w:color w:val="000000" w:themeColor="text1"/>
          <w:szCs w:val="22"/>
        </w:rPr>
        <w:t>”</w:t>
      </w:r>
      <w:proofErr w:type="gramEnd"/>
      <w:r w:rsidRPr="00660147">
        <w:rPr>
          <w:rFonts w:ascii="楷体" w:eastAsia="楷体" w:hAnsi="楷体" w:hint="eastAsia"/>
          <w:color w:val="000000" w:themeColor="text1"/>
          <w:szCs w:val="22"/>
        </w:rPr>
        <w:t>三线并行，并通过生态合作伙伴（如Anthropic与AWS Bedrock、Google Cloud Vertex AI的合作）扩大分发渠道。</w:t>
      </w:r>
    </w:p>
    <w:p w14:paraId="3C59036F" w14:textId="77777777" w:rsidR="004F7E65" w:rsidRPr="00660147" w:rsidRDefault="00000000">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表：B</w:t>
      </w:r>
      <w:proofErr w:type="gramStart"/>
      <w:r w:rsidRPr="00660147">
        <w:rPr>
          <w:rFonts w:ascii="楷体" w:eastAsia="楷体" w:hAnsi="楷体" w:hint="eastAsia"/>
          <w:color w:val="000000" w:themeColor="text1"/>
          <w:szCs w:val="22"/>
        </w:rPr>
        <w:t>端主要</w:t>
      </w:r>
      <w:proofErr w:type="gramEnd"/>
      <w:r w:rsidRPr="00660147">
        <w:rPr>
          <w:rFonts w:ascii="楷体" w:eastAsia="楷体" w:hAnsi="楷体" w:hint="eastAsia"/>
          <w:color w:val="000000" w:themeColor="text1"/>
          <w:szCs w:val="22"/>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59F350E0" w14:textId="77777777">
        <w:trPr>
          <w:trHeight w:val="270"/>
        </w:trPr>
        <w:tc>
          <w:tcPr>
            <w:tcW w:w="1560" w:type="dxa"/>
            <w:hideMark/>
          </w:tcPr>
          <w:p w14:paraId="3DE58E5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2A938C3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7976A1D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572BDE7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代表玩家</w:t>
            </w:r>
          </w:p>
        </w:tc>
        <w:tc>
          <w:tcPr>
            <w:tcW w:w="2268" w:type="dxa"/>
            <w:hideMark/>
          </w:tcPr>
          <w:p w14:paraId="4901825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7A32421D" w14:textId="77777777">
        <w:trPr>
          <w:trHeight w:val="1200"/>
        </w:trPr>
        <w:tc>
          <w:tcPr>
            <w:tcW w:w="1560" w:type="dxa"/>
            <w:hideMark/>
          </w:tcPr>
          <w:p w14:paraId="66727D7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MaaS（模型即服务）</w:t>
            </w:r>
          </w:p>
        </w:tc>
        <w:tc>
          <w:tcPr>
            <w:tcW w:w="1985" w:type="dxa"/>
            <w:hideMark/>
          </w:tcPr>
          <w:p w14:paraId="5143FAC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通过API提供大模型能力，企业按需调用</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降低开发门槛，一站式模型聚合+开发+维护</w:t>
            </w:r>
          </w:p>
        </w:tc>
        <w:tc>
          <w:tcPr>
            <w:tcW w:w="1984" w:type="dxa"/>
            <w:hideMark/>
          </w:tcPr>
          <w:p w14:paraId="37F84EC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少量按内容量（文本/图像/音频）收费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分层定价（基础版免费→企业版付费）</w:t>
            </w:r>
          </w:p>
        </w:tc>
        <w:tc>
          <w:tcPr>
            <w:tcW w:w="2126" w:type="dxa"/>
            <w:hideMark/>
          </w:tcPr>
          <w:p w14:paraId="4BF301C2" w14:textId="32071776"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OpenAI API</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百度文心·千帆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阿里通义·百炼</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字节火山方舟</w:t>
            </w:r>
          </w:p>
        </w:tc>
        <w:tc>
          <w:tcPr>
            <w:tcW w:w="2268" w:type="dxa"/>
            <w:hideMark/>
          </w:tcPr>
          <w:p w14:paraId="449744AC" w14:textId="3DEBE752"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头部厂商收入增长快</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但整体仍亏损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w:t>
            </w:r>
            <w:proofErr w:type="gramStart"/>
            <w:r w:rsidRPr="00660147">
              <w:rPr>
                <w:rFonts w:ascii="楷体" w:eastAsia="楷体" w:hAnsi="楷体" w:hint="eastAsia"/>
                <w:color w:val="000000" w:themeColor="text1"/>
                <w:szCs w:val="22"/>
              </w:rPr>
              <w:t>受算力成本</w:t>
            </w:r>
            <w:proofErr w:type="gramEnd"/>
            <w:r w:rsidRPr="00660147">
              <w:rPr>
                <w:rFonts w:ascii="楷体" w:eastAsia="楷体" w:hAnsi="楷体" w:hint="eastAsia"/>
                <w:color w:val="000000" w:themeColor="text1"/>
                <w:szCs w:val="22"/>
              </w:rPr>
              <w:t>制约</w:t>
            </w:r>
          </w:p>
        </w:tc>
      </w:tr>
      <w:tr w:rsidR="004F7E65" w:rsidRPr="00660147" w14:paraId="279A7664" w14:textId="77777777">
        <w:trPr>
          <w:trHeight w:val="960"/>
        </w:trPr>
        <w:tc>
          <w:tcPr>
            <w:tcW w:w="1560" w:type="dxa"/>
            <w:hideMark/>
          </w:tcPr>
          <w:p w14:paraId="751F45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本地化/私有化部署</w:t>
            </w:r>
          </w:p>
        </w:tc>
        <w:tc>
          <w:tcPr>
            <w:tcW w:w="1985" w:type="dxa"/>
            <w:hideMark/>
          </w:tcPr>
          <w:p w14:paraId="4BB085A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模型部署在企业自有基础设施内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提供行业数据微调、数据加训等服务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注重安全性、可控性和定制化</w:t>
            </w:r>
          </w:p>
        </w:tc>
        <w:tc>
          <w:tcPr>
            <w:tcW w:w="1984" w:type="dxa"/>
            <w:hideMark/>
          </w:tcPr>
          <w:p w14:paraId="4E0577E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项目制收费（一次性+运维）</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License授权费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可能</w:t>
            </w:r>
            <w:proofErr w:type="gramStart"/>
            <w:r w:rsidRPr="00660147">
              <w:rPr>
                <w:rFonts w:ascii="楷体" w:eastAsia="楷体" w:hAnsi="楷体" w:hint="eastAsia"/>
                <w:color w:val="000000" w:themeColor="text1"/>
                <w:szCs w:val="22"/>
              </w:rPr>
              <w:t>叠加算力硬件</w:t>
            </w:r>
            <w:proofErr w:type="gramEnd"/>
            <w:r w:rsidRPr="00660147">
              <w:rPr>
                <w:rFonts w:ascii="楷体" w:eastAsia="楷体" w:hAnsi="楷体" w:hint="eastAsia"/>
                <w:color w:val="000000" w:themeColor="text1"/>
                <w:szCs w:val="22"/>
              </w:rPr>
              <w:t>销售</w:t>
            </w:r>
          </w:p>
        </w:tc>
        <w:tc>
          <w:tcPr>
            <w:tcW w:w="2126" w:type="dxa"/>
            <w:hideMark/>
          </w:tcPr>
          <w:p w14:paraId="42D5668E" w14:textId="1039DC9A"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w:t>
            </w:r>
            <w:r w:rsidR="00F1171C" w:rsidRPr="00660147">
              <w:rPr>
                <w:rFonts w:ascii="楷体" w:eastAsia="楷体" w:hAnsi="楷体" w:hint="eastAsia"/>
                <w:color w:val="000000" w:themeColor="text1"/>
                <w:szCs w:val="22"/>
              </w:rPr>
              <w:t>本地化</w:t>
            </w:r>
            <w:proofErr w:type="gramStart"/>
            <w:r w:rsidRPr="00660147">
              <w:rPr>
                <w:rFonts w:ascii="楷体" w:eastAsia="楷体" w:hAnsi="楷体" w:hint="eastAsia"/>
                <w:color w:val="000000" w:themeColor="text1"/>
                <w:szCs w:val="22"/>
              </w:rPr>
              <w:t>化部署</w:t>
            </w:r>
            <w:proofErr w:type="gramEnd"/>
            <w:r w:rsidRPr="00660147">
              <w:rPr>
                <w:rFonts w:ascii="楷体" w:eastAsia="楷体" w:hAnsi="楷体" w:hint="eastAsia"/>
                <w:color w:val="000000" w:themeColor="text1"/>
                <w:szCs w:val="22"/>
              </w:rPr>
              <w:t>收入占比高）</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科大讯飞</w:t>
            </w:r>
            <w:proofErr w:type="gramEnd"/>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阿里云</w:t>
            </w:r>
          </w:p>
        </w:tc>
        <w:tc>
          <w:tcPr>
            <w:tcW w:w="2268" w:type="dxa"/>
            <w:hideMark/>
          </w:tcPr>
          <w:p w14:paraId="0FCC31A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客单价高但交付周期长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毛利率高于api调用（本地业务60%+）</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但项目</w:t>
            </w:r>
            <w:proofErr w:type="gramStart"/>
            <w:r w:rsidRPr="00660147">
              <w:rPr>
                <w:rFonts w:ascii="楷体" w:eastAsia="楷体" w:hAnsi="楷体" w:hint="eastAsia"/>
                <w:color w:val="000000" w:themeColor="text1"/>
                <w:szCs w:val="22"/>
              </w:rPr>
              <w:t>制难以</w:t>
            </w:r>
            <w:proofErr w:type="gramEnd"/>
            <w:r w:rsidRPr="00660147">
              <w:rPr>
                <w:rFonts w:ascii="楷体" w:eastAsia="楷体" w:hAnsi="楷体" w:hint="eastAsia"/>
                <w:color w:val="000000" w:themeColor="text1"/>
                <w:szCs w:val="22"/>
              </w:rPr>
              <w:t>规模化</w:t>
            </w:r>
          </w:p>
        </w:tc>
      </w:tr>
      <w:tr w:rsidR="004F7E65" w:rsidRPr="00660147" w14:paraId="26419873" w14:textId="77777777">
        <w:trPr>
          <w:trHeight w:val="960"/>
        </w:trPr>
        <w:tc>
          <w:tcPr>
            <w:tcW w:w="1560" w:type="dxa"/>
            <w:hideMark/>
          </w:tcPr>
          <w:p w14:paraId="6BBCAB2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行业解决方案</w:t>
            </w:r>
          </w:p>
        </w:tc>
        <w:tc>
          <w:tcPr>
            <w:tcW w:w="1985" w:type="dxa"/>
            <w:hideMark/>
          </w:tcPr>
          <w:p w14:paraId="3FFFB6D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基于大模型能力，针对垂直行业打造</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完整解决方案（金融、医疗、法律、教育等）</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包含模型+应用+数据+服务的打包方案</w:t>
            </w:r>
          </w:p>
        </w:tc>
        <w:tc>
          <w:tcPr>
            <w:tcW w:w="1984" w:type="dxa"/>
            <w:hideMark/>
          </w:tcPr>
          <w:p w14:paraId="50151EE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SaaS订阅费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按项目收费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按效果/结果付费（新兴）</w:t>
            </w:r>
          </w:p>
        </w:tc>
        <w:tc>
          <w:tcPr>
            <w:tcW w:w="2126" w:type="dxa"/>
            <w:hideMark/>
          </w:tcPr>
          <w:p w14:paraId="554F7FD9" w14:textId="741FE6F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百度（金融、政务）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阿里（医疗、零售）</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腾讯（企业智能体）</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科大讯飞（教育、医疗）</w:t>
            </w:r>
          </w:p>
        </w:tc>
        <w:tc>
          <w:tcPr>
            <w:tcW w:w="2268" w:type="dxa"/>
            <w:hideMark/>
          </w:tcPr>
          <w:p w14:paraId="65E8924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部分场景开始变现</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但多数仍在跑通PMF（取得用户-取得付费用户-付费用户积累）阶段</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传统行业渗透率仍低</w:t>
            </w:r>
          </w:p>
        </w:tc>
      </w:tr>
      <w:tr w:rsidR="004F7E65" w:rsidRPr="00660147" w14:paraId="6F9ED971" w14:textId="77777777">
        <w:trPr>
          <w:trHeight w:val="960"/>
        </w:trPr>
        <w:tc>
          <w:tcPr>
            <w:tcW w:w="1560" w:type="dxa"/>
            <w:hideMark/>
          </w:tcPr>
          <w:p w14:paraId="3D822CA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 Agent/企业智能体</w:t>
            </w:r>
          </w:p>
        </w:tc>
        <w:tc>
          <w:tcPr>
            <w:tcW w:w="1985" w:type="dxa"/>
            <w:hideMark/>
          </w:tcPr>
          <w:p w14:paraId="45F7B0F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基于大模型的自主执行代理</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可完成多步骤复杂任务</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替代部分人工岗位</w:t>
            </w:r>
          </w:p>
        </w:tc>
        <w:tc>
          <w:tcPr>
            <w:tcW w:w="1984" w:type="dxa"/>
            <w:hideMark/>
          </w:tcPr>
          <w:p w14:paraId="4A4D240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按任务/执行次数收费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SaaS订阅</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按结果</w:t>
            </w:r>
            <w:proofErr w:type="gramEnd"/>
            <w:r w:rsidRPr="00660147">
              <w:rPr>
                <w:rFonts w:ascii="楷体" w:eastAsia="楷体" w:hAnsi="楷体" w:hint="eastAsia"/>
                <w:color w:val="000000" w:themeColor="text1"/>
                <w:szCs w:val="22"/>
              </w:rPr>
              <w:t>/ROI分成（探索中）</w:t>
            </w:r>
          </w:p>
        </w:tc>
        <w:tc>
          <w:tcPr>
            <w:tcW w:w="2126" w:type="dxa"/>
            <w:hideMark/>
          </w:tcPr>
          <w:p w14:paraId="0C6C567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ServiceNow</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Salesforce</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腾讯（元宝Agent）</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中关村科金PowerClaw</w:t>
            </w:r>
          </w:p>
        </w:tc>
        <w:tc>
          <w:tcPr>
            <w:tcW w:w="2268" w:type="dxa"/>
            <w:hideMark/>
          </w:tcPr>
          <w:p w14:paraId="333E145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商业化早期</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2030E TAM约1000亿美元（Goldman）</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企业付费意愿正在验证</w:t>
            </w:r>
          </w:p>
        </w:tc>
      </w:tr>
      <w:tr w:rsidR="004F7E65" w:rsidRPr="00660147" w14:paraId="3FE3F8F5" w14:textId="77777777">
        <w:trPr>
          <w:trHeight w:val="960"/>
        </w:trPr>
        <w:tc>
          <w:tcPr>
            <w:tcW w:w="1560" w:type="dxa"/>
            <w:hideMark/>
          </w:tcPr>
          <w:p w14:paraId="3C08B8B7"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算力</w:t>
            </w:r>
            <w:proofErr w:type="gramEnd"/>
            <w:r w:rsidRPr="00660147">
              <w:rPr>
                <w:rFonts w:ascii="楷体" w:eastAsia="楷体" w:hAnsi="楷体" w:hint="eastAsia"/>
                <w:color w:val="000000" w:themeColor="text1"/>
                <w:szCs w:val="22"/>
              </w:rPr>
              <w:t>+模型捆绑</w:t>
            </w:r>
          </w:p>
        </w:tc>
        <w:tc>
          <w:tcPr>
            <w:tcW w:w="1985" w:type="dxa"/>
            <w:hideMark/>
          </w:tcPr>
          <w:p w14:paraId="35A3174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云厂商将大模型与</w:t>
            </w:r>
            <w:proofErr w:type="gramStart"/>
            <w:r w:rsidRPr="00660147">
              <w:rPr>
                <w:rFonts w:ascii="楷体" w:eastAsia="楷体" w:hAnsi="楷体" w:hint="eastAsia"/>
                <w:color w:val="000000" w:themeColor="text1"/>
                <w:szCs w:val="22"/>
              </w:rPr>
              <w:t>云基础</w:t>
            </w:r>
            <w:proofErr w:type="gramEnd"/>
            <w:r w:rsidRPr="00660147">
              <w:rPr>
                <w:rFonts w:ascii="楷体" w:eastAsia="楷体" w:hAnsi="楷体" w:hint="eastAsia"/>
                <w:color w:val="000000" w:themeColor="text1"/>
                <w:szCs w:val="22"/>
              </w:rPr>
              <w:t>设施打包</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通过模型需求</w:t>
            </w:r>
            <w:proofErr w:type="gramStart"/>
            <w:r w:rsidRPr="00660147">
              <w:rPr>
                <w:rFonts w:ascii="楷体" w:eastAsia="楷体" w:hAnsi="楷体" w:hint="eastAsia"/>
                <w:color w:val="000000" w:themeColor="text1"/>
                <w:szCs w:val="22"/>
              </w:rPr>
              <w:t>拉动云业务</w:t>
            </w:r>
            <w:proofErr w:type="gramEnd"/>
            <w:r w:rsidRPr="00660147">
              <w:rPr>
                <w:rFonts w:ascii="楷体" w:eastAsia="楷体" w:hAnsi="楷体" w:hint="eastAsia"/>
                <w:color w:val="000000" w:themeColor="text1"/>
                <w:szCs w:val="22"/>
              </w:rPr>
              <w:t>增长</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算力成本通过云服务</w:t>
            </w:r>
            <w:proofErr w:type="gramEnd"/>
            <w:r w:rsidRPr="00660147">
              <w:rPr>
                <w:rFonts w:ascii="楷体" w:eastAsia="楷体" w:hAnsi="楷体" w:hint="eastAsia"/>
                <w:color w:val="000000" w:themeColor="text1"/>
                <w:szCs w:val="22"/>
              </w:rPr>
              <w:t>收入回收</w:t>
            </w:r>
          </w:p>
        </w:tc>
        <w:tc>
          <w:tcPr>
            <w:tcW w:w="1984" w:type="dxa"/>
            <w:hideMark/>
          </w:tcPr>
          <w:p w14:paraId="4CC0CD9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云服务费（</w:t>
            </w:r>
            <w:proofErr w:type="gramStart"/>
            <w:r w:rsidRPr="00660147">
              <w:rPr>
                <w:rFonts w:ascii="楷体" w:eastAsia="楷体" w:hAnsi="楷体" w:hint="eastAsia"/>
                <w:color w:val="000000" w:themeColor="text1"/>
                <w:szCs w:val="22"/>
              </w:rPr>
              <w:t>含算力</w:t>
            </w:r>
            <w:proofErr w:type="gramEnd"/>
            <w:r w:rsidRPr="00660147">
              <w:rPr>
                <w:rFonts w:ascii="楷体" w:eastAsia="楷体" w:hAnsi="楷体" w:hint="eastAsia"/>
                <w:color w:val="000000" w:themeColor="text1"/>
                <w:szCs w:val="22"/>
              </w:rPr>
              <w:t>）</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模型调用附加费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一体化定价</w:t>
            </w:r>
          </w:p>
        </w:tc>
        <w:tc>
          <w:tcPr>
            <w:tcW w:w="2126" w:type="dxa"/>
            <w:hideMark/>
          </w:tcPr>
          <w:p w14:paraId="1B9D038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阿里云</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百度智能云</w:t>
            </w:r>
            <w:r w:rsidRPr="00660147">
              <w:rPr>
                <w:rFonts w:ascii="楷体" w:eastAsia="楷体" w:hAnsi="楷体" w:hint="eastAsia"/>
                <w:color w:val="000000" w:themeColor="text1"/>
              </w:rPr>
              <w:br/>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AWS/Azure/GCP</w:t>
            </w:r>
          </w:p>
        </w:tc>
        <w:tc>
          <w:tcPr>
            <w:tcW w:w="2268" w:type="dxa"/>
            <w:hideMark/>
          </w:tcPr>
          <w:p w14:paraId="719D702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云厂商AI相关收入高速增长</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3Q25美国云厂商AI Capex +71% YoY</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但利润率</w:t>
            </w:r>
            <w:proofErr w:type="gramStart"/>
            <w:r w:rsidRPr="00660147">
              <w:rPr>
                <w:rFonts w:ascii="楷体" w:eastAsia="楷体" w:hAnsi="楷体" w:hint="eastAsia"/>
                <w:color w:val="000000" w:themeColor="text1"/>
                <w:szCs w:val="22"/>
              </w:rPr>
              <w:t>受算力投入</w:t>
            </w:r>
            <w:proofErr w:type="gramEnd"/>
            <w:r w:rsidRPr="00660147">
              <w:rPr>
                <w:rFonts w:ascii="楷体" w:eastAsia="楷体" w:hAnsi="楷体" w:hint="eastAsia"/>
                <w:color w:val="000000" w:themeColor="text1"/>
                <w:szCs w:val="22"/>
              </w:rPr>
              <w:t>拖累</w:t>
            </w:r>
          </w:p>
        </w:tc>
      </w:tr>
      <w:tr w:rsidR="004F7E65" w:rsidRPr="00660147" w14:paraId="7E5D440C" w14:textId="77777777">
        <w:trPr>
          <w:trHeight w:val="960"/>
        </w:trPr>
        <w:tc>
          <w:tcPr>
            <w:tcW w:w="1560" w:type="dxa"/>
          </w:tcPr>
          <w:p w14:paraId="27D2ADC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广告</w:t>
            </w:r>
          </w:p>
        </w:tc>
        <w:tc>
          <w:tcPr>
            <w:tcW w:w="1985" w:type="dxa"/>
          </w:tcPr>
          <w:p w14:paraId="5861EF9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分为AI赋能广告制作和AI赋能广告投放</w:t>
            </w:r>
          </w:p>
        </w:tc>
        <w:tc>
          <w:tcPr>
            <w:tcW w:w="1984" w:type="dxa"/>
          </w:tcPr>
          <w:p w14:paraId="4031E34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商业协议合作</w:t>
            </w:r>
          </w:p>
        </w:tc>
        <w:tc>
          <w:tcPr>
            <w:tcW w:w="2126" w:type="dxa"/>
          </w:tcPr>
          <w:p w14:paraId="54E7F533" w14:textId="0A228E53" w:rsidR="004F7E65" w:rsidRPr="00660147" w:rsidRDefault="00C74216">
            <w:pPr>
              <w:rPr>
                <w:rFonts w:ascii="楷体" w:eastAsia="楷体" w:hAnsi="楷体" w:hint="eastAsia"/>
                <w:color w:val="000000" w:themeColor="text1"/>
              </w:rPr>
            </w:pPr>
            <w:r w:rsidRPr="00660147">
              <w:rPr>
                <w:rFonts w:ascii="楷体" w:eastAsia="楷体" w:hAnsi="楷体" w:hint="eastAsia"/>
                <w:color w:val="000000" w:themeColor="text1"/>
                <w:szCs w:val="22"/>
              </w:rPr>
              <w:t>Gemini</w:t>
            </w:r>
            <w:r w:rsidR="00000000" w:rsidRPr="00660147">
              <w:rPr>
                <w:rFonts w:ascii="楷体" w:eastAsia="楷体" w:hAnsi="楷体" w:hint="eastAsia"/>
                <w:color w:val="000000" w:themeColor="text1"/>
                <w:szCs w:val="22"/>
              </w:rPr>
              <w:t>，Vidu，米云等</w:t>
            </w:r>
          </w:p>
        </w:tc>
        <w:tc>
          <w:tcPr>
            <w:tcW w:w="2268" w:type="dxa"/>
          </w:tcPr>
          <w:p w14:paraId="61B6956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目前最成熟的AI变现路径之一</w:t>
            </w:r>
          </w:p>
          <w:p w14:paraId="348E24C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ROI可量化，广告主付费意愿强</w:t>
            </w:r>
          </w:p>
          <w:p w14:paraId="4C268F8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AI从成本中心→利润中心</w:t>
            </w:r>
          </w:p>
        </w:tc>
      </w:tr>
    </w:tbl>
    <w:p w14:paraId="5B0872EC" w14:textId="77777777" w:rsidR="004F7E65" w:rsidRPr="00660147" w:rsidRDefault="004F7E65">
      <w:pPr>
        <w:rPr>
          <w:rFonts w:ascii="楷体" w:eastAsia="楷体" w:hAnsi="楷体" w:hint="eastAsia"/>
          <w:color w:val="000000" w:themeColor="text1"/>
        </w:rPr>
      </w:pPr>
    </w:p>
    <w:p w14:paraId="6E2DBD9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表：C</w:t>
      </w:r>
      <w:proofErr w:type="gramStart"/>
      <w:r w:rsidRPr="00660147">
        <w:rPr>
          <w:rFonts w:ascii="楷体" w:eastAsia="楷体" w:hAnsi="楷体" w:hint="eastAsia"/>
          <w:color w:val="000000" w:themeColor="text1"/>
          <w:szCs w:val="22"/>
        </w:rPr>
        <w:t>端主要</w:t>
      </w:r>
      <w:proofErr w:type="gramEnd"/>
      <w:r w:rsidRPr="00660147">
        <w:rPr>
          <w:rFonts w:ascii="楷体" w:eastAsia="楷体" w:hAnsi="楷体" w:hint="eastAsia"/>
          <w:color w:val="000000" w:themeColor="text1"/>
          <w:szCs w:val="22"/>
        </w:rPr>
        <w:t>商业模式</w:t>
      </w:r>
    </w:p>
    <w:tbl>
      <w:tblPr>
        <w:tblStyle w:val="af2"/>
        <w:tblW w:w="9923" w:type="dxa"/>
        <w:tblInd w:w="-856" w:type="dxa"/>
        <w:tblLook w:val="04A0" w:firstRow="1" w:lastRow="0" w:firstColumn="1" w:lastColumn="0" w:noHBand="0" w:noVBand="1"/>
      </w:tblPr>
      <w:tblGrid>
        <w:gridCol w:w="1560"/>
        <w:gridCol w:w="1985"/>
        <w:gridCol w:w="1984"/>
        <w:gridCol w:w="2126"/>
        <w:gridCol w:w="2268"/>
      </w:tblGrid>
      <w:tr w:rsidR="004F7E65" w:rsidRPr="00660147" w14:paraId="6A8B4992" w14:textId="77777777">
        <w:trPr>
          <w:trHeight w:val="270"/>
        </w:trPr>
        <w:tc>
          <w:tcPr>
            <w:tcW w:w="1560" w:type="dxa"/>
            <w:hideMark/>
          </w:tcPr>
          <w:p w14:paraId="6BCF65B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模式</w:t>
            </w:r>
          </w:p>
        </w:tc>
        <w:tc>
          <w:tcPr>
            <w:tcW w:w="1985" w:type="dxa"/>
            <w:hideMark/>
          </w:tcPr>
          <w:p w14:paraId="0E7DA36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说明</w:t>
            </w:r>
          </w:p>
        </w:tc>
        <w:tc>
          <w:tcPr>
            <w:tcW w:w="1984" w:type="dxa"/>
            <w:hideMark/>
          </w:tcPr>
          <w:p w14:paraId="04F2676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收费方式</w:t>
            </w:r>
          </w:p>
        </w:tc>
        <w:tc>
          <w:tcPr>
            <w:tcW w:w="2126" w:type="dxa"/>
            <w:hideMark/>
          </w:tcPr>
          <w:p w14:paraId="6274E09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代表玩家</w:t>
            </w:r>
          </w:p>
        </w:tc>
        <w:tc>
          <w:tcPr>
            <w:tcW w:w="2268" w:type="dxa"/>
            <w:hideMark/>
          </w:tcPr>
          <w:p w14:paraId="38D8A6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盈利现状</w:t>
            </w:r>
          </w:p>
        </w:tc>
      </w:tr>
      <w:tr w:rsidR="004F7E65" w:rsidRPr="00660147" w14:paraId="008F978D" w14:textId="77777777">
        <w:trPr>
          <w:trHeight w:val="1200"/>
        </w:trPr>
        <w:tc>
          <w:tcPr>
            <w:tcW w:w="1560" w:type="dxa"/>
            <w:hideMark/>
          </w:tcPr>
          <w:p w14:paraId="7C92441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MaaS（模型即服务）</w:t>
            </w:r>
          </w:p>
        </w:tc>
        <w:tc>
          <w:tcPr>
            <w:tcW w:w="1985" w:type="dxa"/>
            <w:hideMark/>
          </w:tcPr>
          <w:p w14:paraId="124A652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分为API售卖，订阅制度两部分</w:t>
            </w:r>
          </w:p>
        </w:tc>
        <w:tc>
          <w:tcPr>
            <w:tcW w:w="1984" w:type="dxa"/>
            <w:hideMark/>
          </w:tcPr>
          <w:p w14:paraId="4B17FB9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API售卖主要按Token消耗量计费</w:t>
            </w:r>
            <w:r w:rsidRPr="00660147">
              <w:rPr>
                <w:rFonts w:ascii="楷体" w:eastAsia="楷体" w:hAnsi="楷体" w:hint="eastAsia"/>
                <w:color w:val="000000" w:themeColor="text1"/>
              </w:rPr>
              <w:br/>
            </w:r>
            <w:r w:rsidRPr="00660147">
              <w:rPr>
                <w:rFonts w:ascii="楷体" w:eastAsia="楷体" w:hAnsi="楷体" w:hint="eastAsia"/>
                <w:color w:val="000000" w:themeColor="text1"/>
                <w:szCs w:val="22"/>
              </w:rPr>
              <w:t>，订阅制度一般为</w:t>
            </w:r>
            <w:proofErr w:type="gramStart"/>
            <w:r w:rsidRPr="00660147">
              <w:rPr>
                <w:rFonts w:ascii="楷体" w:eastAsia="楷体" w:hAnsi="楷体" w:hint="eastAsia"/>
                <w:color w:val="000000" w:themeColor="text1"/>
                <w:szCs w:val="22"/>
              </w:rPr>
              <w:t>月包或者年包</w:t>
            </w:r>
            <w:proofErr w:type="gramEnd"/>
          </w:p>
        </w:tc>
        <w:tc>
          <w:tcPr>
            <w:tcW w:w="2126" w:type="dxa"/>
            <w:hideMark/>
          </w:tcPr>
          <w:p w14:paraId="721A8E1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几乎所有模型厂商</w:t>
            </w:r>
          </w:p>
        </w:tc>
        <w:tc>
          <w:tcPr>
            <w:tcW w:w="2268" w:type="dxa"/>
            <w:hideMark/>
          </w:tcPr>
          <w:p w14:paraId="7FC9ECD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使用量增长几块，但价格战剧烈，毛利率收到</w:t>
            </w:r>
            <w:proofErr w:type="gramStart"/>
            <w:r w:rsidRPr="00660147">
              <w:rPr>
                <w:rFonts w:ascii="楷体" w:eastAsia="楷体" w:hAnsi="楷体" w:hint="eastAsia"/>
                <w:color w:val="000000" w:themeColor="text1"/>
                <w:szCs w:val="22"/>
              </w:rPr>
              <w:t>算力成本</w:t>
            </w:r>
            <w:proofErr w:type="gramEnd"/>
            <w:r w:rsidRPr="00660147">
              <w:rPr>
                <w:rFonts w:ascii="楷体" w:eastAsia="楷体" w:hAnsi="楷体" w:hint="eastAsia"/>
                <w:color w:val="000000" w:themeColor="text1"/>
                <w:szCs w:val="22"/>
              </w:rPr>
              <w:t>和内卷情况制约，用户量巨大但是ARPU低。</w:t>
            </w:r>
          </w:p>
        </w:tc>
      </w:tr>
      <w:tr w:rsidR="004F7E65" w:rsidRPr="00660147" w14:paraId="382B6484" w14:textId="77777777">
        <w:trPr>
          <w:trHeight w:val="960"/>
        </w:trPr>
        <w:tc>
          <w:tcPr>
            <w:tcW w:w="1560" w:type="dxa"/>
            <w:hideMark/>
          </w:tcPr>
          <w:p w14:paraId="1FB5AC8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AIGC（AI内容生成工具）工具</w:t>
            </w:r>
          </w:p>
        </w:tc>
        <w:tc>
          <w:tcPr>
            <w:tcW w:w="1985" w:type="dxa"/>
            <w:hideMark/>
          </w:tcPr>
          <w:p w14:paraId="17A97D2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与MaaS有一定交叉，但是更加专业化，一般有独立的窗口</w:t>
            </w:r>
          </w:p>
        </w:tc>
        <w:tc>
          <w:tcPr>
            <w:tcW w:w="1984" w:type="dxa"/>
            <w:hideMark/>
          </w:tcPr>
          <w:p w14:paraId="5C32538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订阅制和积分制双轨收费</w:t>
            </w:r>
          </w:p>
        </w:tc>
        <w:tc>
          <w:tcPr>
            <w:tcW w:w="2126" w:type="dxa"/>
            <w:hideMark/>
          </w:tcPr>
          <w:p w14:paraId="11BA95B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视频类：Sora（已被放弃），即梦，云雀</w:t>
            </w:r>
          </w:p>
          <w:p w14:paraId="3E0EED8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音乐类：Suno，Udio</w:t>
            </w:r>
          </w:p>
          <w:p w14:paraId="5DBABED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笔记写作类：Notion，Obsidian</w:t>
            </w:r>
          </w:p>
          <w:p w14:paraId="6038086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w:t>
            </w:r>
          </w:p>
        </w:tc>
        <w:tc>
          <w:tcPr>
            <w:tcW w:w="2268" w:type="dxa"/>
            <w:hideMark/>
          </w:tcPr>
          <w:p w14:paraId="60A86B5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根据具体的子分类，各自的盈利情况有所不同。整体上看市场规模均有上限，且竞争激烈，独立变现难度较大。</w:t>
            </w:r>
          </w:p>
        </w:tc>
      </w:tr>
      <w:tr w:rsidR="004F7E65" w:rsidRPr="00660147" w14:paraId="338A3378" w14:textId="77777777">
        <w:trPr>
          <w:trHeight w:val="960"/>
        </w:trPr>
        <w:tc>
          <w:tcPr>
            <w:tcW w:w="1560" w:type="dxa"/>
            <w:hideMark/>
          </w:tcPr>
          <w:p w14:paraId="73BBE95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办公类工具</w:t>
            </w:r>
          </w:p>
        </w:tc>
        <w:tc>
          <w:tcPr>
            <w:tcW w:w="1985" w:type="dxa"/>
            <w:hideMark/>
          </w:tcPr>
          <w:p w14:paraId="0AF413E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包含传统办公的AI化改造板块（比如微软全家桶AI改造，会议纪要AI）以及编程辅助</w:t>
            </w:r>
          </w:p>
        </w:tc>
        <w:tc>
          <w:tcPr>
            <w:tcW w:w="1984" w:type="dxa"/>
            <w:hideMark/>
          </w:tcPr>
          <w:p w14:paraId="50ABBE6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订阅制为主</w:t>
            </w:r>
          </w:p>
        </w:tc>
        <w:tc>
          <w:tcPr>
            <w:tcW w:w="2126" w:type="dxa"/>
            <w:hideMark/>
          </w:tcPr>
          <w:p w14:paraId="67B49E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Microsoft copolit，WPS AI，Micosoft Office AI，Cursor，通义灵码，扣子，</w:t>
            </w:r>
            <w:proofErr w:type="gramStart"/>
            <w:r w:rsidRPr="00660147">
              <w:rPr>
                <w:rFonts w:ascii="楷体" w:eastAsia="楷体" w:hAnsi="楷体" w:hint="eastAsia"/>
                <w:color w:val="000000" w:themeColor="text1"/>
                <w:szCs w:val="22"/>
              </w:rPr>
              <w:t>腾讯会议</w:t>
            </w:r>
            <w:proofErr w:type="gramEnd"/>
            <w:r w:rsidRPr="00660147">
              <w:rPr>
                <w:rFonts w:ascii="楷体" w:eastAsia="楷体" w:hAnsi="楷体" w:hint="eastAsia"/>
                <w:color w:val="000000" w:themeColor="text1"/>
                <w:szCs w:val="22"/>
              </w:rPr>
              <w:t>AI，Canva</w:t>
            </w:r>
          </w:p>
        </w:tc>
        <w:tc>
          <w:tcPr>
            <w:tcW w:w="2268" w:type="dxa"/>
            <w:hideMark/>
          </w:tcPr>
          <w:p w14:paraId="1740FF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编程场景付费意愿最强，传统办公AI化仍在验证中，设计工具AI化进程较快但是竞争激烈</w:t>
            </w:r>
          </w:p>
        </w:tc>
      </w:tr>
      <w:tr w:rsidR="004F7E65" w:rsidRPr="00660147" w14:paraId="53A1BBC8" w14:textId="77777777">
        <w:trPr>
          <w:trHeight w:val="960"/>
        </w:trPr>
        <w:tc>
          <w:tcPr>
            <w:tcW w:w="1560" w:type="dxa"/>
          </w:tcPr>
          <w:p w14:paraId="57E55F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AI原生应用类</w:t>
            </w:r>
          </w:p>
        </w:tc>
        <w:tc>
          <w:tcPr>
            <w:tcW w:w="1985" w:type="dxa"/>
          </w:tcPr>
          <w:p w14:paraId="158ADAD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目前处于百花齐放状态，情感陪伴，教育，娱乐，游戏，内容创作社区皆有受众</w:t>
            </w:r>
          </w:p>
        </w:tc>
        <w:tc>
          <w:tcPr>
            <w:tcW w:w="1984" w:type="dxa"/>
          </w:tcPr>
          <w:p w14:paraId="0AF99EA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订阅制为主，参杂内购与积分次数制度</w:t>
            </w:r>
          </w:p>
        </w:tc>
        <w:tc>
          <w:tcPr>
            <w:tcW w:w="2126" w:type="dxa"/>
          </w:tcPr>
          <w:p w14:paraId="254849E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情感陪伴类：星野/Talkie（MiniMax）</w:t>
            </w:r>
          </w:p>
          <w:p w14:paraId="6147151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Character.AI</w:t>
            </w:r>
          </w:p>
          <w:p w14:paraId="7F00800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Replika"</w:t>
            </w:r>
          </w:p>
          <w:p w14:paraId="513C454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教育：Duolingo Max（AI辅导）</w:t>
            </w:r>
          </w:p>
          <w:p w14:paraId="103A088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Khan Academy（Khanmigo）</w:t>
            </w:r>
          </w:p>
        </w:tc>
        <w:tc>
          <w:tcPr>
            <w:tcW w:w="2268" w:type="dxa"/>
          </w:tcPr>
          <w:p w14:paraId="1D65560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以情感陪伴和教育为代表的细分赛道用户粘性和付费意愿相对较高，娱乐及部分前沿类型尚未形成稳定商业模式，尚在探索中</w:t>
            </w:r>
          </w:p>
        </w:tc>
      </w:tr>
    </w:tbl>
    <w:p w14:paraId="7EADC9CF" w14:textId="77777777" w:rsidR="004F7E65" w:rsidRPr="00660147" w:rsidRDefault="004F7E65">
      <w:pPr>
        <w:rPr>
          <w:rFonts w:ascii="楷体" w:eastAsia="楷体" w:hAnsi="楷体" w:hint="eastAsia"/>
          <w:color w:val="000000" w:themeColor="text1"/>
        </w:rPr>
      </w:pPr>
    </w:p>
    <w:p w14:paraId="6C240873" w14:textId="78787F79"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目前大模型的商业格局远称不上收敛。从盈利能力上来看，状况</w:t>
      </w:r>
      <w:r w:rsidR="00121A13" w:rsidRPr="00660147">
        <w:rPr>
          <w:rFonts w:ascii="楷体" w:eastAsia="楷体" w:hAnsi="楷体" w:hint="eastAsia"/>
          <w:color w:val="000000" w:themeColor="text1"/>
          <w:szCs w:val="22"/>
        </w:rPr>
        <w:t>也难言</w:t>
      </w:r>
      <w:r w:rsidRPr="00660147">
        <w:rPr>
          <w:rFonts w:ascii="楷体" w:eastAsia="楷体" w:hAnsi="楷体" w:hint="eastAsia"/>
          <w:color w:val="000000" w:themeColor="text1"/>
          <w:szCs w:val="22"/>
        </w:rPr>
        <w:t>健康。商业进程上OpenAI 是最接近跑通的样本，其</w:t>
      </w:r>
      <w:proofErr w:type="gramStart"/>
      <w:r w:rsidRPr="00660147">
        <w:rPr>
          <w:rFonts w:ascii="楷体" w:eastAsia="楷体" w:hAnsi="楷体" w:hint="eastAsia"/>
          <w:color w:val="000000" w:themeColor="text1"/>
          <w:szCs w:val="22"/>
        </w:rPr>
        <w:t>2026年第一季度年化营</w:t>
      </w:r>
      <w:proofErr w:type="gramEnd"/>
      <w:r w:rsidRPr="00660147">
        <w:rPr>
          <w:rFonts w:ascii="楷体" w:eastAsia="楷体" w:hAnsi="楷体" w:hint="eastAsia"/>
          <w:color w:val="000000" w:themeColor="text1"/>
          <w:szCs w:val="22"/>
        </w:rPr>
        <w:t>收（ARR）已达约 250 亿美元，其中ChatGPT订阅及企业席位贡献约 70% 收入，付费订阅用户约 3,500 万。但Sam Altman亲口承认，即便定价200美元/月的ChatGPT Pro，由于重度用户的推理消耗过大，"仍然不盈利"，公司2026年预计亏损高达 140 亿美元，整体仍靠千亿级融资续命，2026年4月最新一轮融资估值达 8,520 亿美元。其主要竞争对手Anthropic则走出了一条差异化路径：2026年4月ARR</w:t>
      </w:r>
      <w:proofErr w:type="gramStart"/>
      <w:r w:rsidRPr="00660147">
        <w:rPr>
          <w:rFonts w:ascii="楷体" w:eastAsia="楷体" w:hAnsi="楷体" w:hint="eastAsia"/>
          <w:color w:val="000000" w:themeColor="text1"/>
          <w:szCs w:val="22"/>
        </w:rPr>
        <w:t>正式突破</w:t>
      </w:r>
      <w:proofErr w:type="gramEnd"/>
      <w:r w:rsidRPr="00660147">
        <w:rPr>
          <w:rFonts w:ascii="楷体" w:eastAsia="楷体" w:hAnsi="楷体" w:hint="eastAsia"/>
          <w:color w:val="000000" w:themeColor="text1"/>
          <w:szCs w:val="22"/>
        </w:rPr>
        <w:t xml:space="preserve"> 300 亿美元，超过OpenAI，其中80%来自企业客户，年消费超100万美元的大客户突破 1,000 家，隐含估值超 1 万亿美元，预计2027年即可实现正向自由现金流。</w:t>
      </w:r>
    </w:p>
    <w:p w14:paraId="3D65268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以已经上市的智谱和Minimax为参考。2025年Minimax C端产品（海螺AI、星野等）收入5308万美元，同比增长143%，占总收入67%。但</w:t>
      </w:r>
      <w:proofErr w:type="gramStart"/>
      <w:r w:rsidRPr="00660147">
        <w:rPr>
          <w:rFonts w:ascii="楷体" w:eastAsia="楷体" w:hAnsi="楷体" w:hint="eastAsia"/>
          <w:color w:val="000000" w:themeColor="text1"/>
          <w:szCs w:val="22"/>
        </w:rPr>
        <w:t>同期经</w:t>
      </w:r>
      <w:proofErr w:type="gramEnd"/>
      <w:r w:rsidRPr="00660147">
        <w:rPr>
          <w:rFonts w:ascii="楷体" w:eastAsia="楷体" w:hAnsi="楷体" w:hint="eastAsia"/>
          <w:color w:val="000000" w:themeColor="text1"/>
          <w:szCs w:val="22"/>
        </w:rPr>
        <w:t>调整净亏损2.5亿美元。虽然2026年2月ARR突破1.5亿美元、毛利同比飙升437%，但距离盈亏平衡仍有距离。智谱总收入7.24亿人民币，同比增长132%</w:t>
      </w:r>
    </w:p>
    <w:p w14:paraId="6C83E188" w14:textId="77777777" w:rsidR="004F7E65" w:rsidRPr="00660147" w:rsidRDefault="00000000" w:rsidP="007E3262">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表：收入情况</w:t>
      </w:r>
    </w:p>
    <w:tbl>
      <w:tblPr>
        <w:tblStyle w:val="af2"/>
        <w:tblW w:w="0" w:type="auto"/>
        <w:tblLook w:val="04A0" w:firstRow="1" w:lastRow="0" w:firstColumn="1" w:lastColumn="0" w:noHBand="0" w:noVBand="1"/>
      </w:tblPr>
      <w:tblGrid>
        <w:gridCol w:w="2538"/>
        <w:gridCol w:w="2879"/>
        <w:gridCol w:w="2879"/>
      </w:tblGrid>
      <w:tr w:rsidR="004F7E65" w:rsidRPr="00660147" w14:paraId="4E3A5290" w14:textId="77777777">
        <w:trPr>
          <w:trHeight w:val="270"/>
        </w:trPr>
        <w:tc>
          <w:tcPr>
            <w:tcW w:w="2538" w:type="dxa"/>
            <w:hideMark/>
          </w:tcPr>
          <w:p w14:paraId="1A700C1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79" w:type="dxa"/>
            <w:hideMark/>
          </w:tcPr>
          <w:p w14:paraId="578D18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智谱（02513）</w:t>
            </w:r>
          </w:p>
        </w:tc>
        <w:tc>
          <w:tcPr>
            <w:tcW w:w="2879" w:type="dxa"/>
            <w:hideMark/>
          </w:tcPr>
          <w:p w14:paraId="5AE9965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MiniMax（00100）</w:t>
            </w:r>
          </w:p>
        </w:tc>
      </w:tr>
      <w:tr w:rsidR="004F7E65" w:rsidRPr="00660147" w14:paraId="7C74FC31" w14:textId="77777777">
        <w:trPr>
          <w:trHeight w:val="270"/>
        </w:trPr>
        <w:tc>
          <w:tcPr>
            <w:tcW w:w="2538" w:type="dxa"/>
            <w:hideMark/>
          </w:tcPr>
          <w:p w14:paraId="2E7E43E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2022年收入</w:t>
            </w:r>
          </w:p>
        </w:tc>
        <w:tc>
          <w:tcPr>
            <w:tcW w:w="2879" w:type="dxa"/>
            <w:hideMark/>
          </w:tcPr>
          <w:p w14:paraId="3D004D8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0.57亿 RMB</w:t>
            </w:r>
          </w:p>
        </w:tc>
        <w:tc>
          <w:tcPr>
            <w:tcW w:w="2879" w:type="dxa"/>
            <w:hideMark/>
          </w:tcPr>
          <w:p w14:paraId="4FAB5F5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w:t>
            </w:r>
          </w:p>
        </w:tc>
      </w:tr>
      <w:tr w:rsidR="004F7E65" w:rsidRPr="00660147" w14:paraId="78BBDE87" w14:textId="77777777">
        <w:trPr>
          <w:trHeight w:val="270"/>
        </w:trPr>
        <w:tc>
          <w:tcPr>
            <w:tcW w:w="2538" w:type="dxa"/>
            <w:hideMark/>
          </w:tcPr>
          <w:p w14:paraId="2EFBEC7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2023年收入</w:t>
            </w:r>
          </w:p>
        </w:tc>
        <w:tc>
          <w:tcPr>
            <w:tcW w:w="2879" w:type="dxa"/>
            <w:hideMark/>
          </w:tcPr>
          <w:p w14:paraId="11AB9D6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1.25亿 RMB</w:t>
            </w:r>
          </w:p>
        </w:tc>
        <w:tc>
          <w:tcPr>
            <w:tcW w:w="2879" w:type="dxa"/>
            <w:hideMark/>
          </w:tcPr>
          <w:p w14:paraId="7FC30C4D"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~0.35亿 USD</w:t>
            </w:r>
          </w:p>
        </w:tc>
      </w:tr>
      <w:tr w:rsidR="004F7E65" w:rsidRPr="00660147" w14:paraId="2CF43EE5" w14:textId="77777777">
        <w:trPr>
          <w:trHeight w:val="270"/>
        </w:trPr>
        <w:tc>
          <w:tcPr>
            <w:tcW w:w="2538" w:type="dxa"/>
            <w:hideMark/>
          </w:tcPr>
          <w:p w14:paraId="5A54EB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2024年收入</w:t>
            </w:r>
          </w:p>
        </w:tc>
        <w:tc>
          <w:tcPr>
            <w:tcW w:w="2879" w:type="dxa"/>
            <w:hideMark/>
          </w:tcPr>
          <w:p w14:paraId="06D32E4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3.12亿 RMB</w:t>
            </w:r>
          </w:p>
        </w:tc>
        <w:tc>
          <w:tcPr>
            <w:tcW w:w="2879" w:type="dxa"/>
            <w:hideMark/>
          </w:tcPr>
          <w:p w14:paraId="6EA4378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~0.31亿 USD</w:t>
            </w:r>
          </w:p>
        </w:tc>
      </w:tr>
      <w:tr w:rsidR="004F7E65" w:rsidRPr="00660147" w14:paraId="737EACA0" w14:textId="77777777">
        <w:trPr>
          <w:trHeight w:val="270"/>
        </w:trPr>
        <w:tc>
          <w:tcPr>
            <w:tcW w:w="2538" w:type="dxa"/>
            <w:hideMark/>
          </w:tcPr>
          <w:p w14:paraId="311D97D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2025年收入</w:t>
            </w:r>
          </w:p>
        </w:tc>
        <w:tc>
          <w:tcPr>
            <w:tcW w:w="2879" w:type="dxa"/>
            <w:hideMark/>
          </w:tcPr>
          <w:p w14:paraId="57577D08"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7.24亿 RMB（+132% YoY）</w:t>
            </w:r>
          </w:p>
        </w:tc>
        <w:tc>
          <w:tcPr>
            <w:tcW w:w="2879" w:type="dxa"/>
            <w:hideMark/>
          </w:tcPr>
          <w:p w14:paraId="526478E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0.79亿 USD（+159% YoY）</w:t>
            </w:r>
          </w:p>
        </w:tc>
      </w:tr>
      <w:tr w:rsidR="004F7E65" w:rsidRPr="00660147" w14:paraId="40B49EF1" w14:textId="77777777">
        <w:trPr>
          <w:trHeight w:val="270"/>
        </w:trPr>
        <w:tc>
          <w:tcPr>
            <w:tcW w:w="2538" w:type="dxa"/>
            <w:hideMark/>
          </w:tcPr>
          <w:p w14:paraId="5DB162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2026E收入（UBS/JPM）</w:t>
            </w:r>
          </w:p>
        </w:tc>
        <w:tc>
          <w:tcPr>
            <w:tcW w:w="2879" w:type="dxa"/>
            <w:hideMark/>
          </w:tcPr>
          <w:p w14:paraId="7912E8E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32.08亿 RMB（UBS）</w:t>
            </w:r>
          </w:p>
        </w:tc>
        <w:tc>
          <w:tcPr>
            <w:tcW w:w="2879" w:type="dxa"/>
            <w:hideMark/>
          </w:tcPr>
          <w:p w14:paraId="657E7D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2.20亿 USD（JPM）</w:t>
            </w:r>
          </w:p>
        </w:tc>
      </w:tr>
      <w:tr w:rsidR="004F7E65" w:rsidRPr="00660147" w14:paraId="5EF315AB" w14:textId="77777777">
        <w:trPr>
          <w:trHeight w:val="270"/>
        </w:trPr>
        <w:tc>
          <w:tcPr>
            <w:tcW w:w="2538" w:type="dxa"/>
            <w:hideMark/>
          </w:tcPr>
          <w:p w14:paraId="6C424E5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2027E收入（UBS/JPM）</w:t>
            </w:r>
          </w:p>
        </w:tc>
        <w:tc>
          <w:tcPr>
            <w:tcW w:w="2879" w:type="dxa"/>
            <w:hideMark/>
          </w:tcPr>
          <w:p w14:paraId="46C3D0F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79.41亿 RMB（UBS）</w:t>
            </w:r>
          </w:p>
        </w:tc>
        <w:tc>
          <w:tcPr>
            <w:tcW w:w="2879" w:type="dxa"/>
            <w:hideMark/>
          </w:tcPr>
          <w:p w14:paraId="6135907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6.34亿 USD（JPM）</w:t>
            </w:r>
          </w:p>
        </w:tc>
      </w:tr>
      <w:tr w:rsidR="004F7E65" w:rsidRPr="00660147" w14:paraId="454B2FF9" w14:textId="77777777">
        <w:trPr>
          <w:trHeight w:val="270"/>
        </w:trPr>
        <w:tc>
          <w:tcPr>
            <w:tcW w:w="2538" w:type="dxa"/>
            <w:hideMark/>
          </w:tcPr>
          <w:p w14:paraId="2E931A10"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收入CAGR（预测）</w:t>
            </w:r>
          </w:p>
        </w:tc>
        <w:tc>
          <w:tcPr>
            <w:tcW w:w="2879" w:type="dxa"/>
            <w:hideMark/>
          </w:tcPr>
          <w:p w14:paraId="5C5BA29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231%（UBS，25-27E）</w:t>
            </w:r>
          </w:p>
        </w:tc>
        <w:tc>
          <w:tcPr>
            <w:tcW w:w="2879" w:type="dxa"/>
            <w:hideMark/>
          </w:tcPr>
          <w:p w14:paraId="42795F5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约2年内9-10倍增长（MS）</w:t>
            </w:r>
          </w:p>
        </w:tc>
      </w:tr>
    </w:tbl>
    <w:p w14:paraId="707C331A" w14:textId="77777777" w:rsidR="004F7E65" w:rsidRPr="00660147" w:rsidRDefault="00000000" w:rsidP="007E3262">
      <w:pPr>
        <w:jc w:val="center"/>
        <w:rPr>
          <w:rFonts w:ascii="楷体" w:eastAsia="楷体" w:hAnsi="楷体" w:hint="eastAsia"/>
          <w:color w:val="000000" w:themeColor="text1"/>
        </w:rPr>
      </w:pPr>
      <w:r w:rsidRPr="00660147">
        <w:rPr>
          <w:rFonts w:ascii="楷体" w:eastAsia="楷体" w:hAnsi="楷体" w:hint="eastAsia"/>
          <w:color w:val="000000" w:themeColor="text1"/>
          <w:szCs w:val="22"/>
        </w:rPr>
        <w:t>表：盈亏情况</w:t>
      </w:r>
    </w:p>
    <w:tbl>
      <w:tblPr>
        <w:tblStyle w:val="af2"/>
        <w:tblW w:w="0" w:type="auto"/>
        <w:tblLook w:val="04A0" w:firstRow="1" w:lastRow="0" w:firstColumn="1" w:lastColumn="0" w:noHBand="0" w:noVBand="1"/>
      </w:tblPr>
      <w:tblGrid>
        <w:gridCol w:w="2426"/>
        <w:gridCol w:w="2890"/>
        <w:gridCol w:w="2980"/>
      </w:tblGrid>
      <w:tr w:rsidR="004F7E65" w:rsidRPr="00660147" w14:paraId="39065758" w14:textId="77777777">
        <w:trPr>
          <w:trHeight w:val="270"/>
        </w:trPr>
        <w:tc>
          <w:tcPr>
            <w:tcW w:w="2426" w:type="dxa"/>
            <w:hideMark/>
          </w:tcPr>
          <w:p w14:paraId="67C16FD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指标</w:t>
            </w:r>
          </w:p>
        </w:tc>
        <w:tc>
          <w:tcPr>
            <w:tcW w:w="2890" w:type="dxa"/>
            <w:hideMark/>
          </w:tcPr>
          <w:p w14:paraId="02ED8892"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智谱</w:t>
            </w:r>
          </w:p>
        </w:tc>
        <w:tc>
          <w:tcPr>
            <w:tcW w:w="2980" w:type="dxa"/>
            <w:hideMark/>
          </w:tcPr>
          <w:p w14:paraId="6D9CF23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MiniMax</w:t>
            </w:r>
          </w:p>
        </w:tc>
      </w:tr>
      <w:tr w:rsidR="004F7E65" w:rsidRPr="00660147" w14:paraId="7CA50B45" w14:textId="77777777">
        <w:trPr>
          <w:trHeight w:val="480"/>
        </w:trPr>
        <w:tc>
          <w:tcPr>
            <w:tcW w:w="2426" w:type="dxa"/>
            <w:hideMark/>
          </w:tcPr>
          <w:p w14:paraId="4351B07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2025整体毛利率</w:t>
            </w:r>
          </w:p>
        </w:tc>
        <w:tc>
          <w:tcPr>
            <w:tcW w:w="2890" w:type="dxa"/>
            <w:hideMark/>
          </w:tcPr>
          <w:p w14:paraId="2FECD6B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41%</w:t>
            </w:r>
          </w:p>
        </w:tc>
        <w:tc>
          <w:tcPr>
            <w:tcW w:w="2980" w:type="dxa"/>
            <w:hideMark/>
          </w:tcPr>
          <w:p w14:paraId="2BF54D5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25.4%</w:t>
            </w:r>
          </w:p>
        </w:tc>
      </w:tr>
      <w:tr w:rsidR="004F7E65" w:rsidRPr="00660147" w14:paraId="4BD25D48" w14:textId="77777777">
        <w:trPr>
          <w:trHeight w:val="270"/>
        </w:trPr>
        <w:tc>
          <w:tcPr>
            <w:tcW w:w="2426" w:type="dxa"/>
            <w:hideMark/>
          </w:tcPr>
          <w:p w14:paraId="62AE624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2025云端毛利率</w:t>
            </w:r>
          </w:p>
        </w:tc>
        <w:tc>
          <w:tcPr>
            <w:tcW w:w="2890" w:type="dxa"/>
            <w:hideMark/>
          </w:tcPr>
          <w:p w14:paraId="56FC521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18.9%</w:t>
            </w:r>
          </w:p>
        </w:tc>
        <w:tc>
          <w:tcPr>
            <w:tcW w:w="2980" w:type="dxa"/>
            <w:hideMark/>
          </w:tcPr>
          <w:p w14:paraId="28E7486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69.4%（前三季度）</w:t>
            </w:r>
          </w:p>
        </w:tc>
      </w:tr>
      <w:tr w:rsidR="004F7E65" w:rsidRPr="00660147" w14:paraId="533D5FEB" w14:textId="77777777">
        <w:trPr>
          <w:trHeight w:val="270"/>
        </w:trPr>
        <w:tc>
          <w:tcPr>
            <w:tcW w:w="2426" w:type="dxa"/>
            <w:hideMark/>
          </w:tcPr>
          <w:p w14:paraId="60516B4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毛利率趋势</w:t>
            </w:r>
          </w:p>
        </w:tc>
        <w:tc>
          <w:tcPr>
            <w:tcW w:w="2890" w:type="dxa"/>
            <w:hideMark/>
          </w:tcPr>
          <w:p w14:paraId="2E8D2749"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云端提升显著，本地稳定</w:t>
            </w:r>
          </w:p>
        </w:tc>
        <w:tc>
          <w:tcPr>
            <w:tcW w:w="2980" w:type="dxa"/>
            <w:hideMark/>
          </w:tcPr>
          <w:p w14:paraId="7828E09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2023:-25%→2024:12%→2025:25%</w:t>
            </w:r>
          </w:p>
        </w:tc>
      </w:tr>
      <w:tr w:rsidR="004F7E65" w:rsidRPr="00660147" w14:paraId="7CA4964B" w14:textId="77777777">
        <w:trPr>
          <w:trHeight w:val="270"/>
        </w:trPr>
        <w:tc>
          <w:tcPr>
            <w:tcW w:w="2426" w:type="dxa"/>
            <w:hideMark/>
          </w:tcPr>
          <w:p w14:paraId="74958A7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2025调整后净亏损</w:t>
            </w:r>
          </w:p>
        </w:tc>
        <w:tc>
          <w:tcPr>
            <w:tcW w:w="2890" w:type="dxa"/>
            <w:hideMark/>
          </w:tcPr>
          <w:p w14:paraId="27EDFE1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~-31.82亿 RMB（广发）</w:t>
            </w:r>
          </w:p>
        </w:tc>
        <w:tc>
          <w:tcPr>
            <w:tcW w:w="2980" w:type="dxa"/>
            <w:hideMark/>
          </w:tcPr>
          <w:p w14:paraId="703A037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-2.51亿 USD</w:t>
            </w:r>
          </w:p>
        </w:tc>
      </w:tr>
      <w:tr w:rsidR="004F7E65" w:rsidRPr="00660147" w14:paraId="2ADB3A21" w14:textId="77777777">
        <w:trPr>
          <w:trHeight w:val="270"/>
        </w:trPr>
        <w:tc>
          <w:tcPr>
            <w:tcW w:w="2426" w:type="dxa"/>
            <w:hideMark/>
          </w:tcPr>
          <w:p w14:paraId="5126AAF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调整后净亏损/收入</w:t>
            </w:r>
          </w:p>
        </w:tc>
        <w:tc>
          <w:tcPr>
            <w:tcW w:w="2890" w:type="dxa"/>
            <w:hideMark/>
          </w:tcPr>
          <w:p w14:paraId="537998F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-439%</w:t>
            </w:r>
          </w:p>
        </w:tc>
        <w:tc>
          <w:tcPr>
            <w:tcW w:w="2980" w:type="dxa"/>
            <w:hideMark/>
          </w:tcPr>
          <w:p w14:paraId="7AEE811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-316%</w:t>
            </w:r>
          </w:p>
        </w:tc>
      </w:tr>
      <w:tr w:rsidR="004F7E65" w:rsidRPr="00660147" w14:paraId="175E801E" w14:textId="77777777">
        <w:trPr>
          <w:trHeight w:val="270"/>
        </w:trPr>
        <w:tc>
          <w:tcPr>
            <w:tcW w:w="2426" w:type="dxa"/>
            <w:hideMark/>
          </w:tcPr>
          <w:p w14:paraId="3751D7AF"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亏损</w:t>
            </w:r>
            <w:proofErr w:type="gramStart"/>
            <w:r w:rsidRPr="00660147">
              <w:rPr>
                <w:rFonts w:ascii="楷体" w:eastAsia="楷体" w:hAnsi="楷体" w:hint="eastAsia"/>
                <w:color w:val="000000" w:themeColor="text1"/>
                <w:szCs w:val="22"/>
              </w:rPr>
              <w:t>率趋势</w:t>
            </w:r>
            <w:proofErr w:type="gramEnd"/>
          </w:p>
        </w:tc>
        <w:tc>
          <w:tcPr>
            <w:tcW w:w="2890" w:type="dxa"/>
            <w:hideMark/>
          </w:tcPr>
          <w:p w14:paraId="59CC2A4A" w14:textId="4009F295" w:rsidR="004F7E65" w:rsidRPr="00660147" w:rsidRDefault="00B72D93">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因加大</w:t>
            </w:r>
            <w:proofErr w:type="gramEnd"/>
            <w:r w:rsidRPr="00660147">
              <w:rPr>
                <w:rFonts w:ascii="楷体" w:eastAsia="楷体" w:hAnsi="楷体" w:hint="eastAsia"/>
                <w:color w:val="000000" w:themeColor="text1"/>
                <w:szCs w:val="22"/>
              </w:rPr>
              <w:t>研发，</w:t>
            </w:r>
            <w:r w:rsidR="00000000" w:rsidRPr="00660147">
              <w:rPr>
                <w:rFonts w:ascii="楷体" w:eastAsia="楷体" w:hAnsi="楷体" w:hint="eastAsia"/>
                <w:color w:val="000000" w:themeColor="text1"/>
                <w:szCs w:val="22"/>
              </w:rPr>
              <w:t>仍在扩大</w:t>
            </w:r>
          </w:p>
        </w:tc>
        <w:tc>
          <w:tcPr>
            <w:tcW w:w="2980" w:type="dxa"/>
            <w:hideMark/>
          </w:tcPr>
          <w:p w14:paraId="087F514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收窄：-807%→-321%</w:t>
            </w:r>
          </w:p>
        </w:tc>
      </w:tr>
    </w:tbl>
    <w:p w14:paraId="1C6493F2" w14:textId="7D701B1D" w:rsidR="004F7E65" w:rsidRPr="00660147" w:rsidRDefault="007E3262">
      <w:pPr>
        <w:rPr>
          <w:rFonts w:ascii="楷体" w:eastAsia="楷体" w:hAnsi="楷体" w:hint="eastAsia"/>
          <w:color w:val="000000" w:themeColor="text1"/>
        </w:rPr>
      </w:pPr>
      <w:r>
        <w:rPr>
          <w:rFonts w:ascii="楷体" w:eastAsia="楷体" w:hAnsi="楷体" w:hint="eastAsia"/>
          <w:color w:val="000000" w:themeColor="text1"/>
        </w:rPr>
        <w:t>数据来源：公开信息</w:t>
      </w:r>
    </w:p>
    <w:p w14:paraId="598C6548" w14:textId="45993F0D" w:rsidR="004F7E65" w:rsidRPr="007E3262" w:rsidRDefault="00F528A0">
      <w:pPr>
        <w:pStyle w:val="3"/>
        <w:rPr>
          <w:rFonts w:ascii="楷体" w:eastAsia="楷体" w:hAnsi="楷体"/>
          <w:color w:val="000000" w:themeColor="text1"/>
          <w:sz w:val="30"/>
          <w:szCs w:val="30"/>
        </w:rPr>
      </w:pPr>
      <w:bookmarkStart w:id="15" w:name="_Toc228374865"/>
      <w:r w:rsidRPr="007E3262">
        <w:rPr>
          <w:rFonts w:ascii="楷体" w:eastAsia="楷体" w:hAnsi="楷体" w:hint="eastAsia"/>
          <w:color w:val="000000" w:themeColor="text1"/>
          <w:sz w:val="30"/>
          <w:szCs w:val="30"/>
        </w:rPr>
        <w:t>2.2.3 应用场景</w:t>
      </w:r>
      <w:bookmarkEnd w:id="15"/>
      <w:r w:rsidRPr="007E3262">
        <w:rPr>
          <w:rFonts w:ascii="楷体" w:eastAsia="楷体" w:hAnsi="楷体" w:hint="eastAsia"/>
          <w:color w:val="000000" w:themeColor="text1"/>
          <w:sz w:val="30"/>
          <w:szCs w:val="30"/>
        </w:rPr>
        <w:t xml:space="preserve"> </w:t>
      </w:r>
    </w:p>
    <w:p w14:paraId="208C2236" w14:textId="0B65964F" w:rsidR="00A65C56" w:rsidRPr="00660147" w:rsidRDefault="00A65C56" w:rsidP="00A65C56">
      <w:pPr>
        <w:rPr>
          <w:rFonts w:ascii="楷体" w:eastAsia="楷体" w:hAnsi="楷体" w:hint="eastAsia"/>
          <w:color w:val="000000" w:themeColor="text1"/>
        </w:rPr>
      </w:pPr>
      <w:r w:rsidRPr="00660147">
        <w:rPr>
          <w:rFonts w:ascii="楷体" w:eastAsia="楷体" w:hAnsi="楷体" w:hint="eastAsia"/>
          <w:color w:val="000000" w:themeColor="text1"/>
        </w:rPr>
        <w:t>在具体的应用场景上，AI编程仍然为最景气赛道。在一种落地应用之中一马当先。</w:t>
      </w:r>
      <w:r w:rsidR="00E62AF6" w:rsidRPr="00660147">
        <w:rPr>
          <w:rFonts w:ascii="楷体" w:eastAsia="楷体" w:hAnsi="楷体" w:hint="eastAsia"/>
          <w:color w:val="000000" w:themeColor="text1"/>
        </w:rPr>
        <w:t>用于串联业务，提高系统流畅度的</w:t>
      </w:r>
      <w:r w:rsidR="00435E88" w:rsidRPr="00660147">
        <w:rPr>
          <w:rFonts w:ascii="楷体" w:eastAsia="楷体" w:hAnsi="楷体" w:hint="eastAsia"/>
          <w:color w:val="000000" w:themeColor="text1"/>
        </w:rPr>
        <w:t>企业智能体和</w:t>
      </w:r>
      <w:r w:rsidR="00E62AF6" w:rsidRPr="00660147">
        <w:rPr>
          <w:rFonts w:ascii="楷体" w:eastAsia="楷体" w:hAnsi="楷体" w:hint="eastAsia"/>
          <w:color w:val="000000" w:themeColor="text1"/>
        </w:rPr>
        <w:t>以提高综合产出效率的</w:t>
      </w:r>
      <w:r w:rsidR="00435E88" w:rsidRPr="00660147">
        <w:rPr>
          <w:rFonts w:ascii="楷体" w:eastAsia="楷体" w:hAnsi="楷体" w:hint="eastAsia"/>
          <w:color w:val="000000" w:themeColor="text1"/>
        </w:rPr>
        <w:t>办公</w:t>
      </w:r>
      <w:r w:rsidR="00983206" w:rsidRPr="00660147">
        <w:rPr>
          <w:rFonts w:ascii="楷体" w:eastAsia="楷体" w:hAnsi="楷体" w:hint="eastAsia"/>
          <w:color w:val="000000" w:themeColor="text1"/>
        </w:rPr>
        <w:t>/创意类</w:t>
      </w:r>
      <w:r w:rsidR="00E62AF6" w:rsidRPr="00660147">
        <w:rPr>
          <w:rFonts w:ascii="楷体" w:eastAsia="楷体" w:hAnsi="楷体" w:hint="eastAsia"/>
          <w:color w:val="000000" w:themeColor="text1"/>
        </w:rPr>
        <w:t>产品</w:t>
      </w:r>
      <w:r w:rsidR="00435E88" w:rsidRPr="00660147">
        <w:rPr>
          <w:rFonts w:ascii="楷体" w:eastAsia="楷体" w:hAnsi="楷体" w:hint="eastAsia"/>
          <w:color w:val="000000" w:themeColor="text1"/>
        </w:rPr>
        <w:t>则紧随其后。</w:t>
      </w:r>
    </w:p>
    <w:p w14:paraId="6B999A29" w14:textId="1FD32E21" w:rsidR="00F528A0" w:rsidRPr="00660147" w:rsidRDefault="00F528A0" w:rsidP="00F528A0">
      <w:pPr>
        <w:jc w:val="center"/>
        <w:rPr>
          <w:rFonts w:ascii="楷体" w:eastAsia="楷体" w:hAnsi="楷体" w:hint="eastAsia"/>
          <w:color w:val="000000" w:themeColor="text1"/>
        </w:rPr>
      </w:pPr>
      <w:r w:rsidRPr="00660147">
        <w:rPr>
          <w:rFonts w:ascii="楷体" w:eastAsia="楷体" w:hAnsi="楷体" w:hint="eastAsia"/>
          <w:color w:val="000000" w:themeColor="text1"/>
        </w:rPr>
        <w:t>图：</w:t>
      </w:r>
      <w:r w:rsidR="00C16BA7" w:rsidRPr="00660147">
        <w:rPr>
          <w:rFonts w:ascii="楷体" w:eastAsia="楷体" w:hAnsi="楷体" w:hint="eastAsia"/>
          <w:color w:val="000000" w:themeColor="text1"/>
        </w:rPr>
        <w:t>全球</w:t>
      </w:r>
      <w:r w:rsidRPr="00660147">
        <w:rPr>
          <w:rFonts w:ascii="楷体" w:eastAsia="楷体" w:hAnsi="楷体" w:hint="eastAsia"/>
          <w:color w:val="000000" w:themeColor="text1"/>
        </w:rPr>
        <w:t>主要应用最新ARR</w:t>
      </w:r>
    </w:p>
    <w:p w14:paraId="48A48B55" w14:textId="7B999B8E" w:rsidR="004F7E65" w:rsidRPr="00660147" w:rsidRDefault="00E62AF6" w:rsidP="00F528A0">
      <w:pPr>
        <w:jc w:val="cente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4EF19211" wp14:editId="3D633021">
            <wp:extent cx="5274310" cy="3001010"/>
            <wp:effectExtent l="0" t="0" r="2540" b="8890"/>
            <wp:docPr id="129766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1638" name=""/>
                    <pic:cNvPicPr/>
                  </pic:nvPicPr>
                  <pic:blipFill>
                    <a:blip r:embed="rId16"/>
                    <a:stretch>
                      <a:fillRect/>
                    </a:stretch>
                  </pic:blipFill>
                  <pic:spPr>
                    <a:xfrm>
                      <a:off x="0" y="0"/>
                      <a:ext cx="5274310" cy="3001010"/>
                    </a:xfrm>
                    <a:prstGeom prst="rect">
                      <a:avLst/>
                    </a:prstGeom>
                  </pic:spPr>
                </pic:pic>
              </a:graphicData>
            </a:graphic>
          </wp:inline>
        </w:drawing>
      </w:r>
    </w:p>
    <w:p w14:paraId="21B0501F" w14:textId="709AEF81" w:rsidR="00C16BA7" w:rsidRPr="00660147" w:rsidRDefault="00C16BA7" w:rsidP="00F528A0">
      <w:pPr>
        <w:jc w:val="center"/>
        <w:rPr>
          <w:rFonts w:ascii="楷体" w:eastAsia="楷体" w:hAnsi="楷体"/>
          <w:color w:val="000000" w:themeColor="text1"/>
        </w:rPr>
      </w:pPr>
      <w:r w:rsidRPr="00660147">
        <w:rPr>
          <w:rFonts w:ascii="楷体" w:eastAsia="楷体" w:hAnsi="楷体" w:hint="eastAsia"/>
          <w:color w:val="000000" w:themeColor="text1"/>
        </w:rPr>
        <w:t>图：AI产品在各行业的年华收入规模</w:t>
      </w:r>
    </w:p>
    <w:p w14:paraId="50F8D012" w14:textId="74E2BCF6" w:rsidR="00C16BA7" w:rsidRPr="00660147" w:rsidRDefault="00C16BA7" w:rsidP="00F528A0">
      <w:pPr>
        <w:jc w:val="cente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39782A78" wp14:editId="5777644B">
            <wp:extent cx="5274310" cy="1943100"/>
            <wp:effectExtent l="0" t="0" r="2540" b="0"/>
            <wp:docPr id="92400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1390" name=""/>
                    <pic:cNvPicPr/>
                  </pic:nvPicPr>
                  <pic:blipFill>
                    <a:blip r:embed="rId17"/>
                    <a:stretch>
                      <a:fillRect/>
                    </a:stretch>
                  </pic:blipFill>
                  <pic:spPr>
                    <a:xfrm>
                      <a:off x="0" y="0"/>
                      <a:ext cx="5274310" cy="1943100"/>
                    </a:xfrm>
                    <a:prstGeom prst="rect">
                      <a:avLst/>
                    </a:prstGeom>
                  </pic:spPr>
                </pic:pic>
              </a:graphicData>
            </a:graphic>
          </wp:inline>
        </w:drawing>
      </w:r>
    </w:p>
    <w:p w14:paraId="43A4E4D0" w14:textId="72B85580" w:rsidR="00F528A0" w:rsidRPr="00660147" w:rsidRDefault="00F528A0" w:rsidP="00F528A0">
      <w:pPr>
        <w:rPr>
          <w:rFonts w:ascii="楷体" w:eastAsia="楷体" w:hAnsi="楷体"/>
          <w:color w:val="000000" w:themeColor="text1"/>
        </w:rPr>
      </w:pPr>
      <w:r w:rsidRPr="00660147">
        <w:rPr>
          <w:rFonts w:ascii="楷体" w:eastAsia="楷体" w:hAnsi="楷体" w:hint="eastAsia"/>
          <w:color w:val="000000" w:themeColor="text1"/>
        </w:rPr>
        <w:t>数据来源：招银国际</w:t>
      </w:r>
    </w:p>
    <w:p w14:paraId="267590DB" w14:textId="4185BD38" w:rsidR="00E82244" w:rsidRPr="00660147" w:rsidRDefault="00C343A8" w:rsidP="00E82244">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2.2.3.1 </w:t>
      </w:r>
      <w:r w:rsidR="00E82244" w:rsidRPr="00660147">
        <w:rPr>
          <w:rFonts w:ascii="楷体" w:eastAsia="楷体" w:hAnsi="楷体" w:hint="eastAsia"/>
          <w:color w:val="000000" w:themeColor="text1"/>
        </w:rPr>
        <w:t>AI 编程</w:t>
      </w:r>
    </w:p>
    <w:p w14:paraId="1C66303A" w14:textId="282FA1C0" w:rsidR="00E62AF6" w:rsidRPr="00660147" w:rsidRDefault="00967728" w:rsidP="00F528A0">
      <w:pPr>
        <w:rPr>
          <w:rFonts w:ascii="楷体" w:eastAsia="楷体" w:hAnsi="楷体"/>
          <w:color w:val="000000" w:themeColor="text1"/>
        </w:rPr>
      </w:pPr>
      <w:r w:rsidRPr="00660147">
        <w:rPr>
          <w:rFonts w:ascii="楷体" w:eastAsia="楷体" w:hAnsi="楷体"/>
          <w:color w:val="000000" w:themeColor="text1"/>
        </w:rPr>
        <w:t>AI 编程是当前商业化较为领先的 AI 应用垂直赛道，已跑出多个十亿</w:t>
      </w:r>
      <w:proofErr w:type="gramStart"/>
      <w:r w:rsidRPr="00660147">
        <w:rPr>
          <w:rFonts w:ascii="楷体" w:eastAsia="楷体" w:hAnsi="楷体"/>
          <w:color w:val="000000" w:themeColor="text1"/>
        </w:rPr>
        <w:t>美元级</w:t>
      </w:r>
      <w:proofErr w:type="gramEnd"/>
      <w:r w:rsidRPr="00660147">
        <w:rPr>
          <w:rFonts w:ascii="楷体" w:eastAsia="楷体" w:hAnsi="楷体"/>
          <w:color w:val="000000" w:themeColor="text1"/>
        </w:rPr>
        <w:t xml:space="preserve"> ARR 产品。根据 a16z 2026 年 4 月的测算，若仅考虑企业 AI 场景（剔除个人），AI 编程赛道当前</w:t>
      </w:r>
      <w:proofErr w:type="gramStart"/>
      <w:r w:rsidRPr="00660147">
        <w:rPr>
          <w:rFonts w:ascii="楷体" w:eastAsia="楷体" w:hAnsi="楷体"/>
          <w:color w:val="000000" w:themeColor="text1"/>
        </w:rPr>
        <w:t>年化收入</w:t>
      </w:r>
      <w:proofErr w:type="gramEnd"/>
      <w:r w:rsidRPr="00660147">
        <w:rPr>
          <w:rFonts w:ascii="楷体" w:eastAsia="楷体" w:hAnsi="楷体"/>
          <w:color w:val="000000" w:themeColor="text1"/>
        </w:rPr>
        <w:t xml:space="preserve">规模约 30 亿美元，大幅领先其他企业 AI 应用场景。整体而言，若合并考虑 C 端应用场景，AI 编程赛道已进入规模化变现阶段：1）赛道增速远超其他 AI 垂直赛道：据 Sacra 报道，Claude Code 截至 2026 年 2 月 ARR 已突破 25 亿美元；据彭博报道，Cursor 同期 ARR 突破 20 亿美元，从 1 亿美元增长至此仅用 14 </w:t>
      </w:r>
      <w:proofErr w:type="gramStart"/>
      <w:r w:rsidRPr="00660147">
        <w:rPr>
          <w:rFonts w:ascii="楷体" w:eastAsia="楷体" w:hAnsi="楷体"/>
          <w:color w:val="000000" w:themeColor="text1"/>
        </w:rPr>
        <w:t>个</w:t>
      </w:r>
      <w:proofErr w:type="gramEnd"/>
      <w:r w:rsidRPr="00660147">
        <w:rPr>
          <w:rFonts w:ascii="楷体" w:eastAsia="楷体" w:hAnsi="楷体"/>
          <w:color w:val="000000" w:themeColor="text1"/>
        </w:rPr>
        <w:t>月。2）头部产品均实现 ARR 高速增长，表明当前阶段仍以共同扩容为主而非存量竞争。</w:t>
      </w:r>
    </w:p>
    <w:p w14:paraId="39581CEA" w14:textId="674A4B17" w:rsidR="00616A97" w:rsidRPr="00660147" w:rsidRDefault="00616A97" w:rsidP="00616A97">
      <w:pPr>
        <w:jc w:val="cente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5C8C68EB" wp14:editId="26339560">
            <wp:extent cx="5201901" cy="4096512"/>
            <wp:effectExtent l="0" t="0" r="0" b="0"/>
            <wp:docPr id="59875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372" name=""/>
                    <pic:cNvPicPr/>
                  </pic:nvPicPr>
                  <pic:blipFill>
                    <a:blip r:embed="rId18"/>
                    <a:stretch>
                      <a:fillRect/>
                    </a:stretch>
                  </pic:blipFill>
                  <pic:spPr>
                    <a:xfrm>
                      <a:off x="0" y="0"/>
                      <a:ext cx="5216034" cy="4107642"/>
                    </a:xfrm>
                    <a:prstGeom prst="rect">
                      <a:avLst/>
                    </a:prstGeom>
                  </pic:spPr>
                </pic:pic>
              </a:graphicData>
            </a:graphic>
          </wp:inline>
        </w:drawing>
      </w:r>
    </w:p>
    <w:p w14:paraId="42D5A22B" w14:textId="6CB01FCF" w:rsidR="00616A97" w:rsidRPr="00660147" w:rsidRDefault="00616A97" w:rsidP="00121D89">
      <w:pPr>
        <w:rPr>
          <w:rFonts w:ascii="楷体" w:eastAsia="楷体" w:hAnsi="楷体"/>
          <w:color w:val="000000" w:themeColor="text1"/>
        </w:rPr>
      </w:pPr>
      <w:r w:rsidRPr="00660147">
        <w:rPr>
          <w:rFonts w:ascii="楷体" w:eastAsia="楷体" w:hAnsi="楷体" w:hint="eastAsia"/>
          <w:color w:val="000000" w:themeColor="text1"/>
        </w:rPr>
        <w:t>数据来源：招银国际</w:t>
      </w:r>
    </w:p>
    <w:p w14:paraId="56F35B17" w14:textId="6A0CB4A5" w:rsidR="00E82244" w:rsidRPr="00660147" w:rsidRDefault="00C343A8" w:rsidP="00E82244">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2.2.3.2 </w:t>
      </w:r>
      <w:r w:rsidR="00E82244" w:rsidRPr="00660147">
        <w:rPr>
          <w:rFonts w:ascii="楷体" w:eastAsia="楷体" w:hAnsi="楷体" w:hint="eastAsia"/>
          <w:color w:val="000000" w:themeColor="text1"/>
        </w:rPr>
        <w:t>AI 智能体</w:t>
      </w:r>
    </w:p>
    <w:p w14:paraId="382A62E8"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得益于海外企业客户良好的付费习惯以及成熟的 SaaS 订阅模式，海外 B 端 AI 智能体商业化进展迅速，头部产品 ARR/ACV 已接近十亿美元级别。企业 AI 智能体赛道的核心投资逻辑在于：</w:t>
      </w:r>
    </w:p>
    <w:p w14:paraId="3CC16885"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 xml:space="preserve">1）海外 SaaS 巨头的 AI 产品向上销售及增购正在从早期验证进入规模放量，Salesforce </w:t>
      </w:r>
      <w:proofErr w:type="spellStart"/>
      <w:r w:rsidRPr="00660147">
        <w:rPr>
          <w:rFonts w:ascii="楷体" w:eastAsia="楷体" w:hAnsi="楷体" w:hint="eastAsia"/>
          <w:color w:val="000000" w:themeColor="text1"/>
        </w:rPr>
        <w:t>Agentforce</w:t>
      </w:r>
      <w:proofErr w:type="spellEnd"/>
      <w:r w:rsidRPr="00660147">
        <w:rPr>
          <w:rFonts w:ascii="楷体" w:eastAsia="楷体" w:hAnsi="楷体" w:hint="eastAsia"/>
          <w:color w:val="000000" w:themeColor="text1"/>
        </w:rPr>
        <w:t xml:space="preserve"> 4QFY26 ARR 达 8 亿美元（同比+169%），ServiceNow Now </w:t>
      </w:r>
      <w:proofErr w:type="spellStart"/>
      <w:r w:rsidRPr="00660147">
        <w:rPr>
          <w:rFonts w:ascii="楷体" w:eastAsia="楷体" w:hAnsi="楷体" w:hint="eastAsia"/>
          <w:color w:val="000000" w:themeColor="text1"/>
        </w:rPr>
        <w:t>AssistACV</w:t>
      </w:r>
      <w:proofErr w:type="spellEnd"/>
      <w:r w:rsidRPr="00660147">
        <w:rPr>
          <w:rFonts w:ascii="楷体" w:eastAsia="楷体" w:hAnsi="楷体" w:hint="eastAsia"/>
          <w:color w:val="000000" w:themeColor="text1"/>
        </w:rPr>
        <w:t xml:space="preserve"> 突破 6 亿美元并朝 2026 年超 10 亿美元目标推进；</w:t>
      </w:r>
      <w:proofErr w:type="spellStart"/>
      <w:r w:rsidRPr="00660147">
        <w:rPr>
          <w:rFonts w:ascii="楷体" w:eastAsia="楷体" w:hAnsi="楷体" w:hint="eastAsia"/>
          <w:color w:val="000000" w:themeColor="text1"/>
        </w:rPr>
        <w:t>xAI</w:t>
      </w:r>
      <w:proofErr w:type="spellEnd"/>
      <w:r w:rsidRPr="00660147">
        <w:rPr>
          <w:rFonts w:ascii="楷体" w:eastAsia="楷体" w:hAnsi="楷体" w:hint="eastAsia"/>
          <w:color w:val="000000" w:themeColor="text1"/>
        </w:rPr>
        <w:t xml:space="preserve"> 虽以激进定价（Grok 4.1 Fast仅 0.20 美元/百万 input token）切入企业市场，但客户基础和工作流渗透深度仍有明显差距。</w:t>
      </w:r>
    </w:p>
    <w:p w14:paraId="59B4767B" w14:textId="77777777"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2）收费模式从席位制向"席位+使用量"混合制转型是行业共性趋势，Salesforce 已从最初的 2 美元/对话扩展为按对话、按行动（Flex Credits，0.10 美元/action）和按席位三种模式并行，ServiceNow 通过 assists 额度</w:t>
      </w:r>
      <w:proofErr w:type="gramStart"/>
      <w:r w:rsidRPr="00660147">
        <w:rPr>
          <w:rFonts w:ascii="楷体" w:eastAsia="楷体" w:hAnsi="楷体" w:hint="eastAsia"/>
          <w:color w:val="000000" w:themeColor="text1"/>
        </w:rPr>
        <w:t>包实现</w:t>
      </w:r>
      <w:proofErr w:type="gramEnd"/>
      <w:r w:rsidRPr="00660147">
        <w:rPr>
          <w:rFonts w:ascii="楷体" w:eastAsia="楷体" w:hAnsi="楷体" w:hint="eastAsia"/>
          <w:color w:val="000000" w:themeColor="text1"/>
        </w:rPr>
        <w:t>按使用量计费。</w:t>
      </w:r>
    </w:p>
    <w:p w14:paraId="0F6165E5" w14:textId="6F819816" w:rsidR="005D6D33" w:rsidRPr="00660147" w:rsidRDefault="005D6D33" w:rsidP="005D6D33">
      <w:pPr>
        <w:rPr>
          <w:rFonts w:ascii="楷体" w:eastAsia="楷体" w:hAnsi="楷体"/>
          <w:color w:val="000000" w:themeColor="text1"/>
        </w:rPr>
      </w:pPr>
      <w:r w:rsidRPr="00660147">
        <w:rPr>
          <w:rFonts w:ascii="楷体" w:eastAsia="楷体" w:hAnsi="楷体" w:hint="eastAsia"/>
          <w:color w:val="000000" w:themeColor="text1"/>
        </w:rPr>
        <w:t xml:space="preserve">3）现有客户扩容是核心增长引擎，Salesforce 4QFY26 超 60%的 </w:t>
      </w:r>
      <w:proofErr w:type="spellStart"/>
      <w:r w:rsidRPr="00660147">
        <w:rPr>
          <w:rFonts w:ascii="楷体" w:eastAsia="楷体" w:hAnsi="楷体" w:hint="eastAsia"/>
          <w:color w:val="000000" w:themeColor="text1"/>
        </w:rPr>
        <w:t>Agentforce</w:t>
      </w:r>
      <w:proofErr w:type="spellEnd"/>
      <w:r w:rsidRPr="00660147">
        <w:rPr>
          <w:rFonts w:ascii="楷体" w:eastAsia="楷体" w:hAnsi="楷体" w:hint="eastAsia"/>
          <w:color w:val="000000" w:themeColor="text1"/>
        </w:rPr>
        <w:t xml:space="preserve"> 与 Data 360 订单来自老客增购；ServiceNow 4Q25 </w:t>
      </w:r>
      <w:proofErr w:type="gramStart"/>
      <w:r w:rsidRPr="00660147">
        <w:rPr>
          <w:rFonts w:ascii="楷体" w:eastAsia="楷体" w:hAnsi="楷体" w:hint="eastAsia"/>
          <w:color w:val="000000" w:themeColor="text1"/>
        </w:rPr>
        <w:t>客服类</w:t>
      </w:r>
      <w:proofErr w:type="gramEnd"/>
      <w:r w:rsidRPr="00660147">
        <w:rPr>
          <w:rFonts w:ascii="楷体" w:eastAsia="楷体" w:hAnsi="楷体" w:hint="eastAsia"/>
          <w:color w:val="000000" w:themeColor="text1"/>
        </w:rPr>
        <w:t xml:space="preserve"> Now Assist 产品在续约时增售</w:t>
      </w:r>
      <w:proofErr w:type="gramStart"/>
      <w:r w:rsidRPr="00660147">
        <w:rPr>
          <w:rFonts w:ascii="楷体" w:eastAsia="楷体" w:hAnsi="楷体" w:hint="eastAsia"/>
          <w:color w:val="000000" w:themeColor="text1"/>
        </w:rPr>
        <w:t>幅度超</w:t>
      </w:r>
      <w:proofErr w:type="gramEnd"/>
      <w:r w:rsidRPr="00660147">
        <w:rPr>
          <w:rFonts w:ascii="楷体" w:eastAsia="楷体" w:hAnsi="楷体" w:hint="eastAsia"/>
          <w:color w:val="000000" w:themeColor="text1"/>
        </w:rPr>
        <w:t xml:space="preserve"> 70%，包含 5 款及以上 </w:t>
      </w:r>
      <w:proofErr w:type="spellStart"/>
      <w:r w:rsidRPr="00660147">
        <w:rPr>
          <w:rFonts w:ascii="楷体" w:eastAsia="楷体" w:hAnsi="楷体" w:hint="eastAsia"/>
          <w:color w:val="000000" w:themeColor="text1"/>
        </w:rPr>
        <w:t>NowAssist</w:t>
      </w:r>
      <w:proofErr w:type="spellEnd"/>
      <w:r w:rsidRPr="00660147">
        <w:rPr>
          <w:rFonts w:ascii="楷体" w:eastAsia="楷体" w:hAnsi="楷体" w:hint="eastAsia"/>
          <w:color w:val="000000" w:themeColor="text1"/>
        </w:rPr>
        <w:t xml:space="preserve"> 产品的订单数量同比增长超 10 </w:t>
      </w:r>
      <w:proofErr w:type="gramStart"/>
      <w:r w:rsidRPr="00660147">
        <w:rPr>
          <w:rFonts w:ascii="楷体" w:eastAsia="楷体" w:hAnsi="楷体" w:hint="eastAsia"/>
          <w:color w:val="000000" w:themeColor="text1"/>
        </w:rPr>
        <w:t>倍</w:t>
      </w:r>
      <w:proofErr w:type="gramEnd"/>
      <w:r w:rsidRPr="00660147">
        <w:rPr>
          <w:rFonts w:ascii="楷体" w:eastAsia="楷体" w:hAnsi="楷体" w:hint="eastAsia"/>
          <w:color w:val="000000" w:themeColor="text1"/>
        </w:rPr>
        <w:t>。</w:t>
      </w:r>
    </w:p>
    <w:p w14:paraId="51FFF277" w14:textId="0E0C0C76" w:rsidR="00106375" w:rsidRPr="00660147" w:rsidRDefault="00106375" w:rsidP="005D6D33">
      <w:pP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7F46C59C" wp14:editId="4DAC57C6">
            <wp:extent cx="5274310" cy="1645285"/>
            <wp:effectExtent l="0" t="0" r="2540" b="0"/>
            <wp:docPr id="196092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9151" name=""/>
                    <pic:cNvPicPr/>
                  </pic:nvPicPr>
                  <pic:blipFill>
                    <a:blip r:embed="rId19"/>
                    <a:stretch>
                      <a:fillRect/>
                    </a:stretch>
                  </pic:blipFill>
                  <pic:spPr>
                    <a:xfrm>
                      <a:off x="0" y="0"/>
                      <a:ext cx="5274310" cy="1645285"/>
                    </a:xfrm>
                    <a:prstGeom prst="rect">
                      <a:avLst/>
                    </a:prstGeom>
                  </pic:spPr>
                </pic:pic>
              </a:graphicData>
            </a:graphic>
          </wp:inline>
        </w:drawing>
      </w:r>
    </w:p>
    <w:p w14:paraId="32AC3F55" w14:textId="3B211891" w:rsidR="00106375" w:rsidRPr="00660147" w:rsidRDefault="00F45977" w:rsidP="005D6D33">
      <w:pPr>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3CB3BAD6" w14:textId="0B3736F1" w:rsidR="003370CA" w:rsidRPr="00660147" w:rsidRDefault="00C343A8" w:rsidP="003370CA">
      <w:pPr>
        <w:pStyle w:val="4"/>
        <w:rPr>
          <w:rFonts w:ascii="楷体" w:eastAsia="楷体" w:hAnsi="楷体" w:hint="eastAsia"/>
          <w:color w:val="000000" w:themeColor="text1"/>
        </w:rPr>
      </w:pPr>
      <w:r w:rsidRPr="00660147">
        <w:rPr>
          <w:rFonts w:ascii="楷体" w:eastAsia="楷体" w:hAnsi="楷体" w:hint="eastAsia"/>
          <w:color w:val="000000" w:themeColor="text1"/>
        </w:rPr>
        <w:t xml:space="preserve">2.2.3.3 </w:t>
      </w:r>
      <w:r w:rsidR="003370CA" w:rsidRPr="00660147">
        <w:rPr>
          <w:rFonts w:ascii="楷体" w:eastAsia="楷体" w:hAnsi="楷体" w:hint="eastAsia"/>
          <w:color w:val="000000" w:themeColor="text1"/>
        </w:rPr>
        <w:t>AI</w:t>
      </w:r>
      <w:r w:rsidR="0002120E" w:rsidRPr="00660147">
        <w:rPr>
          <w:rFonts w:ascii="楷体" w:eastAsia="楷体" w:hAnsi="楷体" w:hint="eastAsia"/>
          <w:color w:val="000000" w:themeColor="text1"/>
        </w:rPr>
        <w:t xml:space="preserve"> </w:t>
      </w:r>
      <w:r w:rsidR="003370CA" w:rsidRPr="00660147">
        <w:rPr>
          <w:rFonts w:ascii="楷体" w:eastAsia="楷体" w:hAnsi="楷体" w:hint="eastAsia"/>
          <w:color w:val="000000" w:themeColor="text1"/>
        </w:rPr>
        <w:t>创意</w:t>
      </w:r>
    </w:p>
    <w:p w14:paraId="5515DD10"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AI 创意生成赛道涵盖图片、视频、音乐三个细分方向，早期商业化进展积极，但同时行业竞争亦在逐渐加剧。我们看好 AI 创意生成赛道的中长期市场空间，市场份额将逐渐向已形成正向商业循环的少数头部厂商集中：</w:t>
      </w:r>
    </w:p>
    <w:p w14:paraId="18ABD9AD"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1）AI 在营销素材制作、视频/图片创作等场景已能大量替代人力，使用场景明确、用户付费意愿强，Midjourney、Adobe Firefly、快手可灵等均已实现超 2 亿美元 ARR；</w:t>
      </w:r>
    </w:p>
    <w:p w14:paraId="64F1F423" w14:textId="77777777" w:rsidR="003370CA"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2）但行业竞争也在持续加剧：从 Artificial Intelligence 相关榜单变化趋势看，全球头部厂商之间尚未在创意生成领域拉开显著的模型能力或用户差距，仍需持续投入研发</w:t>
      </w:r>
      <w:proofErr w:type="gramStart"/>
      <w:r w:rsidRPr="00660147">
        <w:rPr>
          <w:rFonts w:ascii="楷体" w:eastAsia="楷体" w:hAnsi="楷体" w:hint="eastAsia"/>
          <w:color w:val="000000" w:themeColor="text1"/>
        </w:rPr>
        <w:t>和算力以</w:t>
      </w:r>
      <w:proofErr w:type="gramEnd"/>
      <w:r w:rsidRPr="00660147">
        <w:rPr>
          <w:rFonts w:ascii="楷体" w:eastAsia="楷体" w:hAnsi="楷体" w:hint="eastAsia"/>
          <w:color w:val="000000" w:themeColor="text1"/>
        </w:rPr>
        <w:t>维持领先；</w:t>
      </w:r>
    </w:p>
    <w:p w14:paraId="092F858E" w14:textId="0DC54B99" w:rsidR="00E82244" w:rsidRPr="00660147" w:rsidRDefault="003370CA" w:rsidP="003370CA">
      <w:pPr>
        <w:rPr>
          <w:rFonts w:ascii="楷体" w:eastAsia="楷体" w:hAnsi="楷体"/>
          <w:color w:val="000000" w:themeColor="text1"/>
        </w:rPr>
      </w:pPr>
      <w:r w:rsidRPr="00660147">
        <w:rPr>
          <w:rFonts w:ascii="楷体" w:eastAsia="楷体" w:hAnsi="楷体" w:hint="eastAsia"/>
          <w:color w:val="000000" w:themeColor="text1"/>
        </w:rPr>
        <w:t>3）Midjourney 基于早期用户心智占领及良好的产品能力，已实现</w:t>
      </w:r>
      <w:proofErr w:type="gramStart"/>
      <w:r w:rsidRPr="00660147">
        <w:rPr>
          <w:rFonts w:ascii="楷体" w:eastAsia="楷体" w:hAnsi="楷体" w:hint="eastAsia"/>
          <w:color w:val="000000" w:themeColor="text1"/>
        </w:rPr>
        <w:t>高人效且盈利</w:t>
      </w:r>
      <w:proofErr w:type="gramEnd"/>
      <w:r w:rsidRPr="00660147">
        <w:rPr>
          <w:rFonts w:ascii="楷体" w:eastAsia="楷体" w:hAnsi="楷体" w:hint="eastAsia"/>
          <w:color w:val="000000" w:themeColor="text1"/>
        </w:rPr>
        <w:t>的 AI 应用变现模式，但随着竞争加剧，我们认为公司或也将加大投入以维持竞争力；快手可灵在毛利率层面已经转正，但公司计划持续</w:t>
      </w:r>
      <w:proofErr w:type="gramStart"/>
      <w:r w:rsidRPr="00660147">
        <w:rPr>
          <w:rFonts w:ascii="楷体" w:eastAsia="楷体" w:hAnsi="楷体" w:hint="eastAsia"/>
          <w:color w:val="000000" w:themeColor="text1"/>
        </w:rPr>
        <w:t>加大算力和</w:t>
      </w:r>
      <w:proofErr w:type="gramEnd"/>
      <w:r w:rsidRPr="00660147">
        <w:rPr>
          <w:rFonts w:ascii="楷体" w:eastAsia="楷体" w:hAnsi="楷体" w:hint="eastAsia"/>
          <w:color w:val="000000" w:themeColor="text1"/>
        </w:rPr>
        <w:t>研发投入，未来短期内仍将是持续亏损的态势。</w:t>
      </w:r>
    </w:p>
    <w:p w14:paraId="66D4A703" w14:textId="77777777" w:rsidR="0002120E" w:rsidRPr="00660147" w:rsidRDefault="0002120E" w:rsidP="003370CA">
      <w:pPr>
        <w:rPr>
          <w:rFonts w:ascii="楷体" w:eastAsia="楷体" w:hAnsi="楷体"/>
          <w:color w:val="000000" w:themeColor="text1"/>
        </w:rPr>
      </w:pPr>
    </w:p>
    <w:p w14:paraId="42C77B36" w14:textId="77777777" w:rsidR="0002120E" w:rsidRPr="00660147" w:rsidRDefault="0002120E" w:rsidP="003370CA">
      <w:pPr>
        <w:rPr>
          <w:rFonts w:ascii="楷体" w:eastAsia="楷体" w:hAnsi="楷体"/>
          <w:color w:val="000000" w:themeColor="text1"/>
        </w:rPr>
      </w:pPr>
    </w:p>
    <w:p w14:paraId="27211EBB" w14:textId="30E77650" w:rsidR="0002120E" w:rsidRPr="00660147" w:rsidRDefault="0002120E" w:rsidP="003370CA">
      <w:pPr>
        <w:rPr>
          <w:rFonts w:ascii="楷体" w:eastAsia="楷体" w:hAnsi="楷体"/>
          <w:color w:val="000000" w:themeColor="text1"/>
        </w:rPr>
      </w:pPr>
      <w:r w:rsidRPr="00660147">
        <w:rPr>
          <w:rFonts w:ascii="楷体" w:eastAsia="楷体" w:hAnsi="楷体"/>
          <w:noProof/>
          <w:color w:val="000000" w:themeColor="text1"/>
        </w:rPr>
        <w:lastRenderedPageBreak/>
        <w:drawing>
          <wp:inline distT="0" distB="0" distL="0" distR="0" wp14:anchorId="3AB29F53" wp14:editId="26901227">
            <wp:extent cx="5274310" cy="2555240"/>
            <wp:effectExtent l="0" t="0" r="2540" b="0"/>
            <wp:docPr id="612491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1759" name=""/>
                    <pic:cNvPicPr/>
                  </pic:nvPicPr>
                  <pic:blipFill>
                    <a:blip r:embed="rId20"/>
                    <a:stretch>
                      <a:fillRect/>
                    </a:stretch>
                  </pic:blipFill>
                  <pic:spPr>
                    <a:xfrm>
                      <a:off x="0" y="0"/>
                      <a:ext cx="5274310" cy="2555240"/>
                    </a:xfrm>
                    <a:prstGeom prst="rect">
                      <a:avLst/>
                    </a:prstGeom>
                  </pic:spPr>
                </pic:pic>
              </a:graphicData>
            </a:graphic>
          </wp:inline>
        </w:drawing>
      </w:r>
    </w:p>
    <w:p w14:paraId="05B6A952" w14:textId="77777777" w:rsidR="0002120E" w:rsidRPr="00660147" w:rsidRDefault="0002120E" w:rsidP="0002120E">
      <w:pPr>
        <w:rPr>
          <w:rFonts w:ascii="楷体" w:eastAsia="楷体" w:hAnsi="楷体" w:hint="eastAsia"/>
          <w:color w:val="000000" w:themeColor="text1"/>
        </w:rPr>
      </w:pPr>
      <w:r w:rsidRPr="00660147">
        <w:rPr>
          <w:rFonts w:ascii="楷体" w:eastAsia="楷体" w:hAnsi="楷体" w:hint="eastAsia"/>
          <w:color w:val="000000" w:themeColor="text1"/>
        </w:rPr>
        <w:t>数据来源：招银国际</w:t>
      </w:r>
    </w:p>
    <w:p w14:paraId="4FC72A42" w14:textId="77777777" w:rsidR="0002120E" w:rsidRPr="00660147" w:rsidRDefault="0002120E" w:rsidP="003370CA">
      <w:pPr>
        <w:rPr>
          <w:rFonts w:ascii="楷体" w:eastAsia="楷体" w:hAnsi="楷体" w:hint="eastAsia"/>
          <w:color w:val="000000" w:themeColor="text1"/>
        </w:rPr>
      </w:pPr>
    </w:p>
    <w:p w14:paraId="589F3CDD" w14:textId="11C015DB" w:rsidR="004F7E65" w:rsidRPr="00C14DC4" w:rsidRDefault="00F14E9B">
      <w:pPr>
        <w:pStyle w:val="2"/>
        <w:rPr>
          <w:rFonts w:ascii="楷体" w:eastAsia="楷体" w:hAnsi="楷体" w:hint="eastAsia"/>
          <w:color w:val="000000" w:themeColor="text1"/>
          <w:sz w:val="32"/>
          <w:szCs w:val="32"/>
        </w:rPr>
      </w:pPr>
      <w:bookmarkStart w:id="16" w:name="_Toc228374866"/>
      <w:r w:rsidRPr="00C14DC4">
        <w:rPr>
          <w:rFonts w:ascii="楷体" w:eastAsia="楷体" w:hAnsi="楷体" w:hint="eastAsia"/>
          <w:color w:val="000000" w:themeColor="text1"/>
          <w:sz w:val="32"/>
          <w:szCs w:val="32"/>
        </w:rPr>
        <w:t>2.3产业瓶颈</w:t>
      </w:r>
      <w:bookmarkEnd w:id="16"/>
    </w:p>
    <w:p w14:paraId="6FEEDE7F" w14:textId="339C80BC" w:rsidR="004F7E65" w:rsidRPr="00C14DC4" w:rsidRDefault="00F14E9B">
      <w:pPr>
        <w:pStyle w:val="3"/>
        <w:rPr>
          <w:rFonts w:ascii="楷体" w:eastAsia="楷体" w:hAnsi="楷体" w:hint="eastAsia"/>
          <w:color w:val="000000" w:themeColor="text1"/>
          <w:sz w:val="30"/>
          <w:szCs w:val="30"/>
        </w:rPr>
      </w:pPr>
      <w:bookmarkStart w:id="17" w:name="_Toc228374867"/>
      <w:r w:rsidRPr="00C14DC4">
        <w:rPr>
          <w:rFonts w:ascii="楷体" w:eastAsia="楷体" w:hAnsi="楷体" w:hint="eastAsia"/>
          <w:color w:val="000000" w:themeColor="text1"/>
          <w:sz w:val="30"/>
          <w:szCs w:val="30"/>
        </w:rPr>
        <w:t>2.3.1技术瓶颈</w:t>
      </w:r>
      <w:bookmarkEnd w:id="17"/>
    </w:p>
    <w:p w14:paraId="39DAA3C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当前，大模型的技术发展已从单纯的参数规模竞赛，转向对模型效能、可靠性及综合成本的深度攻坚，基础能力提升放缓与工程化难题并存。</w:t>
      </w:r>
    </w:p>
    <w:p w14:paraId="13C9C3A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首先，基座模型的能力演进进入平台期，核心能力突破放缓。根据行业分析，进入2025年后，全球通用大模型的基座能力持续演进，但迭代周期维持在3至4个月，重点在于已有能力的优化与巩固。有观点明确指出，2025年大模型的“基模型能力没有提升”，产业界将重点转向了“深度推理”等效能优化方向，而非底层能力的颠覆性革新。这标志着单纯依靠Scaling Law（规模定律）驱动性能线性增长的模式已触及阶段性天花板。</w:t>
      </w:r>
    </w:p>
    <w:p w14:paraId="3E64175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其次，模型固有的技术缺陷仍是规模化应用的拦路虎。“幻觉”（生成错误或虚构内容）、数据安全与隐私泄露、算法偏见等问题尚未得到根本性解决。在容错率极低的工业、医疗、金融等严肃场景中，模型的“黑箱”特性和低容错问题构成了应用信任壁垒。</w:t>
      </w:r>
    </w:p>
    <w:p w14:paraId="20E0427E" w14:textId="56D4960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最后，</w:t>
      </w:r>
      <w:proofErr w:type="gramStart"/>
      <w:r w:rsidRPr="00660147">
        <w:rPr>
          <w:rFonts w:ascii="楷体" w:eastAsia="楷体" w:hAnsi="楷体" w:hint="eastAsia"/>
          <w:color w:val="000000" w:themeColor="text1"/>
          <w:szCs w:val="22"/>
        </w:rPr>
        <w:t>算力与</w:t>
      </w:r>
      <w:proofErr w:type="gramEnd"/>
      <w:r w:rsidRPr="00660147">
        <w:rPr>
          <w:rFonts w:ascii="楷体" w:eastAsia="楷体" w:hAnsi="楷体" w:hint="eastAsia"/>
          <w:color w:val="000000" w:themeColor="text1"/>
          <w:szCs w:val="22"/>
        </w:rPr>
        <w:t>数据成本高企，构成难以逾越的经济门槛。训练千亿参数模型需要数千张高端GPU，成本达数亿元。推理阶段</w:t>
      </w:r>
      <w:proofErr w:type="gramStart"/>
      <w:r w:rsidRPr="00660147">
        <w:rPr>
          <w:rFonts w:ascii="楷体" w:eastAsia="楷体" w:hAnsi="楷体" w:hint="eastAsia"/>
          <w:color w:val="000000" w:themeColor="text1"/>
          <w:szCs w:val="22"/>
        </w:rPr>
        <w:t>的算力消耗</w:t>
      </w:r>
      <w:proofErr w:type="gramEnd"/>
      <w:r w:rsidRPr="00660147">
        <w:rPr>
          <w:rFonts w:ascii="楷体" w:eastAsia="楷体" w:hAnsi="楷体" w:hint="eastAsia"/>
          <w:color w:val="000000" w:themeColor="text1"/>
          <w:szCs w:val="22"/>
        </w:rPr>
        <w:t>同样巨大。与此同时，“数据孤岛”问题导致高质量、专业化的领域数据稀缺，制约了模型在垂直场景中的表现优化。</w:t>
      </w:r>
    </w:p>
    <w:p w14:paraId="47E8147A" w14:textId="134F8525" w:rsidR="004F7E65" w:rsidRPr="00C14DC4" w:rsidRDefault="00F14E9B">
      <w:pPr>
        <w:pStyle w:val="3"/>
        <w:rPr>
          <w:rFonts w:ascii="楷体" w:eastAsia="楷体" w:hAnsi="楷体" w:hint="eastAsia"/>
          <w:color w:val="000000" w:themeColor="text1"/>
          <w:sz w:val="30"/>
          <w:szCs w:val="30"/>
        </w:rPr>
      </w:pPr>
      <w:bookmarkStart w:id="18" w:name="_Toc228374868"/>
      <w:r w:rsidRPr="00C14DC4">
        <w:rPr>
          <w:rFonts w:ascii="楷体" w:eastAsia="楷体" w:hAnsi="楷体" w:hint="eastAsia"/>
          <w:color w:val="000000" w:themeColor="text1"/>
          <w:sz w:val="30"/>
          <w:szCs w:val="30"/>
        </w:rPr>
        <w:lastRenderedPageBreak/>
        <w:t>2.3.2资源瓶颈</w:t>
      </w:r>
      <w:bookmarkEnd w:id="18"/>
    </w:p>
    <w:p w14:paraId="2D666EC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 xml:space="preserve">一、 </w:t>
      </w:r>
      <w:proofErr w:type="gramStart"/>
      <w:r w:rsidRPr="00660147">
        <w:rPr>
          <w:rFonts w:ascii="楷体" w:eastAsia="楷体" w:hAnsi="楷体" w:hint="eastAsia"/>
          <w:color w:val="000000" w:themeColor="text1"/>
          <w:szCs w:val="22"/>
        </w:rPr>
        <w:t>算力需求</w:t>
      </w:r>
      <w:proofErr w:type="gramEnd"/>
      <w:r w:rsidRPr="00660147">
        <w:rPr>
          <w:rFonts w:ascii="楷体" w:eastAsia="楷体" w:hAnsi="楷体" w:hint="eastAsia"/>
          <w:color w:val="000000" w:themeColor="text1"/>
          <w:szCs w:val="22"/>
        </w:rPr>
        <w:t>井喷：从模型训练到智能</w:t>
      </w:r>
      <w:proofErr w:type="gramStart"/>
      <w:r w:rsidRPr="00660147">
        <w:rPr>
          <w:rFonts w:ascii="楷体" w:eastAsia="楷体" w:hAnsi="楷体" w:hint="eastAsia"/>
          <w:color w:val="000000" w:themeColor="text1"/>
          <w:szCs w:val="22"/>
        </w:rPr>
        <w:t>体应用</w:t>
      </w:r>
      <w:proofErr w:type="gramEnd"/>
      <w:r w:rsidRPr="00660147">
        <w:rPr>
          <w:rFonts w:ascii="楷体" w:eastAsia="楷体" w:hAnsi="楷体" w:hint="eastAsia"/>
          <w:color w:val="000000" w:themeColor="text1"/>
          <w:szCs w:val="22"/>
        </w:rPr>
        <w:t>的结构性跃迁</w:t>
      </w:r>
    </w:p>
    <w:p w14:paraId="4DB495B2"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当前算力短缺</w:t>
      </w:r>
      <w:proofErr w:type="gramEnd"/>
      <w:r w:rsidRPr="00660147">
        <w:rPr>
          <w:rFonts w:ascii="楷体" w:eastAsia="楷体" w:hAnsi="楷体" w:hint="eastAsia"/>
          <w:color w:val="000000" w:themeColor="text1"/>
          <w:szCs w:val="22"/>
        </w:rPr>
        <w:t>的首要驱动力，源于AI应用范式的根本性转变。</w:t>
      </w:r>
      <w:proofErr w:type="gramStart"/>
      <w:r w:rsidRPr="00660147">
        <w:rPr>
          <w:rFonts w:ascii="楷体" w:eastAsia="楷体" w:hAnsi="楷体" w:hint="eastAsia"/>
          <w:color w:val="000000" w:themeColor="text1"/>
          <w:szCs w:val="22"/>
        </w:rPr>
        <w:t>需求侧已从</w:t>
      </w:r>
      <w:proofErr w:type="gramEnd"/>
      <w:r w:rsidRPr="00660147">
        <w:rPr>
          <w:rFonts w:ascii="楷体" w:eastAsia="楷体" w:hAnsi="楷体" w:hint="eastAsia"/>
          <w:color w:val="000000" w:themeColor="text1"/>
          <w:szCs w:val="22"/>
        </w:rPr>
        <w:t>早期的大模型训练“军备竞赛”，演进至由智能体（Agent）和多模态应用规模化落地所引爆的推理需求“海啸”。这一转变</w:t>
      </w:r>
      <w:proofErr w:type="gramStart"/>
      <w:r w:rsidRPr="00660147">
        <w:rPr>
          <w:rFonts w:ascii="楷体" w:eastAsia="楷体" w:hAnsi="楷体" w:hint="eastAsia"/>
          <w:color w:val="000000" w:themeColor="text1"/>
          <w:szCs w:val="22"/>
        </w:rPr>
        <w:t>使得算力消耗</w:t>
      </w:r>
      <w:proofErr w:type="gramEnd"/>
      <w:r w:rsidRPr="00660147">
        <w:rPr>
          <w:rFonts w:ascii="楷体" w:eastAsia="楷体" w:hAnsi="楷体" w:hint="eastAsia"/>
          <w:color w:val="000000" w:themeColor="text1"/>
          <w:szCs w:val="22"/>
        </w:rPr>
        <w:t>呈现</w:t>
      </w:r>
      <w:proofErr w:type="gramStart"/>
      <w:r w:rsidRPr="00660147">
        <w:rPr>
          <w:rFonts w:ascii="楷体" w:eastAsia="楷体" w:hAnsi="楷体" w:hint="eastAsia"/>
          <w:color w:val="000000" w:themeColor="text1"/>
          <w:szCs w:val="22"/>
        </w:rPr>
        <w:t>指数级</w:t>
      </w:r>
      <w:proofErr w:type="gramEnd"/>
      <w:r w:rsidRPr="00660147">
        <w:rPr>
          <w:rFonts w:ascii="楷体" w:eastAsia="楷体" w:hAnsi="楷体" w:hint="eastAsia"/>
          <w:color w:val="000000" w:themeColor="text1"/>
          <w:szCs w:val="22"/>
        </w:rPr>
        <w:t>增长，彻底颠覆了原有的供需平衡。</w:t>
      </w:r>
    </w:p>
    <w:p w14:paraId="541049B8" w14:textId="7488BA28"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2026年初以来，以智能体为代表的AI原生应用进入大规模部署阶段，其常态化、长时程运行特性对</w:t>
      </w:r>
      <w:proofErr w:type="gramStart"/>
      <w:r w:rsidRPr="00660147">
        <w:rPr>
          <w:rFonts w:ascii="楷体" w:eastAsia="楷体" w:hAnsi="楷体" w:hint="eastAsia"/>
          <w:color w:val="000000" w:themeColor="text1"/>
          <w:szCs w:val="22"/>
        </w:rPr>
        <w:t>算力构成</w:t>
      </w:r>
      <w:proofErr w:type="gramEnd"/>
      <w:r w:rsidRPr="00660147">
        <w:rPr>
          <w:rFonts w:ascii="楷体" w:eastAsia="楷体" w:hAnsi="楷体" w:hint="eastAsia"/>
          <w:color w:val="000000" w:themeColor="text1"/>
          <w:szCs w:val="22"/>
        </w:rPr>
        <w:t>了持续且庞大的消耗。与此同时，文生图、文生视频等多模态应用迅速普及，进一步推高</w:t>
      </w:r>
      <w:proofErr w:type="gramStart"/>
      <w:r w:rsidRPr="00660147">
        <w:rPr>
          <w:rFonts w:ascii="楷体" w:eastAsia="楷体" w:hAnsi="楷体" w:hint="eastAsia"/>
          <w:color w:val="000000" w:themeColor="text1"/>
          <w:szCs w:val="22"/>
        </w:rPr>
        <w:t>了算力需求</w:t>
      </w:r>
      <w:proofErr w:type="gramEnd"/>
      <w:r w:rsidRPr="00660147">
        <w:rPr>
          <w:rFonts w:ascii="楷体" w:eastAsia="楷体" w:hAnsi="楷体" w:hint="eastAsia"/>
          <w:color w:val="000000" w:themeColor="text1"/>
          <w:szCs w:val="22"/>
        </w:rPr>
        <w:t>。根据行业数据，2026年4月，全球最大的API聚合平台</w:t>
      </w:r>
      <w:proofErr w:type="spellStart"/>
      <w:r w:rsidRPr="00660147">
        <w:rPr>
          <w:rFonts w:ascii="楷体" w:eastAsia="楷体" w:hAnsi="楷体" w:hint="eastAsia"/>
          <w:color w:val="000000" w:themeColor="text1"/>
          <w:szCs w:val="22"/>
        </w:rPr>
        <w:t>OpenRouter</w:t>
      </w:r>
      <w:proofErr w:type="spellEnd"/>
      <w:r w:rsidRPr="00660147">
        <w:rPr>
          <w:rFonts w:ascii="楷体" w:eastAsia="楷体" w:hAnsi="楷体" w:hint="eastAsia"/>
          <w:color w:val="000000" w:themeColor="text1"/>
          <w:szCs w:val="22"/>
        </w:rPr>
        <w:t>的周度累计Token消耗量较一年前激增约7-8倍</w:t>
      </w:r>
      <w:r w:rsidR="005B1233" w:rsidRPr="00660147">
        <w:rPr>
          <w:rFonts w:ascii="楷体" w:eastAsia="楷体" w:hAnsi="楷体" w:hint="eastAsia"/>
          <w:color w:val="000000" w:themeColor="text1"/>
          <w:szCs w:val="22"/>
        </w:rPr>
        <w:t>。而根据智谱和minimax财报，智谱的营业成本和研发成本均有70%投入算力，minimax营业成本中有90%投入了算力</w:t>
      </w:r>
      <w:r w:rsidR="00B179FD" w:rsidRPr="00660147">
        <w:rPr>
          <w:rFonts w:ascii="楷体" w:eastAsia="楷体" w:hAnsi="楷体" w:hint="eastAsia"/>
          <w:color w:val="000000" w:themeColor="text1"/>
          <w:szCs w:val="22"/>
        </w:rPr>
        <w:t>。</w:t>
      </w:r>
      <w:proofErr w:type="gramStart"/>
      <w:r w:rsidR="00B179FD" w:rsidRPr="00660147">
        <w:rPr>
          <w:rFonts w:ascii="楷体" w:eastAsia="楷体" w:hAnsi="楷体" w:hint="eastAsia"/>
          <w:color w:val="000000" w:themeColor="text1"/>
          <w:szCs w:val="22"/>
        </w:rPr>
        <w:t>算力的</w:t>
      </w:r>
      <w:proofErr w:type="gramEnd"/>
      <w:r w:rsidR="00B179FD" w:rsidRPr="00660147">
        <w:rPr>
          <w:rFonts w:ascii="楷体" w:eastAsia="楷体" w:hAnsi="楷体" w:hint="eastAsia"/>
          <w:color w:val="000000" w:themeColor="text1"/>
          <w:szCs w:val="22"/>
        </w:rPr>
        <w:t>紧缺已经成为一种客观实然，</w:t>
      </w:r>
      <w:proofErr w:type="gramStart"/>
      <w:r w:rsidR="00B179FD" w:rsidRPr="00660147">
        <w:rPr>
          <w:rFonts w:ascii="楷体" w:eastAsia="楷体" w:hAnsi="楷体" w:hint="eastAsia"/>
          <w:color w:val="000000" w:themeColor="text1"/>
          <w:szCs w:val="22"/>
        </w:rPr>
        <w:t>整个</w:t>
      </w:r>
      <w:r w:rsidRPr="00660147">
        <w:rPr>
          <w:rFonts w:ascii="楷体" w:eastAsia="楷体" w:hAnsi="楷体" w:hint="eastAsia"/>
          <w:color w:val="000000" w:themeColor="text1"/>
          <w:szCs w:val="22"/>
        </w:rPr>
        <w:t>算力市场</w:t>
      </w:r>
      <w:proofErr w:type="gramEnd"/>
      <w:r w:rsidRPr="00660147">
        <w:rPr>
          <w:rFonts w:ascii="楷体" w:eastAsia="楷体" w:hAnsi="楷体" w:hint="eastAsia"/>
          <w:color w:val="000000" w:themeColor="text1"/>
          <w:szCs w:val="22"/>
        </w:rPr>
        <w:t>进入了由</w:t>
      </w:r>
      <w:r w:rsidR="005B1233" w:rsidRPr="00660147">
        <w:rPr>
          <w:rFonts w:ascii="楷体" w:eastAsia="楷体" w:hAnsi="楷体" w:hint="eastAsia"/>
          <w:color w:val="000000" w:themeColor="text1"/>
          <w:szCs w:val="22"/>
        </w:rPr>
        <w:t>AI</w:t>
      </w:r>
      <w:r w:rsidRPr="00660147">
        <w:rPr>
          <w:rFonts w:ascii="楷体" w:eastAsia="楷体" w:hAnsi="楷体" w:hint="eastAsia"/>
          <w:color w:val="000000" w:themeColor="text1"/>
          <w:szCs w:val="22"/>
        </w:rPr>
        <w:t>驱动的新周期。</w:t>
      </w:r>
    </w:p>
    <w:p w14:paraId="76FCB333" w14:textId="3E20ED81"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需求的强劲增长直接体现在市场价格与商业行为上。近期，国内外</w:t>
      </w:r>
      <w:proofErr w:type="gramStart"/>
      <w:r w:rsidRPr="00660147">
        <w:rPr>
          <w:rFonts w:ascii="楷体" w:eastAsia="楷体" w:hAnsi="楷体" w:hint="eastAsia"/>
          <w:color w:val="000000" w:themeColor="text1"/>
          <w:szCs w:val="22"/>
        </w:rPr>
        <w:t>云服务</w:t>
      </w:r>
      <w:proofErr w:type="gramEnd"/>
      <w:r w:rsidRPr="00660147">
        <w:rPr>
          <w:rFonts w:ascii="楷体" w:eastAsia="楷体" w:hAnsi="楷体" w:hint="eastAsia"/>
          <w:color w:val="000000" w:themeColor="text1"/>
          <w:szCs w:val="22"/>
        </w:rPr>
        <w:t>商和模型提供商密集上调服务价格，这并非简单的策略调整，而是</w:t>
      </w:r>
      <w:proofErr w:type="gramStart"/>
      <w:r w:rsidRPr="00660147">
        <w:rPr>
          <w:rFonts w:ascii="楷体" w:eastAsia="楷体" w:hAnsi="楷体" w:hint="eastAsia"/>
          <w:color w:val="000000" w:themeColor="text1"/>
          <w:szCs w:val="22"/>
        </w:rPr>
        <w:t>高性能算力资源</w:t>
      </w:r>
      <w:proofErr w:type="gramEnd"/>
      <w:r w:rsidRPr="00660147">
        <w:rPr>
          <w:rFonts w:ascii="楷体" w:eastAsia="楷体" w:hAnsi="楷体" w:hint="eastAsia"/>
          <w:color w:val="000000" w:themeColor="text1"/>
          <w:szCs w:val="22"/>
        </w:rPr>
        <w:t>稀缺性的直接反映。国内方面，</w:t>
      </w:r>
      <w:proofErr w:type="gramStart"/>
      <w:r w:rsidRPr="00660147">
        <w:rPr>
          <w:rFonts w:ascii="楷体" w:eastAsia="楷体" w:hAnsi="楷体" w:hint="eastAsia"/>
          <w:color w:val="000000" w:themeColor="text1"/>
          <w:szCs w:val="22"/>
        </w:rPr>
        <w:t>腾讯云</w:t>
      </w:r>
      <w:proofErr w:type="gramEnd"/>
      <w:r w:rsidRPr="00660147">
        <w:rPr>
          <w:rFonts w:ascii="楷体" w:eastAsia="楷体" w:hAnsi="楷体" w:hint="eastAsia"/>
          <w:color w:val="000000" w:themeColor="text1"/>
          <w:szCs w:val="22"/>
        </w:rPr>
        <w:t>、百度智能云、阿里云等均在2026年3月至5月期间对AI</w:t>
      </w:r>
      <w:proofErr w:type="gramStart"/>
      <w:r w:rsidRPr="00660147">
        <w:rPr>
          <w:rFonts w:ascii="楷体" w:eastAsia="楷体" w:hAnsi="楷体" w:hint="eastAsia"/>
          <w:color w:val="000000" w:themeColor="text1"/>
          <w:szCs w:val="22"/>
        </w:rPr>
        <w:t>算力及</w:t>
      </w:r>
      <w:proofErr w:type="gramEnd"/>
      <w:r w:rsidRPr="00660147">
        <w:rPr>
          <w:rFonts w:ascii="楷体" w:eastAsia="楷体" w:hAnsi="楷体" w:hint="eastAsia"/>
          <w:color w:val="000000" w:themeColor="text1"/>
          <w:szCs w:val="22"/>
        </w:rPr>
        <w:t>相关产品进行提价，幅度从5%到34%不等。模型侧，智谱、商汤等也同步上调了服务费用。海外市场，Anthropic将其企业版服务从固定费用改为按</w:t>
      </w:r>
      <w:proofErr w:type="gramStart"/>
      <w:r w:rsidRPr="00660147">
        <w:rPr>
          <w:rFonts w:ascii="楷体" w:eastAsia="楷体" w:hAnsi="楷体" w:hint="eastAsia"/>
          <w:color w:val="000000" w:themeColor="text1"/>
          <w:szCs w:val="22"/>
        </w:rPr>
        <w:t>实际算力消耗</w:t>
      </w:r>
      <w:proofErr w:type="gramEnd"/>
      <w:r w:rsidRPr="00660147">
        <w:rPr>
          <w:rFonts w:ascii="楷体" w:eastAsia="楷体" w:hAnsi="楷体" w:hint="eastAsia"/>
          <w:color w:val="000000" w:themeColor="text1"/>
          <w:szCs w:val="22"/>
        </w:rPr>
        <w:t>计费。这一系列动作表明，行业正从“低价换市场”的扩张阶段，转向对</w:t>
      </w:r>
      <w:proofErr w:type="gramStart"/>
      <w:r w:rsidRPr="00660147">
        <w:rPr>
          <w:rFonts w:ascii="楷体" w:eastAsia="楷体" w:hAnsi="楷体" w:hint="eastAsia"/>
          <w:color w:val="000000" w:themeColor="text1"/>
          <w:szCs w:val="22"/>
        </w:rPr>
        <w:t>稀缺算力资源</w:t>
      </w:r>
      <w:proofErr w:type="gramEnd"/>
      <w:r w:rsidRPr="00660147">
        <w:rPr>
          <w:rFonts w:ascii="楷体" w:eastAsia="楷体" w:hAnsi="楷体" w:hint="eastAsia"/>
          <w:color w:val="000000" w:themeColor="text1"/>
          <w:szCs w:val="22"/>
        </w:rPr>
        <w:t>和高质量模型能力的“价值重估”阶段。</w:t>
      </w:r>
    </w:p>
    <w:p w14:paraId="0A67E3EE"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作为算力市场</w:t>
      </w:r>
      <w:proofErr w:type="gramEnd"/>
      <w:r w:rsidRPr="00660147">
        <w:rPr>
          <w:rFonts w:ascii="楷体" w:eastAsia="楷体" w:hAnsi="楷体" w:hint="eastAsia"/>
          <w:color w:val="000000" w:themeColor="text1"/>
          <w:szCs w:val="22"/>
        </w:rPr>
        <w:t>的“温度计”，高端GPU的租赁价格清晰反映了供需格局。</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H100的租赁价格在2025年因短期供需调整一度低于2美元/小时，但进入2026年，随着需求井喷，价格已</w:t>
      </w:r>
      <w:proofErr w:type="gramStart"/>
      <w:r w:rsidRPr="00660147">
        <w:rPr>
          <w:rFonts w:ascii="楷体" w:eastAsia="楷体" w:hAnsi="楷体" w:hint="eastAsia"/>
          <w:color w:val="000000" w:themeColor="text1"/>
          <w:szCs w:val="22"/>
        </w:rPr>
        <w:t>强势回升</w:t>
      </w:r>
      <w:proofErr w:type="gramEnd"/>
      <w:r w:rsidRPr="00660147">
        <w:rPr>
          <w:rFonts w:ascii="楷体" w:eastAsia="楷体" w:hAnsi="楷体" w:hint="eastAsia"/>
          <w:color w:val="000000" w:themeColor="text1"/>
          <w:szCs w:val="22"/>
        </w:rPr>
        <w:t>至2.35美元/小时以上，国内月租价格高达5.5-6.0万元。新一代Blackwell GPU同样面临供应告急，交付周期已延长至2026年6-7月，其产能已被预订一空。价格曲线的“V型”反转，为</w:t>
      </w:r>
      <w:proofErr w:type="gramStart"/>
      <w:r w:rsidRPr="00660147">
        <w:rPr>
          <w:rFonts w:ascii="楷体" w:eastAsia="楷体" w:hAnsi="楷体" w:hint="eastAsia"/>
          <w:color w:val="000000" w:themeColor="text1"/>
          <w:szCs w:val="22"/>
        </w:rPr>
        <w:t>本轮算力短缺</w:t>
      </w:r>
      <w:proofErr w:type="gramEnd"/>
      <w:r w:rsidRPr="00660147">
        <w:rPr>
          <w:rFonts w:ascii="楷体" w:eastAsia="楷体" w:hAnsi="楷体" w:hint="eastAsia"/>
          <w:color w:val="000000" w:themeColor="text1"/>
          <w:szCs w:val="22"/>
        </w:rPr>
        <w:t>的强度和持续性提供了最直观的注脚。</w:t>
      </w:r>
    </w:p>
    <w:p w14:paraId="4E9FD6F6"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二、 硬件产能瓶颈：供应链多重约束下的扩张天花板</w:t>
      </w:r>
    </w:p>
    <w:p w14:paraId="6506695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面对汹涌的需求，</w:t>
      </w:r>
      <w:proofErr w:type="gramStart"/>
      <w:r w:rsidRPr="00660147">
        <w:rPr>
          <w:rFonts w:ascii="楷体" w:eastAsia="楷体" w:hAnsi="楷体" w:hint="eastAsia"/>
          <w:color w:val="000000" w:themeColor="text1"/>
          <w:szCs w:val="22"/>
        </w:rPr>
        <w:t>算力硬件</w:t>
      </w:r>
      <w:proofErr w:type="gramEnd"/>
      <w:r w:rsidRPr="00660147">
        <w:rPr>
          <w:rFonts w:ascii="楷体" w:eastAsia="楷体" w:hAnsi="楷体" w:hint="eastAsia"/>
          <w:color w:val="000000" w:themeColor="text1"/>
          <w:szCs w:val="22"/>
        </w:rPr>
        <w:t>的供给扩张却面临着一系列物理、技术和供应链上的刚性约束。瓶颈并非单一存在，而是在产业</w:t>
      </w:r>
      <w:proofErr w:type="gramStart"/>
      <w:r w:rsidRPr="00660147">
        <w:rPr>
          <w:rFonts w:ascii="楷体" w:eastAsia="楷体" w:hAnsi="楷体" w:hint="eastAsia"/>
          <w:color w:val="000000" w:themeColor="text1"/>
          <w:szCs w:val="22"/>
        </w:rPr>
        <w:t>链不同</w:t>
      </w:r>
      <w:proofErr w:type="gramEnd"/>
      <w:r w:rsidRPr="00660147">
        <w:rPr>
          <w:rFonts w:ascii="楷体" w:eastAsia="楷体" w:hAnsi="楷体" w:hint="eastAsia"/>
          <w:color w:val="000000" w:themeColor="text1"/>
          <w:szCs w:val="22"/>
        </w:rPr>
        <w:t>环节间动态转移，最终从系统层面锁死了产能的扩张速度。</w:t>
      </w:r>
    </w:p>
    <w:p w14:paraId="4205185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1. 核心芯片制造：从</w:t>
      </w:r>
      <w:proofErr w:type="gramStart"/>
      <w:r w:rsidRPr="00660147">
        <w:rPr>
          <w:rFonts w:ascii="楷体" w:eastAsia="楷体" w:hAnsi="楷体" w:hint="eastAsia"/>
          <w:color w:val="000000" w:themeColor="text1"/>
          <w:szCs w:val="22"/>
        </w:rPr>
        <w:t>先进制程到</w:t>
      </w:r>
      <w:proofErr w:type="gramEnd"/>
      <w:r w:rsidRPr="00660147">
        <w:rPr>
          <w:rFonts w:ascii="楷体" w:eastAsia="楷体" w:hAnsi="楷体" w:hint="eastAsia"/>
          <w:color w:val="000000" w:themeColor="text1"/>
          <w:szCs w:val="22"/>
        </w:rPr>
        <w:t>光刻机的终极约束</w:t>
      </w:r>
    </w:p>
    <w:p w14:paraId="588459C3"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AI芯片的制造依赖于全球最精密的半导体供应链，其中多个环节已成为瓶颈。</w:t>
      </w:r>
    </w:p>
    <w:p w14:paraId="68746D99" w14:textId="77777777" w:rsidR="004F7E65" w:rsidRPr="00660147" w:rsidRDefault="00000000">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lastRenderedPageBreak/>
        <w:t>先进制程产能</w:t>
      </w:r>
      <w:proofErr w:type="gramEnd"/>
      <w:r w:rsidRPr="00660147">
        <w:rPr>
          <w:rFonts w:ascii="楷体" w:eastAsia="楷体" w:hAnsi="楷体" w:hint="eastAsia"/>
          <w:color w:val="000000" w:themeColor="text1"/>
          <w:szCs w:val="22"/>
        </w:rPr>
        <w:t>集中且紧缺：台积电垄断了全球80%以上的</w:t>
      </w:r>
      <w:proofErr w:type="gramStart"/>
      <w:r w:rsidRPr="00660147">
        <w:rPr>
          <w:rFonts w:ascii="楷体" w:eastAsia="楷体" w:hAnsi="楷体" w:hint="eastAsia"/>
          <w:color w:val="000000" w:themeColor="text1"/>
          <w:szCs w:val="22"/>
        </w:rPr>
        <w:t>先进制程产能</w:t>
      </w:r>
      <w:proofErr w:type="gramEnd"/>
      <w:r w:rsidRPr="00660147">
        <w:rPr>
          <w:rFonts w:ascii="楷体" w:eastAsia="楷体" w:hAnsi="楷体" w:hint="eastAsia"/>
          <w:color w:val="000000" w:themeColor="text1"/>
          <w:szCs w:val="22"/>
        </w:rPr>
        <w:t>。建设1GW（吉瓦）</w:t>
      </w:r>
      <w:proofErr w:type="gramStart"/>
      <w:r w:rsidRPr="00660147">
        <w:rPr>
          <w:rFonts w:ascii="楷体" w:eastAsia="楷体" w:hAnsi="楷体" w:hint="eastAsia"/>
          <w:color w:val="000000" w:themeColor="text1"/>
          <w:szCs w:val="22"/>
        </w:rPr>
        <w:t>算力的</w:t>
      </w:r>
      <w:proofErr w:type="gramEnd"/>
      <w:r w:rsidRPr="00660147">
        <w:rPr>
          <w:rFonts w:ascii="楷体" w:eastAsia="楷体" w:hAnsi="楷体" w:hint="eastAsia"/>
          <w:color w:val="000000" w:themeColor="text1"/>
          <w:szCs w:val="22"/>
        </w:rPr>
        <w:t>数据中心，约需5.5万片3nm和6000片5nm晶圆，</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已提前</w:t>
      </w:r>
      <w:proofErr w:type="gramStart"/>
      <w:r w:rsidRPr="00660147">
        <w:rPr>
          <w:rFonts w:ascii="楷体" w:eastAsia="楷体" w:hAnsi="楷体" w:hint="eastAsia"/>
          <w:color w:val="000000" w:themeColor="text1"/>
          <w:szCs w:val="22"/>
        </w:rPr>
        <w:t>锁定台</w:t>
      </w:r>
      <w:proofErr w:type="gramEnd"/>
      <w:r w:rsidRPr="00660147">
        <w:rPr>
          <w:rFonts w:ascii="楷体" w:eastAsia="楷体" w:hAnsi="楷体" w:hint="eastAsia"/>
          <w:color w:val="000000" w:themeColor="text1"/>
          <w:szCs w:val="22"/>
        </w:rPr>
        <w:t>积电大量3nm产能。国内CPU供给亦因台积电产能不足及英特尔自身</w:t>
      </w:r>
      <w:proofErr w:type="gramStart"/>
      <w:r w:rsidRPr="00660147">
        <w:rPr>
          <w:rFonts w:ascii="楷体" w:eastAsia="楷体" w:hAnsi="楷体" w:hint="eastAsia"/>
          <w:color w:val="000000" w:themeColor="text1"/>
          <w:szCs w:val="22"/>
        </w:rPr>
        <w:t>制程良</w:t>
      </w:r>
      <w:proofErr w:type="gramEnd"/>
      <w:r w:rsidRPr="00660147">
        <w:rPr>
          <w:rFonts w:ascii="楷体" w:eastAsia="楷体" w:hAnsi="楷体" w:hint="eastAsia"/>
          <w:color w:val="000000" w:themeColor="text1"/>
          <w:szCs w:val="22"/>
        </w:rPr>
        <w:t>率问题而紧张。</w:t>
      </w:r>
    </w:p>
    <w:p w14:paraId="559D65A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EUV光刻机成为物理天花板：产能扩张的终极瓶颈指向了半导体设备，尤其</w:t>
      </w:r>
      <w:proofErr w:type="gramStart"/>
      <w:r w:rsidRPr="00660147">
        <w:rPr>
          <w:rFonts w:ascii="楷体" w:eastAsia="楷体" w:hAnsi="楷体" w:hint="eastAsia"/>
          <w:color w:val="000000" w:themeColor="text1"/>
          <w:szCs w:val="22"/>
        </w:rPr>
        <w:t>是极紫外</w:t>
      </w:r>
      <w:proofErr w:type="gramEnd"/>
      <w:r w:rsidRPr="00660147">
        <w:rPr>
          <w:rFonts w:ascii="楷体" w:eastAsia="楷体" w:hAnsi="楷体" w:hint="eastAsia"/>
          <w:color w:val="000000" w:themeColor="text1"/>
          <w:szCs w:val="22"/>
        </w:rPr>
        <w:t>（EUV）光刻机。目前全球EUV光刻机由ASML独家供应，年产量仅约70台，未来几年缓慢增长至80-100台5。据测算，支撑1GW AI芯片产能需要约3.5台EUV光刻机全年运转，而建设这1GW数据中心的总投资高达500亿美元。光刻机供应链（如蔡司的镜头、Cymer的光源）高度复杂且专业化，扩产周期极长，从物理上限定了全球每年可新增的</w:t>
      </w:r>
      <w:proofErr w:type="gramStart"/>
      <w:r w:rsidRPr="00660147">
        <w:rPr>
          <w:rFonts w:ascii="楷体" w:eastAsia="楷体" w:hAnsi="楷体" w:hint="eastAsia"/>
          <w:color w:val="000000" w:themeColor="text1"/>
          <w:szCs w:val="22"/>
        </w:rPr>
        <w:t>先进算力总</w:t>
      </w:r>
      <w:proofErr w:type="gramEnd"/>
      <w:r w:rsidRPr="00660147">
        <w:rPr>
          <w:rFonts w:ascii="楷体" w:eastAsia="楷体" w:hAnsi="楷体" w:hint="eastAsia"/>
          <w:color w:val="000000" w:themeColor="text1"/>
          <w:szCs w:val="22"/>
        </w:rPr>
        <w:t>规模。</w:t>
      </w:r>
    </w:p>
    <w:p w14:paraId="125217DB"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2. 存储与封装：HBM短缺与先进封装产能制约</w:t>
      </w:r>
    </w:p>
    <w:p w14:paraId="7269F204" w14:textId="14C46E0C"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HBM内存供需严重失衡：大语言模型的瓶颈往往是内存带宽而</w:t>
      </w:r>
      <w:proofErr w:type="gramStart"/>
      <w:r w:rsidRPr="00660147">
        <w:rPr>
          <w:rFonts w:ascii="楷体" w:eastAsia="楷体" w:hAnsi="楷体" w:hint="eastAsia"/>
          <w:color w:val="000000" w:themeColor="text1"/>
          <w:szCs w:val="22"/>
        </w:rPr>
        <w:t>非算力</w:t>
      </w:r>
      <w:proofErr w:type="gramEnd"/>
      <w:r w:rsidRPr="00660147">
        <w:rPr>
          <w:rFonts w:ascii="楷体" w:eastAsia="楷体" w:hAnsi="楷体" w:hint="eastAsia"/>
          <w:color w:val="000000" w:themeColor="text1"/>
          <w:szCs w:val="22"/>
        </w:rPr>
        <w:t>。HBM作为高性能AI芯片的标配，其生产效率远低于普通DRAM，同样</w:t>
      </w:r>
      <w:proofErr w:type="gramStart"/>
      <w:r w:rsidRPr="00660147">
        <w:rPr>
          <w:rFonts w:ascii="楷体" w:eastAsia="楷体" w:hAnsi="楷体" w:hint="eastAsia"/>
          <w:color w:val="000000" w:themeColor="text1"/>
          <w:szCs w:val="22"/>
        </w:rPr>
        <w:t>晶</w:t>
      </w:r>
      <w:proofErr w:type="gramEnd"/>
      <w:r w:rsidRPr="00660147">
        <w:rPr>
          <w:rFonts w:ascii="楷体" w:eastAsia="楷体" w:hAnsi="楷体" w:hint="eastAsia"/>
          <w:color w:val="000000" w:themeColor="text1"/>
          <w:szCs w:val="22"/>
        </w:rPr>
        <w:t>圆面积产出容量仅为后者的1/3到1/43。需求爆发导致HBM价格飙升，</w:t>
      </w:r>
      <w:proofErr w:type="gramStart"/>
      <w:r w:rsidRPr="00660147">
        <w:rPr>
          <w:rFonts w:ascii="楷体" w:eastAsia="楷体" w:hAnsi="楷体" w:hint="eastAsia"/>
          <w:color w:val="000000" w:themeColor="text1"/>
          <w:szCs w:val="22"/>
        </w:rPr>
        <w:t>英伟达</w:t>
      </w:r>
      <w:proofErr w:type="gramEnd"/>
      <w:r w:rsidRPr="00660147">
        <w:rPr>
          <w:rFonts w:ascii="楷体" w:eastAsia="楷体" w:hAnsi="楷体" w:hint="eastAsia"/>
          <w:color w:val="000000" w:themeColor="text1"/>
          <w:szCs w:val="22"/>
        </w:rPr>
        <w:t>为确保供应，签订了价值约900亿美元的</w:t>
      </w:r>
      <w:r w:rsidR="004726BD" w:rsidRPr="00660147">
        <w:rPr>
          <w:rFonts w:ascii="楷体" w:eastAsia="楷体" w:hAnsi="楷体"/>
          <w:color w:val="000000" w:themeColor="text1"/>
          <w:szCs w:val="22"/>
        </w:rPr>
        <w:t>长期预付款及采购承诺（Long-term Purchase Obligations）</w:t>
      </w:r>
      <w:proofErr w:type="gramStart"/>
      <w:r w:rsidR="004726BD" w:rsidRPr="00660147">
        <w:rPr>
          <w:rFonts w:ascii="楷体" w:eastAsia="楷体" w:hAnsi="楷体"/>
          <w:color w:val="000000" w:themeColor="text1"/>
          <w:szCs w:val="22"/>
        </w:rPr>
        <w:t>”</w:t>
      </w:r>
      <w:proofErr w:type="gramEnd"/>
      <w:r w:rsidR="004726BD" w:rsidRPr="00660147">
        <w:rPr>
          <w:rFonts w:ascii="楷体" w:eastAsia="楷体" w:hAnsi="楷体"/>
          <w:color w:val="000000" w:themeColor="text1"/>
          <w:szCs w:val="22"/>
        </w:rPr>
        <w:t>，而不仅仅是单一合同，这显示了</w:t>
      </w:r>
      <w:proofErr w:type="gramStart"/>
      <w:r w:rsidR="004726BD" w:rsidRPr="00660147">
        <w:rPr>
          <w:rFonts w:ascii="楷体" w:eastAsia="楷体" w:hAnsi="楷体"/>
          <w:color w:val="000000" w:themeColor="text1"/>
          <w:szCs w:val="22"/>
        </w:rPr>
        <w:t>英伟达</w:t>
      </w:r>
      <w:proofErr w:type="gramEnd"/>
      <w:r w:rsidR="004726BD" w:rsidRPr="00660147">
        <w:rPr>
          <w:rFonts w:ascii="楷体" w:eastAsia="楷体" w:hAnsi="楷体"/>
          <w:color w:val="000000" w:themeColor="text1"/>
          <w:szCs w:val="22"/>
        </w:rPr>
        <w:t>利用其超强现金流对上游产能进行的“物理封锁</w:t>
      </w:r>
      <w:r w:rsidRPr="00660147">
        <w:rPr>
          <w:rFonts w:ascii="楷体" w:eastAsia="楷体" w:hAnsi="楷体" w:hint="eastAsia"/>
          <w:color w:val="000000" w:themeColor="text1"/>
          <w:szCs w:val="22"/>
        </w:rPr>
        <w:t>。DRAM产能整体紧张，2025年DDR4价格大幅上涨，其背后是供给年增约10%而需求增长超20%的尖锐矛盾。</w:t>
      </w:r>
    </w:p>
    <w:p w14:paraId="65766B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先进封装产能持续紧张：CoWoS等2.5D/3D先进封装技术是集成HBM与逻辑芯片的关键，其产能自2023年起便持续紧张。尽管台积电等厂商努力扩产，但仍难以满足需求。封装基板（如ABF）的供应也因上游特种材料（玻纤布、铜箔、干膜）被少数日本厂商垄断且扩产缓慢而受限。</w:t>
      </w:r>
    </w:p>
    <w:p w14:paraId="0B165EDA"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3. 光互连与系统配套：瓶颈向上游传导</w:t>
      </w:r>
    </w:p>
    <w:p w14:paraId="7441942E"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随着AI集群规模扩大，</w:t>
      </w:r>
      <w:proofErr w:type="gramStart"/>
      <w:r w:rsidRPr="00660147">
        <w:rPr>
          <w:rFonts w:ascii="楷体" w:eastAsia="楷体" w:hAnsi="楷体" w:hint="eastAsia"/>
          <w:color w:val="000000" w:themeColor="text1"/>
          <w:szCs w:val="22"/>
        </w:rPr>
        <w:t>算力瓶颈</w:t>
      </w:r>
      <w:proofErr w:type="gramEnd"/>
      <w:r w:rsidRPr="00660147">
        <w:rPr>
          <w:rFonts w:ascii="楷体" w:eastAsia="楷体" w:hAnsi="楷体" w:hint="eastAsia"/>
          <w:color w:val="000000" w:themeColor="text1"/>
          <w:szCs w:val="22"/>
        </w:rPr>
        <w:t>从GPU芯片</w:t>
      </w:r>
      <w:proofErr w:type="gramStart"/>
      <w:r w:rsidRPr="00660147">
        <w:rPr>
          <w:rFonts w:ascii="楷体" w:eastAsia="楷体" w:hAnsi="楷体" w:hint="eastAsia"/>
          <w:color w:val="000000" w:themeColor="text1"/>
          <w:szCs w:val="22"/>
        </w:rPr>
        <w:t>本身向确保</w:t>
      </w:r>
      <w:proofErr w:type="gramEnd"/>
      <w:r w:rsidRPr="00660147">
        <w:rPr>
          <w:rFonts w:ascii="楷体" w:eastAsia="楷体" w:hAnsi="楷体" w:hint="eastAsia"/>
          <w:color w:val="000000" w:themeColor="text1"/>
          <w:szCs w:val="22"/>
        </w:rPr>
        <w:t>集群高效互联的“系统配套”环节扩散。</w:t>
      </w:r>
    </w:p>
    <w:p w14:paraId="12DE9164"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光器件与光模块成为新瓶颈：高速光互连是万卡乃至更大规模集群的“神经网络”。光通信龙头Lumentum表示，</w:t>
      </w:r>
      <w:proofErr w:type="gramStart"/>
      <w:r w:rsidRPr="00660147">
        <w:rPr>
          <w:rFonts w:ascii="楷体" w:eastAsia="楷体" w:hAnsi="楷体" w:hint="eastAsia"/>
          <w:color w:val="000000" w:themeColor="text1"/>
          <w:szCs w:val="22"/>
        </w:rPr>
        <w:t>若需求</w:t>
      </w:r>
      <w:proofErr w:type="gramEnd"/>
      <w:r w:rsidRPr="00660147">
        <w:rPr>
          <w:rFonts w:ascii="楷体" w:eastAsia="楷体" w:hAnsi="楷体" w:hint="eastAsia"/>
          <w:color w:val="000000" w:themeColor="text1"/>
          <w:szCs w:val="22"/>
        </w:rPr>
        <w:t>趋势延续，其在未来两个季度内就可能将2028年底前的产能预订一空。这反映</w:t>
      </w:r>
      <w:proofErr w:type="gramStart"/>
      <w:r w:rsidRPr="00660147">
        <w:rPr>
          <w:rFonts w:ascii="楷体" w:eastAsia="楷体" w:hAnsi="楷体" w:hint="eastAsia"/>
          <w:color w:val="000000" w:themeColor="text1"/>
          <w:szCs w:val="22"/>
        </w:rPr>
        <w:t>出网络侧</w:t>
      </w:r>
      <w:proofErr w:type="gramEnd"/>
      <w:r w:rsidRPr="00660147">
        <w:rPr>
          <w:rFonts w:ascii="楷体" w:eastAsia="楷体" w:hAnsi="楷体" w:hint="eastAsia"/>
          <w:color w:val="000000" w:themeColor="text1"/>
          <w:szCs w:val="22"/>
        </w:rPr>
        <w:t>扩容需求已远超当前产能规划。磷化</w:t>
      </w:r>
      <w:proofErr w:type="gramStart"/>
      <w:r w:rsidRPr="00660147">
        <w:rPr>
          <w:rFonts w:ascii="楷体" w:eastAsia="楷体" w:hAnsi="楷体" w:hint="eastAsia"/>
          <w:color w:val="000000" w:themeColor="text1"/>
          <w:szCs w:val="22"/>
        </w:rPr>
        <w:t>铟等高端光</w:t>
      </w:r>
      <w:proofErr w:type="gramEnd"/>
      <w:r w:rsidRPr="00660147">
        <w:rPr>
          <w:rFonts w:ascii="楷体" w:eastAsia="楷体" w:hAnsi="楷体" w:hint="eastAsia"/>
          <w:color w:val="000000" w:themeColor="text1"/>
          <w:szCs w:val="22"/>
        </w:rPr>
        <w:t>器件制造工艺复杂、供应链迁移难度大，扩产非简单增加设备即可完成。</w:t>
      </w:r>
    </w:p>
    <w:p w14:paraId="7F7C535C"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电力与基础设施的长期挑战：虽然短期内芯片是更紧的瓶颈，但电力供应是潜在的长期约束。AI数据中心功耗惊人，Blackwell机柜功率超过120千瓦。重型燃气轮机等关键电力设备的交付周期长达3-4年，产能也已排满。尽管可通过“电表后”解决方案缓解，但成本将上升。</w:t>
      </w:r>
    </w:p>
    <w:p w14:paraId="5F96ECCD" w14:textId="6A947BB7" w:rsidR="004F7E65" w:rsidRPr="00C14DC4" w:rsidRDefault="00F14E9B">
      <w:pPr>
        <w:pStyle w:val="3"/>
        <w:rPr>
          <w:rFonts w:ascii="楷体" w:eastAsia="楷体" w:hAnsi="楷体" w:hint="eastAsia"/>
          <w:color w:val="000000" w:themeColor="text1"/>
          <w:sz w:val="30"/>
          <w:szCs w:val="30"/>
        </w:rPr>
      </w:pPr>
      <w:bookmarkStart w:id="19" w:name="_Toc228374869"/>
      <w:r w:rsidRPr="00C14DC4">
        <w:rPr>
          <w:rFonts w:ascii="楷体" w:eastAsia="楷体" w:hAnsi="楷体" w:hint="eastAsia"/>
          <w:color w:val="000000" w:themeColor="text1"/>
          <w:sz w:val="30"/>
          <w:szCs w:val="30"/>
        </w:rPr>
        <w:lastRenderedPageBreak/>
        <w:t>2.3.3商业瓶颈</w:t>
      </w:r>
      <w:bookmarkEnd w:id="19"/>
    </w:p>
    <w:p w14:paraId="3C076265" w14:textId="60DAF97A" w:rsidR="004F7E65" w:rsidRPr="00660147" w:rsidRDefault="00000000">
      <w:pPr>
        <w:rPr>
          <w:rFonts w:ascii="楷体" w:eastAsia="楷体" w:hAnsi="楷体" w:hint="eastAsia"/>
          <w:color w:val="000000" w:themeColor="text1"/>
          <w:szCs w:val="22"/>
        </w:rPr>
      </w:pPr>
      <w:r w:rsidRPr="00660147">
        <w:rPr>
          <w:rFonts w:ascii="楷体" w:eastAsia="楷体" w:hAnsi="楷体" w:hint="eastAsia"/>
          <w:color w:val="000000" w:themeColor="text1"/>
          <w:szCs w:val="22"/>
        </w:rPr>
        <w:t>产业已从商业模式探索期进入初步规模化阶段，但“叫好不叫座”的困境普遍存在，盈利闭环难以形成。</w:t>
      </w:r>
      <w:r w:rsidR="004447C8" w:rsidRPr="00660147">
        <w:rPr>
          <w:rFonts w:ascii="楷体" w:eastAsia="楷体" w:hAnsi="楷体" w:hint="eastAsia"/>
          <w:color w:val="000000" w:themeColor="text1"/>
          <w:szCs w:val="22"/>
        </w:rPr>
        <w:t>作为全球头部玩家，</w:t>
      </w:r>
      <w:r w:rsidR="004A0C08" w:rsidRPr="00660147">
        <w:rPr>
          <w:rFonts w:ascii="楷体" w:eastAsia="楷体" w:hAnsi="楷体" w:hint="eastAsia"/>
          <w:color w:val="000000" w:themeColor="text1"/>
          <w:szCs w:val="22"/>
        </w:rPr>
        <w:t>三</w:t>
      </w:r>
      <w:proofErr w:type="gramStart"/>
      <w:r w:rsidR="004A0C08" w:rsidRPr="00660147">
        <w:rPr>
          <w:rFonts w:ascii="楷体" w:eastAsia="楷体" w:hAnsi="楷体" w:hint="eastAsia"/>
          <w:color w:val="000000" w:themeColor="text1"/>
          <w:szCs w:val="22"/>
        </w:rPr>
        <w:t>大闭源厂商</w:t>
      </w:r>
      <w:proofErr w:type="gramEnd"/>
      <w:r w:rsidR="004A0C08" w:rsidRPr="00660147">
        <w:rPr>
          <w:rFonts w:ascii="楷体" w:eastAsia="楷体" w:hAnsi="楷体" w:hint="eastAsia"/>
          <w:color w:val="000000" w:themeColor="text1"/>
          <w:szCs w:val="22"/>
        </w:rPr>
        <w:t>的盈利能力已经相当可观，</w:t>
      </w:r>
      <w:r w:rsidR="006A1788" w:rsidRPr="00660147">
        <w:rPr>
          <w:rFonts w:ascii="楷体" w:eastAsia="楷体" w:hAnsi="楷体" w:hint="eastAsia"/>
          <w:color w:val="000000" w:themeColor="text1"/>
          <w:szCs w:val="22"/>
        </w:rPr>
        <w:t>在最新ARR上，</w:t>
      </w:r>
      <w:r w:rsidR="009959AC" w:rsidRPr="00660147">
        <w:rPr>
          <w:rFonts w:ascii="楷体" w:eastAsia="楷体" w:hAnsi="楷体" w:hint="eastAsia"/>
          <w:color w:val="000000" w:themeColor="text1"/>
          <w:szCs w:val="22"/>
        </w:rPr>
        <w:t>Anthropic</w:t>
      </w:r>
      <w:r w:rsidR="006A1788" w:rsidRPr="00660147">
        <w:rPr>
          <w:rFonts w:ascii="楷体" w:eastAsia="楷体" w:hAnsi="楷体" w:hint="eastAsia"/>
          <w:color w:val="000000" w:themeColor="text1"/>
          <w:szCs w:val="22"/>
        </w:rPr>
        <w:t>达到300亿美元，OpenAI达到约250亿美元</w:t>
      </w:r>
      <w:r w:rsidR="00807A6A" w:rsidRPr="00660147">
        <w:rPr>
          <w:rFonts w:ascii="楷体" w:eastAsia="楷体" w:hAnsi="楷体" w:hint="eastAsia"/>
          <w:color w:val="000000" w:themeColor="text1"/>
          <w:szCs w:val="22"/>
        </w:rPr>
        <w:t>。可</w:t>
      </w:r>
      <w:r w:rsidR="004A0C08" w:rsidRPr="00660147">
        <w:rPr>
          <w:rFonts w:ascii="楷体" w:eastAsia="楷体" w:hAnsi="楷体" w:hint="eastAsia"/>
          <w:color w:val="000000" w:themeColor="text1"/>
          <w:szCs w:val="22"/>
        </w:rPr>
        <w:t>即使如此，</w:t>
      </w:r>
      <w:r w:rsidR="006A1788" w:rsidRPr="00660147">
        <w:rPr>
          <w:rFonts w:ascii="楷体" w:eastAsia="楷体" w:hAnsi="楷体" w:hint="eastAsia"/>
          <w:color w:val="000000" w:themeColor="text1"/>
          <w:szCs w:val="22"/>
        </w:rPr>
        <w:t>OpenAI月亏损仍达到20亿美元/月</w:t>
      </w:r>
      <w:r w:rsidR="00CA008E" w:rsidRPr="00660147">
        <w:rPr>
          <w:rFonts w:ascii="楷体" w:eastAsia="楷体" w:hAnsi="楷体" w:hint="eastAsia"/>
          <w:color w:val="000000" w:themeColor="text1"/>
          <w:szCs w:val="22"/>
        </w:rPr>
        <w:t>，2026年净亏损预期超200亿美元</w:t>
      </w:r>
      <w:r w:rsidR="006A1788" w:rsidRPr="00660147">
        <w:rPr>
          <w:rFonts w:ascii="楷体" w:eastAsia="楷体" w:hAnsi="楷体" w:hint="eastAsia"/>
          <w:color w:val="000000" w:themeColor="text1"/>
          <w:szCs w:val="22"/>
        </w:rPr>
        <w:t>，</w:t>
      </w:r>
      <w:r w:rsidR="00FB02AD" w:rsidRPr="00660147">
        <w:rPr>
          <w:rFonts w:ascii="楷体" w:eastAsia="楷体" w:hAnsi="楷体" w:hint="eastAsia"/>
          <w:color w:val="000000" w:themeColor="text1"/>
          <w:szCs w:val="22"/>
        </w:rPr>
        <w:t>预计2029年实现盈利</w:t>
      </w:r>
      <w:r w:rsidR="00517232" w:rsidRPr="00660147">
        <w:rPr>
          <w:rFonts w:ascii="楷体" w:eastAsia="楷体" w:hAnsi="楷体" w:hint="eastAsia"/>
          <w:color w:val="000000" w:themeColor="text1"/>
          <w:szCs w:val="22"/>
        </w:rPr>
        <w:t>。</w:t>
      </w:r>
      <w:r w:rsidR="00CA008E" w:rsidRPr="00660147">
        <w:rPr>
          <w:rFonts w:ascii="楷体" w:eastAsia="楷体" w:hAnsi="楷体" w:hint="eastAsia"/>
          <w:color w:val="000000" w:themeColor="text1"/>
          <w:szCs w:val="22"/>
        </w:rPr>
        <w:t>Anthropic</w:t>
      </w:r>
      <w:r w:rsidR="00CA008E" w:rsidRPr="00660147">
        <w:rPr>
          <w:rFonts w:ascii="楷体" w:eastAsia="楷体" w:hAnsi="楷体" w:hint="eastAsia"/>
          <w:color w:val="000000" w:themeColor="text1"/>
          <w:szCs w:val="22"/>
        </w:rPr>
        <w:t>方面</w:t>
      </w:r>
      <w:r w:rsidR="00517232" w:rsidRPr="00660147">
        <w:rPr>
          <w:rFonts w:ascii="楷体" w:eastAsia="楷体" w:hAnsi="楷体" w:hint="eastAsia"/>
          <w:color w:val="000000" w:themeColor="text1"/>
          <w:szCs w:val="22"/>
        </w:rPr>
        <w:t>出于对于</w:t>
      </w:r>
      <w:proofErr w:type="gramStart"/>
      <w:r w:rsidR="00517232" w:rsidRPr="00660147">
        <w:rPr>
          <w:rFonts w:ascii="楷体" w:eastAsia="楷体" w:hAnsi="楷体" w:hint="eastAsia"/>
          <w:color w:val="000000" w:themeColor="text1"/>
          <w:szCs w:val="22"/>
        </w:rPr>
        <w:t>服务算力紧张</w:t>
      </w:r>
      <w:proofErr w:type="gramEnd"/>
      <w:r w:rsidR="00517232" w:rsidRPr="00660147">
        <w:rPr>
          <w:rFonts w:ascii="楷体" w:eastAsia="楷体" w:hAnsi="楷体" w:hint="eastAsia"/>
          <w:color w:val="000000" w:themeColor="text1"/>
          <w:szCs w:val="22"/>
        </w:rPr>
        <w:t>的考虑，海外预期2026年净损失在100-120亿美元之间</w:t>
      </w:r>
      <w:r w:rsidR="00CA008E" w:rsidRPr="00660147">
        <w:rPr>
          <w:rFonts w:ascii="楷体" w:eastAsia="楷体" w:hAnsi="楷体" w:hint="eastAsia"/>
          <w:color w:val="000000" w:themeColor="text1"/>
          <w:szCs w:val="22"/>
        </w:rPr>
        <w:t>，预计2028年实现盈利</w:t>
      </w:r>
      <w:r w:rsidR="00807A6A" w:rsidRPr="00660147">
        <w:rPr>
          <w:rFonts w:ascii="楷体" w:eastAsia="楷体" w:hAnsi="楷体" w:hint="eastAsia"/>
          <w:color w:val="000000" w:themeColor="text1"/>
          <w:szCs w:val="22"/>
        </w:rPr>
        <w:t>。</w:t>
      </w:r>
    </w:p>
    <w:p w14:paraId="2F978A1F" w14:textId="77777777" w:rsidR="00C3021C"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商业化压力主要体现在市场分化、成本失控和盈利模式单一三个方面。市场已清晰分化为To B（企业/政府）和To C（消费者）两个割裂的战场，两者逻辑迥异。To B市场强调模型的高生产力与可靠性，客户愿意为顶级能力支付溢价，但决策周期长、定制化要求高；To C市场用户对智能的感知阈值低，更多将大模型视为加强版搜索引擎，付费意愿薄弱。</w:t>
      </w:r>
    </w:p>
    <w:p w14:paraId="3E03958A" w14:textId="16684AEC" w:rsidR="00C3021C" w:rsidRPr="00660147" w:rsidRDefault="00000000">
      <w:pPr>
        <w:rPr>
          <w:rFonts w:ascii="楷体" w:eastAsia="楷体" w:hAnsi="楷体"/>
          <w:color w:val="000000" w:themeColor="text1"/>
          <w:szCs w:val="22"/>
        </w:rPr>
      </w:pPr>
      <w:r w:rsidRPr="00660147">
        <w:rPr>
          <w:rFonts w:ascii="楷体" w:eastAsia="楷体" w:hAnsi="楷体" w:hint="eastAsia"/>
          <w:color w:val="000000" w:themeColor="text1"/>
          <w:szCs w:val="22"/>
        </w:rPr>
        <w:t>成本端，从训练到推理的全流程都依赖</w:t>
      </w:r>
      <w:proofErr w:type="gramStart"/>
      <w:r w:rsidRPr="00660147">
        <w:rPr>
          <w:rFonts w:ascii="楷体" w:eastAsia="楷体" w:hAnsi="楷体" w:hint="eastAsia"/>
          <w:color w:val="000000" w:themeColor="text1"/>
          <w:szCs w:val="22"/>
        </w:rPr>
        <w:t>高额算力投入</w:t>
      </w:r>
      <w:proofErr w:type="gramEnd"/>
      <w:r w:rsidRPr="00660147">
        <w:rPr>
          <w:rFonts w:ascii="楷体" w:eastAsia="楷体" w:hAnsi="楷体" w:hint="eastAsia"/>
          <w:color w:val="000000" w:themeColor="text1"/>
          <w:szCs w:val="22"/>
        </w:rPr>
        <w:t>，</w:t>
      </w:r>
      <w:r w:rsidR="00C3021C" w:rsidRPr="00660147">
        <w:rPr>
          <w:rFonts w:ascii="楷体" w:eastAsia="楷体" w:hAnsi="楷体" w:hint="eastAsia"/>
          <w:color w:val="000000" w:themeColor="text1"/>
          <w:szCs w:val="22"/>
        </w:rPr>
        <w:t>基于</w:t>
      </w:r>
      <w:r w:rsidR="00627615" w:rsidRPr="00660147">
        <w:rPr>
          <w:rFonts w:ascii="楷体" w:eastAsia="楷体" w:hAnsi="楷体" w:hint="eastAsia"/>
          <w:color w:val="000000" w:themeColor="text1"/>
          <w:szCs w:val="22"/>
        </w:rPr>
        <w:t>改良</w:t>
      </w:r>
      <w:r w:rsidR="00C3021C" w:rsidRPr="00660147">
        <w:rPr>
          <w:rFonts w:ascii="楷体" w:eastAsia="楷体" w:hAnsi="楷体" w:hint="eastAsia"/>
          <w:color w:val="000000" w:themeColor="text1"/>
          <w:szCs w:val="22"/>
        </w:rPr>
        <w:t>transformer</w:t>
      </w:r>
      <w:r w:rsidR="00AB0E71" w:rsidRPr="00660147">
        <w:rPr>
          <w:rFonts w:ascii="楷体" w:eastAsia="楷体" w:hAnsi="楷体" w:hint="eastAsia"/>
          <w:color w:val="000000" w:themeColor="text1"/>
          <w:szCs w:val="22"/>
        </w:rPr>
        <w:t>的结构存在</w:t>
      </w:r>
      <w:r w:rsidR="00D94C6B" w:rsidRPr="00660147">
        <w:rPr>
          <w:rFonts w:ascii="楷体" w:eastAsia="楷体" w:hAnsi="楷体" w:hint="eastAsia"/>
          <w:color w:val="000000" w:themeColor="text1"/>
          <w:szCs w:val="22"/>
        </w:rPr>
        <w:t>先天不足，其复杂度从O(n^2)到接近O(n)不等</w:t>
      </w:r>
      <w:r w:rsidR="00E42215" w:rsidRPr="00660147">
        <w:rPr>
          <w:rFonts w:ascii="楷体" w:eastAsia="楷体" w:hAnsi="楷体" w:hint="eastAsia"/>
          <w:color w:val="000000" w:themeColor="text1"/>
          <w:szCs w:val="22"/>
        </w:rPr>
        <w:t>。</w:t>
      </w:r>
      <w:r w:rsidR="00D94C6B" w:rsidRPr="00660147">
        <w:rPr>
          <w:rFonts w:ascii="楷体" w:eastAsia="楷体" w:hAnsi="楷体" w:hint="eastAsia"/>
          <w:color w:val="000000" w:themeColor="text1"/>
          <w:szCs w:val="22"/>
        </w:rPr>
        <w:t>考虑到工程</w:t>
      </w:r>
      <w:r w:rsidR="002D174D" w:rsidRPr="00660147">
        <w:rPr>
          <w:rFonts w:ascii="楷体" w:eastAsia="楷体" w:hAnsi="楷体" w:hint="eastAsia"/>
          <w:color w:val="000000" w:themeColor="text1"/>
          <w:szCs w:val="22"/>
        </w:rPr>
        <w:t>优化在多数时候仅仅在时空资源调配上进行变换，</w:t>
      </w:r>
      <w:r w:rsidR="00AB0E71" w:rsidRPr="00660147">
        <w:rPr>
          <w:rFonts w:ascii="楷体" w:eastAsia="楷体" w:hAnsi="楷体" w:hint="eastAsia"/>
          <w:color w:val="000000" w:themeColor="text1"/>
          <w:szCs w:val="22"/>
        </w:rPr>
        <w:t>所以</w:t>
      </w:r>
      <w:r w:rsidR="002D174D" w:rsidRPr="00660147">
        <w:rPr>
          <w:rFonts w:ascii="楷体" w:eastAsia="楷体" w:hAnsi="楷体" w:hint="eastAsia"/>
          <w:color w:val="000000" w:themeColor="text1"/>
          <w:szCs w:val="22"/>
        </w:rPr>
        <w:t>线性</w:t>
      </w:r>
      <w:r w:rsidR="00AB0E71" w:rsidRPr="00660147">
        <w:rPr>
          <w:rFonts w:ascii="楷体" w:eastAsia="楷体" w:hAnsi="楷体" w:hint="eastAsia"/>
          <w:color w:val="000000" w:themeColor="text1"/>
          <w:szCs w:val="22"/>
        </w:rPr>
        <w:t>复杂度</w:t>
      </w:r>
      <w:r w:rsidR="002D174D" w:rsidRPr="00660147">
        <w:rPr>
          <w:rFonts w:ascii="楷体" w:eastAsia="楷体" w:hAnsi="楷体" w:hint="eastAsia"/>
          <w:color w:val="000000" w:themeColor="text1"/>
          <w:szCs w:val="22"/>
        </w:rPr>
        <w:t>更多只是作为一种理想情况存在，这意味着</w:t>
      </w:r>
      <w:r w:rsidR="00FF5C51" w:rsidRPr="00660147">
        <w:rPr>
          <w:rFonts w:ascii="楷体" w:eastAsia="楷体" w:hAnsi="楷体" w:hint="eastAsia"/>
          <w:color w:val="000000" w:themeColor="text1"/>
          <w:szCs w:val="22"/>
        </w:rPr>
        <w:t>大模型的扩展从根源上不具备经济惯性加速的特质，除非</w:t>
      </w:r>
      <w:proofErr w:type="gramStart"/>
      <w:r w:rsidR="00FF5C51" w:rsidRPr="00660147">
        <w:rPr>
          <w:rFonts w:ascii="楷体" w:eastAsia="楷体" w:hAnsi="楷体" w:hint="eastAsia"/>
          <w:color w:val="000000" w:themeColor="text1"/>
          <w:szCs w:val="22"/>
        </w:rPr>
        <w:t>算力端成本</w:t>
      </w:r>
      <w:proofErr w:type="gramEnd"/>
      <w:r w:rsidR="00FF5C51" w:rsidRPr="00660147">
        <w:rPr>
          <w:rFonts w:ascii="楷体" w:eastAsia="楷体" w:hAnsi="楷体" w:hint="eastAsia"/>
          <w:color w:val="000000" w:themeColor="text1"/>
          <w:szCs w:val="22"/>
        </w:rPr>
        <w:t>急速塌缩，否则</w:t>
      </w:r>
      <w:r w:rsidR="004D3239" w:rsidRPr="00660147">
        <w:rPr>
          <w:rFonts w:ascii="楷体" w:eastAsia="楷体" w:hAnsi="楷体" w:hint="eastAsia"/>
          <w:color w:val="000000" w:themeColor="text1"/>
          <w:szCs w:val="22"/>
        </w:rPr>
        <w:t>依靠大模型自身无法实现规模经济，也很难通过算法改良使得自身成本成规模下降。这意味着无论</w:t>
      </w:r>
      <w:r w:rsidRPr="00660147">
        <w:rPr>
          <w:rFonts w:ascii="楷体" w:eastAsia="楷体" w:hAnsi="楷体" w:hint="eastAsia"/>
          <w:color w:val="000000" w:themeColor="text1"/>
          <w:szCs w:val="22"/>
        </w:rPr>
        <w:t>B端私有化部署的定制开发，还是C</w:t>
      </w:r>
      <w:proofErr w:type="gramStart"/>
      <w:r w:rsidRPr="00660147">
        <w:rPr>
          <w:rFonts w:ascii="楷体" w:eastAsia="楷体" w:hAnsi="楷体" w:hint="eastAsia"/>
          <w:color w:val="000000" w:themeColor="text1"/>
          <w:szCs w:val="22"/>
        </w:rPr>
        <w:t>端规模</w:t>
      </w:r>
      <w:proofErr w:type="gramEnd"/>
      <w:r w:rsidRPr="00660147">
        <w:rPr>
          <w:rFonts w:ascii="楷体" w:eastAsia="楷体" w:hAnsi="楷体" w:hint="eastAsia"/>
          <w:color w:val="000000" w:themeColor="text1"/>
          <w:szCs w:val="22"/>
        </w:rPr>
        <w:t>扩张所需</w:t>
      </w:r>
      <w:proofErr w:type="gramStart"/>
      <w:r w:rsidRPr="00660147">
        <w:rPr>
          <w:rFonts w:ascii="楷体" w:eastAsia="楷体" w:hAnsi="楷体" w:hint="eastAsia"/>
          <w:color w:val="000000" w:themeColor="text1"/>
          <w:szCs w:val="22"/>
        </w:rPr>
        <w:t>的算力扩容</w:t>
      </w:r>
      <w:proofErr w:type="gramEnd"/>
      <w:r w:rsidRPr="00660147">
        <w:rPr>
          <w:rFonts w:ascii="楷体" w:eastAsia="楷体" w:hAnsi="楷体" w:hint="eastAsia"/>
          <w:color w:val="000000" w:themeColor="text1"/>
          <w:szCs w:val="22"/>
        </w:rPr>
        <w:t>，成本均随业务推进</w:t>
      </w:r>
      <w:r w:rsidR="00FF54E9" w:rsidRPr="00660147">
        <w:rPr>
          <w:rFonts w:ascii="楷体" w:eastAsia="楷体" w:hAnsi="楷体" w:hint="eastAsia"/>
          <w:color w:val="000000" w:themeColor="text1"/>
          <w:szCs w:val="22"/>
        </w:rPr>
        <w:t>加速</w:t>
      </w:r>
      <w:r w:rsidRPr="00660147">
        <w:rPr>
          <w:rFonts w:ascii="楷体" w:eastAsia="楷体" w:hAnsi="楷体" w:hint="eastAsia"/>
          <w:color w:val="000000" w:themeColor="text1"/>
          <w:szCs w:val="22"/>
        </w:rPr>
        <w:t>攀升。</w:t>
      </w:r>
    </w:p>
    <w:p w14:paraId="02568214" w14:textId="36C982D0"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盈利模式上，单纯的API调用模式</w:t>
      </w:r>
      <w:proofErr w:type="gramStart"/>
      <w:r w:rsidRPr="00660147">
        <w:rPr>
          <w:rFonts w:ascii="楷体" w:eastAsia="楷体" w:hAnsi="楷体" w:hint="eastAsia"/>
          <w:color w:val="000000" w:themeColor="text1"/>
          <w:szCs w:val="22"/>
        </w:rPr>
        <w:t>因算力成本</w:t>
      </w:r>
      <w:proofErr w:type="gramEnd"/>
      <w:r w:rsidRPr="00660147">
        <w:rPr>
          <w:rFonts w:ascii="楷体" w:eastAsia="楷体" w:hAnsi="楷体" w:hint="eastAsia"/>
          <w:color w:val="000000" w:themeColor="text1"/>
          <w:szCs w:val="22"/>
        </w:rPr>
        <w:t>高企和头部企业的价格战，导致中小厂商陷入“用户越多亏损越大”的困境。尽管行业转向高附加值的解决方案与模型授权，但多数大模型应用仍处试验阶段，并未实现规模化盈利</w:t>
      </w:r>
      <w:r w:rsidR="00AB0E71" w:rsidRPr="00660147">
        <w:rPr>
          <w:rFonts w:ascii="楷体" w:eastAsia="楷体" w:hAnsi="楷体" w:hint="eastAsia"/>
          <w:color w:val="000000" w:themeColor="text1"/>
          <w:szCs w:val="22"/>
        </w:rPr>
        <w:t>，</w:t>
      </w:r>
      <w:r w:rsidR="00FF54E9" w:rsidRPr="00660147">
        <w:rPr>
          <w:rFonts w:ascii="楷体" w:eastAsia="楷体" w:hAnsi="楷体" w:hint="eastAsia"/>
          <w:color w:val="000000" w:themeColor="text1"/>
          <w:szCs w:val="22"/>
        </w:rPr>
        <w:t>更有OpenAI因免费用户过多</w:t>
      </w:r>
      <w:r w:rsidR="00AB0E71" w:rsidRPr="00660147">
        <w:rPr>
          <w:rFonts w:ascii="楷体" w:eastAsia="楷体" w:hAnsi="楷体" w:hint="eastAsia"/>
          <w:color w:val="000000" w:themeColor="text1"/>
          <w:szCs w:val="22"/>
        </w:rPr>
        <w:t>导致</w:t>
      </w:r>
      <w:proofErr w:type="gramStart"/>
      <w:r w:rsidR="00AB0E71" w:rsidRPr="00660147">
        <w:rPr>
          <w:rFonts w:ascii="楷体" w:eastAsia="楷体" w:hAnsi="楷体" w:hint="eastAsia"/>
          <w:color w:val="000000" w:themeColor="text1"/>
          <w:szCs w:val="22"/>
        </w:rPr>
        <w:t>算力压力</w:t>
      </w:r>
      <w:proofErr w:type="gramEnd"/>
      <w:r w:rsidR="00AB0E71" w:rsidRPr="00660147">
        <w:rPr>
          <w:rFonts w:ascii="楷体" w:eastAsia="楷体" w:hAnsi="楷体" w:hint="eastAsia"/>
          <w:color w:val="000000" w:themeColor="text1"/>
          <w:szCs w:val="22"/>
        </w:rPr>
        <w:t>过大，</w:t>
      </w:r>
      <w:r w:rsidR="00FF54E9" w:rsidRPr="00660147">
        <w:rPr>
          <w:rFonts w:ascii="楷体" w:eastAsia="楷体" w:hAnsi="楷体" w:hint="eastAsia"/>
          <w:color w:val="000000" w:themeColor="text1"/>
          <w:szCs w:val="22"/>
        </w:rPr>
        <w:t>而不得不加速转向B端的前例，因此新盈利模式的发现和塑造也是</w:t>
      </w:r>
      <w:r w:rsidR="00AB0E71" w:rsidRPr="00660147">
        <w:rPr>
          <w:rFonts w:ascii="楷体" w:eastAsia="楷体" w:hAnsi="楷体" w:hint="eastAsia"/>
          <w:color w:val="000000" w:themeColor="text1"/>
          <w:szCs w:val="22"/>
        </w:rPr>
        <w:t>成为重大瓶颈之一。</w:t>
      </w:r>
    </w:p>
    <w:p w14:paraId="4BC8F462" w14:textId="4834A90C" w:rsidR="004F7E65" w:rsidRPr="00C14DC4" w:rsidRDefault="00F14E9B">
      <w:pPr>
        <w:pStyle w:val="3"/>
        <w:rPr>
          <w:rFonts w:ascii="楷体" w:eastAsia="楷体" w:hAnsi="楷体" w:hint="eastAsia"/>
          <w:color w:val="000000" w:themeColor="text1"/>
          <w:sz w:val="30"/>
          <w:szCs w:val="30"/>
        </w:rPr>
      </w:pPr>
      <w:bookmarkStart w:id="20" w:name="_Toc228374870"/>
      <w:r w:rsidRPr="00C14DC4">
        <w:rPr>
          <w:rFonts w:ascii="楷体" w:eastAsia="楷体" w:hAnsi="楷体" w:hint="eastAsia"/>
          <w:color w:val="000000" w:themeColor="text1"/>
          <w:sz w:val="30"/>
          <w:szCs w:val="30"/>
        </w:rPr>
        <w:t>2.3.4生态瓶颈</w:t>
      </w:r>
      <w:bookmarkEnd w:id="20"/>
    </w:p>
    <w:p w14:paraId="7754398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产业分化加剧，竞争格局快速固化，创业公司生存空间受到严重挤压，行业进入“大厂游戏”阶段。</w:t>
      </w:r>
    </w:p>
    <w:p w14:paraId="752EFBE7"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一方面，产业主导权向巨头集中，创业窗口期关闭。大模型竞赛已成为一场</w:t>
      </w:r>
      <w:proofErr w:type="gramStart"/>
      <w:r w:rsidRPr="00660147">
        <w:rPr>
          <w:rFonts w:ascii="楷体" w:eastAsia="楷体" w:hAnsi="楷体" w:hint="eastAsia"/>
          <w:color w:val="000000" w:themeColor="text1"/>
          <w:szCs w:val="22"/>
        </w:rPr>
        <w:t>拼算力</w:t>
      </w:r>
      <w:proofErr w:type="gramEnd"/>
      <w:r w:rsidRPr="00660147">
        <w:rPr>
          <w:rFonts w:ascii="楷体" w:eastAsia="楷体" w:hAnsi="楷体" w:hint="eastAsia"/>
          <w:color w:val="000000" w:themeColor="text1"/>
          <w:szCs w:val="22"/>
        </w:rPr>
        <w:t>、数据、资本和生态的持久战。头部互联网公司（如阿里、腾讯、字节）和云厂商（如阿里云、百度智能云）依托庞大的现金流、全</w:t>
      </w:r>
      <w:proofErr w:type="gramStart"/>
      <w:r w:rsidRPr="00660147">
        <w:rPr>
          <w:rFonts w:ascii="楷体" w:eastAsia="楷体" w:hAnsi="楷体" w:hint="eastAsia"/>
          <w:color w:val="000000" w:themeColor="text1"/>
          <w:szCs w:val="22"/>
        </w:rPr>
        <w:t>栈</w:t>
      </w:r>
      <w:proofErr w:type="gramEnd"/>
      <w:r w:rsidRPr="00660147">
        <w:rPr>
          <w:rFonts w:ascii="楷体" w:eastAsia="楷体" w:hAnsi="楷体" w:hint="eastAsia"/>
          <w:color w:val="000000" w:themeColor="text1"/>
          <w:szCs w:val="22"/>
        </w:rPr>
        <w:t>技术能力及自有应用场景，构建了极高的竞争壁垒。它们可以承受长期亏损，通过“云+AI”一体化服务或流量生态进行市场覆盖，使缺乏生态支撑的创业公司在技术窗口期被抹平后，陷入生存困境。另一方面，开源模型的冲击加剧了行业“内卷”。以DeepSeek为代表的优秀开源模型大幅降</w:t>
      </w:r>
      <w:r w:rsidRPr="00660147">
        <w:rPr>
          <w:rFonts w:ascii="楷体" w:eastAsia="楷体" w:hAnsi="楷体" w:hint="eastAsia"/>
          <w:color w:val="000000" w:themeColor="text1"/>
          <w:szCs w:val="22"/>
        </w:rPr>
        <w:lastRenderedPageBreak/>
        <w:t>低了技术使用门槛，使得模型能力本身的价值被稀释。企业更倾向于基于开源模型搭建自有应用，这对以提供通用模型API为主业的公司构成了直接冲击，迫使其要么陷入价格战，要么向更垂直、更重服务的模式转型。</w:t>
      </w:r>
    </w:p>
    <w:p w14:paraId="2682B871"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此外，产业协同与标准缺失。工业等领域数据碎片化、封闭性特征与大模型训练所需的大规模高质量数据之间存在矛盾，数据共享和流通机制不完善。同时，模型评估、安全伦理等方面的行业标准仍在建设中，增加了应用落地的复杂性和不确定性。</w:t>
      </w:r>
    </w:p>
    <w:p w14:paraId="7FEA93B3" w14:textId="77777777" w:rsidR="004F7E65" w:rsidRPr="00660147" w:rsidRDefault="004F7E65">
      <w:pPr>
        <w:rPr>
          <w:rFonts w:ascii="楷体" w:eastAsia="楷体" w:hAnsi="楷体" w:hint="eastAsia"/>
          <w:color w:val="000000" w:themeColor="text1"/>
        </w:rPr>
      </w:pPr>
    </w:p>
    <w:p w14:paraId="65313342" w14:textId="4786F9E9" w:rsidR="004F7E65" w:rsidRPr="00660147" w:rsidRDefault="00F14E9B">
      <w:pPr>
        <w:pStyle w:val="1"/>
        <w:rPr>
          <w:rFonts w:ascii="楷体" w:eastAsia="楷体" w:hAnsi="楷体" w:hint="eastAsia"/>
          <w:color w:val="000000" w:themeColor="text1"/>
          <w:sz w:val="36"/>
          <w:szCs w:val="36"/>
        </w:rPr>
      </w:pPr>
      <w:bookmarkStart w:id="21" w:name="_Toc228374871"/>
      <w:r w:rsidRPr="00660147">
        <w:rPr>
          <w:rFonts w:ascii="楷体" w:eastAsia="楷体" w:hAnsi="楷体" w:hint="eastAsia"/>
          <w:color w:val="000000" w:themeColor="text1"/>
          <w:sz w:val="36"/>
          <w:szCs w:val="36"/>
        </w:rPr>
        <w:t>3</w:t>
      </w:r>
      <w:r w:rsidR="00E0149C" w:rsidRPr="00660147">
        <w:rPr>
          <w:rFonts w:ascii="楷体" w:eastAsia="楷体" w:hAnsi="楷体" w:hint="eastAsia"/>
          <w:color w:val="000000" w:themeColor="text1"/>
          <w:sz w:val="36"/>
          <w:szCs w:val="36"/>
        </w:rPr>
        <w:t>.竞争格局与企业竞争力分析</w:t>
      </w:r>
      <w:bookmarkEnd w:id="21"/>
    </w:p>
    <w:p w14:paraId="2B886749" w14:textId="1D767B32" w:rsidR="004F7E65" w:rsidRPr="00C14DC4" w:rsidRDefault="00F14E9B">
      <w:pPr>
        <w:pStyle w:val="2"/>
        <w:rPr>
          <w:rFonts w:ascii="楷体" w:eastAsia="楷体" w:hAnsi="楷体" w:hint="eastAsia"/>
          <w:color w:val="000000" w:themeColor="text1"/>
          <w:sz w:val="32"/>
          <w:szCs w:val="32"/>
        </w:rPr>
      </w:pPr>
      <w:bookmarkStart w:id="22" w:name="_Toc228374872"/>
      <w:r w:rsidRPr="00C14DC4">
        <w:rPr>
          <w:rFonts w:ascii="楷体" w:eastAsia="楷体" w:hAnsi="楷体" w:hint="eastAsia"/>
          <w:color w:val="000000" w:themeColor="text1"/>
          <w:sz w:val="32"/>
          <w:szCs w:val="32"/>
        </w:rPr>
        <w:t>3.1市场集中度与竞争态势</w:t>
      </w:r>
      <w:bookmarkEnd w:id="22"/>
    </w:p>
    <w:p w14:paraId="2AEF1C1C" w14:textId="55D704D5" w:rsidR="004F7E65" w:rsidRPr="00C14DC4" w:rsidRDefault="00F14E9B">
      <w:pPr>
        <w:pStyle w:val="3"/>
        <w:rPr>
          <w:rFonts w:ascii="楷体" w:eastAsia="楷体" w:hAnsi="楷体" w:hint="eastAsia"/>
          <w:color w:val="000000" w:themeColor="text1"/>
          <w:sz w:val="30"/>
          <w:szCs w:val="30"/>
        </w:rPr>
      </w:pPr>
      <w:bookmarkStart w:id="23" w:name="_Toc228374873"/>
      <w:r w:rsidRPr="00C14DC4">
        <w:rPr>
          <w:rFonts w:ascii="楷体" w:eastAsia="楷体" w:hAnsi="楷体" w:hint="eastAsia"/>
          <w:color w:val="000000" w:themeColor="text1"/>
          <w:sz w:val="30"/>
          <w:szCs w:val="30"/>
        </w:rPr>
        <w:t>3.1.1市场集中度</w:t>
      </w:r>
      <w:bookmarkEnd w:id="23"/>
    </w:p>
    <w:p w14:paraId="08085E47" w14:textId="77777777" w:rsidR="00C3021C" w:rsidRPr="00660147" w:rsidRDefault="00A670C9">
      <w:pPr>
        <w:rPr>
          <w:rFonts w:ascii="楷体" w:eastAsia="楷体" w:hAnsi="楷体"/>
          <w:color w:val="000000" w:themeColor="text1"/>
          <w:szCs w:val="22"/>
        </w:rPr>
      </w:pPr>
      <w:r w:rsidRPr="00660147">
        <w:rPr>
          <w:rFonts w:ascii="楷体" w:eastAsia="楷体" w:hAnsi="楷体" w:hint="eastAsia"/>
          <w:color w:val="000000" w:themeColor="text1"/>
          <w:szCs w:val="22"/>
        </w:rPr>
        <w:t>全球大模型市场呈现出</w:t>
      </w:r>
      <w:proofErr w:type="gramStart"/>
      <w:r w:rsidRPr="00660147">
        <w:rPr>
          <w:rFonts w:ascii="楷体" w:eastAsia="楷体" w:hAnsi="楷体" w:hint="eastAsia"/>
          <w:color w:val="000000" w:themeColor="text1"/>
          <w:szCs w:val="22"/>
        </w:rPr>
        <w:t>显著向</w:t>
      </w:r>
      <w:proofErr w:type="gramEnd"/>
      <w:r w:rsidRPr="00660147">
        <w:rPr>
          <w:rFonts w:ascii="楷体" w:eastAsia="楷体" w:hAnsi="楷体" w:hint="eastAsia"/>
          <w:color w:val="000000" w:themeColor="text1"/>
          <w:szCs w:val="22"/>
        </w:rPr>
        <w:t>头部厂商集中的趋势。随着LLM技术路径的收敛和Scaling Law的推进，行业已从早期的“百模大战”逐渐收敛至由少数具备算法、</w:t>
      </w:r>
      <w:proofErr w:type="gramStart"/>
      <w:r w:rsidRPr="00660147">
        <w:rPr>
          <w:rFonts w:ascii="楷体" w:eastAsia="楷体" w:hAnsi="楷体" w:hint="eastAsia"/>
          <w:color w:val="000000" w:themeColor="text1"/>
          <w:szCs w:val="22"/>
        </w:rPr>
        <w:t>算力与</w:t>
      </w:r>
      <w:proofErr w:type="gramEnd"/>
      <w:r w:rsidRPr="00660147">
        <w:rPr>
          <w:rFonts w:ascii="楷体" w:eastAsia="楷体" w:hAnsi="楷体" w:hint="eastAsia"/>
          <w:color w:val="000000" w:themeColor="text1"/>
          <w:szCs w:val="22"/>
        </w:rPr>
        <w:t>数据积累优势的头部厂商主导的阶段。</w:t>
      </w:r>
      <w:r w:rsidR="00B65A6A" w:rsidRPr="00660147">
        <w:rPr>
          <w:rFonts w:ascii="楷体" w:eastAsia="楷体" w:hAnsi="楷体" w:hint="eastAsia"/>
          <w:color w:val="000000" w:themeColor="text1"/>
          <w:szCs w:val="22"/>
        </w:rPr>
        <w:t>根据沙利文调研，</w:t>
      </w:r>
      <w:r w:rsidR="00B65A6A" w:rsidRPr="00660147">
        <w:rPr>
          <w:rFonts w:ascii="楷体" w:eastAsia="楷体" w:hAnsi="楷体"/>
          <w:color w:val="000000" w:themeColor="text1"/>
          <w:szCs w:val="22"/>
        </w:rPr>
        <w:t xml:space="preserve"> </w:t>
      </w:r>
      <w:r w:rsidR="00B65A6A" w:rsidRPr="00660147">
        <w:rPr>
          <w:rFonts w:ascii="楷体" w:eastAsia="楷体" w:hAnsi="楷体"/>
          <w:color w:val="000000" w:themeColor="text1"/>
          <w:szCs w:val="22"/>
        </w:rPr>
        <w:t>2025 年上半年，中国大模型市场日均调用量超过 10 万亿 tokens，较 2024 年下半年增长约 363%。其中，阿里通义占比 17.7%，字节豆包占比 14.1%，DeepSeek占比 10.3%，前三名合计占比超 40%。</w:t>
      </w:r>
      <w:proofErr w:type="spellStart"/>
      <w:r w:rsidR="00B65A6A" w:rsidRPr="00660147">
        <w:rPr>
          <w:rFonts w:ascii="楷体" w:eastAsia="楷体" w:hAnsi="楷体" w:hint="eastAsia"/>
          <w:color w:val="000000" w:themeColor="text1"/>
          <w:szCs w:val="22"/>
        </w:rPr>
        <w:t>OpenRouter</w:t>
      </w:r>
      <w:proofErr w:type="spellEnd"/>
      <w:r w:rsidR="00CD58EE" w:rsidRPr="00660147">
        <w:rPr>
          <w:rFonts w:ascii="楷体" w:eastAsia="楷体" w:hAnsi="楷体" w:hint="eastAsia"/>
          <w:color w:val="000000" w:themeColor="text1"/>
          <w:szCs w:val="22"/>
        </w:rPr>
        <w:t xml:space="preserve"> </w:t>
      </w:r>
      <w:r w:rsidR="00B65A6A" w:rsidRPr="00660147">
        <w:rPr>
          <w:rFonts w:ascii="楷体" w:eastAsia="楷体" w:hAnsi="楷体" w:hint="eastAsia"/>
          <w:color w:val="000000" w:themeColor="text1"/>
          <w:szCs w:val="22"/>
        </w:rPr>
        <w:t>2025-2026的市场</w:t>
      </w:r>
      <w:r w:rsidR="00CD58EE" w:rsidRPr="00660147">
        <w:rPr>
          <w:rFonts w:ascii="楷体" w:eastAsia="楷体" w:hAnsi="楷体" w:hint="eastAsia"/>
          <w:color w:val="000000" w:themeColor="text1"/>
          <w:szCs w:val="22"/>
        </w:rPr>
        <w:t>图显示</w:t>
      </w:r>
      <w:r w:rsidR="00B65A6A" w:rsidRPr="00660147">
        <w:rPr>
          <w:rFonts w:ascii="楷体" w:eastAsia="楷体" w:hAnsi="楷体" w:hint="eastAsia"/>
          <w:color w:val="000000" w:themeColor="text1"/>
          <w:szCs w:val="22"/>
        </w:rPr>
        <w:t>，</w:t>
      </w:r>
      <w:r w:rsidR="006A6901" w:rsidRPr="00660147">
        <w:rPr>
          <w:rFonts w:ascii="楷体" w:eastAsia="楷体" w:hAnsi="楷体" w:hint="eastAsia"/>
          <w:color w:val="000000" w:themeColor="text1"/>
          <w:szCs w:val="22"/>
        </w:rPr>
        <w:t>全球前十名的模型性能和调用榜单为OpenAI，google，Anthropic等头部玩家和Kimi，智谱等</w:t>
      </w:r>
      <w:r w:rsidR="00CD58EE" w:rsidRPr="00660147">
        <w:rPr>
          <w:rFonts w:ascii="楷体" w:eastAsia="楷体" w:hAnsi="楷体" w:hint="eastAsia"/>
          <w:color w:val="000000" w:themeColor="text1"/>
          <w:szCs w:val="22"/>
        </w:rPr>
        <w:t>后发崛起的厂商长期占据，新面孔极少出现。</w:t>
      </w:r>
    </w:p>
    <w:p w14:paraId="321627AD" w14:textId="239436D5" w:rsidR="004F7E65" w:rsidRPr="00660147" w:rsidRDefault="00A670C9">
      <w:pPr>
        <w:rPr>
          <w:rFonts w:ascii="楷体" w:eastAsia="楷体" w:hAnsi="楷体" w:hint="eastAsia"/>
          <w:color w:val="000000" w:themeColor="text1"/>
        </w:rPr>
      </w:pPr>
      <w:r w:rsidRPr="00660147">
        <w:rPr>
          <w:rFonts w:ascii="楷体" w:eastAsia="楷体" w:hAnsi="楷体" w:hint="eastAsia"/>
          <w:color w:val="000000" w:themeColor="text1"/>
          <w:szCs w:val="22"/>
        </w:rPr>
        <w:t>这一现象由多种原因造成。首先，资本与研发壁垒持续提高，持续的研发投入是维持技术领先的前提。行业普遍处于“高增长、高研发投入、高亏损”的早期阶段，头部企业在此过程中更具备相对优势。其次，Transformer架构及MoE（混合专家模型）等成为主流，技术突破的门槛提升，后发者难以通过简单模仿实现超越。第三，资本市场关注点已从技术叙事转向收入质量、毛利率改善等商业化本质指标。能否展示清晰的盈利拐点预期，成为支撑长期价值的关键，这进一步有利于已建立初步规模优势的头部公司</w:t>
      </w:r>
    </w:p>
    <w:p w14:paraId="16FCF8F5" w14:textId="5548E7A4" w:rsidR="004F7E65" w:rsidRPr="00C14DC4" w:rsidRDefault="00F14E9B">
      <w:pPr>
        <w:pStyle w:val="3"/>
        <w:rPr>
          <w:rFonts w:ascii="楷体" w:eastAsia="楷体" w:hAnsi="楷体" w:hint="eastAsia"/>
          <w:color w:val="000000" w:themeColor="text1"/>
          <w:sz w:val="30"/>
          <w:szCs w:val="30"/>
        </w:rPr>
      </w:pPr>
      <w:bookmarkStart w:id="24" w:name="_Toc228374874"/>
      <w:r w:rsidRPr="00C14DC4">
        <w:rPr>
          <w:rFonts w:ascii="楷体" w:eastAsia="楷体" w:hAnsi="楷体" w:hint="eastAsia"/>
          <w:color w:val="000000" w:themeColor="text1"/>
          <w:sz w:val="30"/>
          <w:szCs w:val="30"/>
        </w:rPr>
        <w:t>3.</w:t>
      </w:r>
      <w:r w:rsidR="001205E7" w:rsidRPr="00C14DC4">
        <w:rPr>
          <w:rFonts w:ascii="楷体" w:eastAsia="楷体" w:hAnsi="楷体" w:hint="eastAsia"/>
          <w:color w:val="000000" w:themeColor="text1"/>
          <w:sz w:val="30"/>
          <w:szCs w:val="30"/>
        </w:rPr>
        <w:t>1.</w:t>
      </w:r>
      <w:r w:rsidRPr="00C14DC4">
        <w:rPr>
          <w:rFonts w:ascii="楷体" w:eastAsia="楷体" w:hAnsi="楷体" w:hint="eastAsia"/>
          <w:color w:val="000000" w:themeColor="text1"/>
          <w:sz w:val="30"/>
          <w:szCs w:val="30"/>
        </w:rPr>
        <w:t>2</w:t>
      </w:r>
      <w:r w:rsidRPr="00C14DC4">
        <w:rPr>
          <w:rFonts w:ascii="楷体" w:eastAsia="楷体" w:hAnsi="楷体"/>
          <w:color w:val="000000" w:themeColor="text1"/>
          <w:sz w:val="30"/>
          <w:szCs w:val="30"/>
        </w:rPr>
        <w:t>竞争态势</w:t>
      </w:r>
      <w:bookmarkEnd w:id="24"/>
    </w:p>
    <w:p w14:paraId="01E79212" w14:textId="796BF5B9" w:rsidR="004F7E65" w:rsidRPr="00660147" w:rsidRDefault="001205E7">
      <w:pPr>
        <w:pStyle w:val="4"/>
        <w:rPr>
          <w:rFonts w:ascii="楷体" w:eastAsia="楷体" w:hAnsi="楷体" w:hint="eastAsia"/>
          <w:color w:val="000000" w:themeColor="text1"/>
        </w:rPr>
      </w:pPr>
      <w:r w:rsidRPr="00660147">
        <w:rPr>
          <w:rFonts w:ascii="楷体" w:eastAsia="楷体" w:hAnsi="楷体" w:hint="eastAsia"/>
          <w:color w:val="000000" w:themeColor="text1"/>
        </w:rPr>
        <w:t>3.1.2.1竞争主体：独立模型厂商和互联网大厂“分层竞合”</w:t>
      </w:r>
    </w:p>
    <w:p w14:paraId="2BDB5F75" w14:textId="77777777" w:rsidR="004F7E65" w:rsidRPr="00660147" w:rsidRDefault="00000000">
      <w:pPr>
        <w:rPr>
          <w:rFonts w:ascii="楷体" w:eastAsia="楷体" w:hAnsi="楷体" w:hint="eastAsia"/>
          <w:color w:val="000000" w:themeColor="text1"/>
        </w:rPr>
      </w:pPr>
      <w:r w:rsidRPr="00660147">
        <w:rPr>
          <w:rFonts w:ascii="楷体" w:eastAsia="楷体" w:hAnsi="楷体" w:hint="eastAsia"/>
          <w:color w:val="000000" w:themeColor="text1"/>
          <w:szCs w:val="22"/>
        </w:rPr>
        <w:t>全球的市场的竞争格局都呈现出互联网大厂与独立大模型厂商分层竞合、互补共生的特点</w:t>
      </w:r>
    </w:p>
    <w:p w14:paraId="19E9D7B6" w14:textId="350C3DB4" w:rsidR="004F7E65" w:rsidRPr="00660147" w:rsidRDefault="00B81B1A">
      <w:pPr>
        <w:rPr>
          <w:rFonts w:ascii="楷体" w:eastAsia="楷体" w:hAnsi="楷体" w:hint="eastAsia"/>
          <w:color w:val="000000" w:themeColor="text1"/>
        </w:rPr>
      </w:pPr>
      <w:r w:rsidRPr="00660147">
        <w:rPr>
          <w:rFonts w:ascii="楷体" w:eastAsia="楷体" w:hAnsi="楷体" w:hint="eastAsia"/>
          <w:color w:val="000000" w:themeColor="text1"/>
          <w:szCs w:val="22"/>
        </w:rPr>
        <w:lastRenderedPageBreak/>
        <w:t>互联网大厂：</w:t>
      </w:r>
      <w:r w:rsidR="00350397" w:rsidRPr="00660147">
        <w:rPr>
          <w:rFonts w:ascii="楷体" w:eastAsia="楷体" w:hAnsi="楷体" w:hint="eastAsia"/>
          <w:color w:val="000000" w:themeColor="text1"/>
          <w:szCs w:val="22"/>
        </w:rPr>
        <w:t>在海外，如meta-Llama，</w:t>
      </w:r>
      <w:proofErr w:type="spellStart"/>
      <w:r w:rsidR="00350397" w:rsidRPr="00660147">
        <w:rPr>
          <w:rFonts w:ascii="楷体" w:eastAsia="楷体" w:hAnsi="楷体" w:hint="eastAsia"/>
          <w:color w:val="000000" w:themeColor="text1"/>
          <w:szCs w:val="22"/>
        </w:rPr>
        <w:t>googl-gemini</w:t>
      </w:r>
      <w:proofErr w:type="spellEnd"/>
      <w:r w:rsidR="00350397" w:rsidRPr="00660147">
        <w:rPr>
          <w:rFonts w:ascii="楷体" w:eastAsia="楷体" w:hAnsi="楷体" w:hint="eastAsia"/>
          <w:color w:val="000000" w:themeColor="text1"/>
          <w:szCs w:val="22"/>
        </w:rPr>
        <w:t>，在国内，如</w:t>
      </w:r>
      <w:r w:rsidR="002F2E78" w:rsidRPr="00660147">
        <w:rPr>
          <w:rFonts w:ascii="楷体" w:eastAsia="楷体" w:hAnsi="楷体" w:hint="eastAsia"/>
          <w:color w:val="000000" w:themeColor="text1"/>
          <w:szCs w:val="22"/>
        </w:rPr>
        <w:t>阿里-</w:t>
      </w:r>
      <w:proofErr w:type="spellStart"/>
      <w:r w:rsidR="002F2E78" w:rsidRPr="00660147">
        <w:rPr>
          <w:rFonts w:ascii="楷体" w:eastAsia="楷体" w:hAnsi="楷体" w:hint="eastAsia"/>
          <w:color w:val="000000" w:themeColor="text1"/>
          <w:szCs w:val="22"/>
        </w:rPr>
        <w:t>qwen</w:t>
      </w:r>
      <w:proofErr w:type="spellEnd"/>
      <w:r w:rsidR="002F2E78" w:rsidRPr="00660147">
        <w:rPr>
          <w:rFonts w:ascii="楷体" w:eastAsia="楷体" w:hAnsi="楷体" w:hint="eastAsia"/>
          <w:color w:val="000000" w:themeColor="text1"/>
          <w:szCs w:val="22"/>
        </w:rPr>
        <w:t>、</w:t>
      </w:r>
      <w:proofErr w:type="gramStart"/>
      <w:r w:rsidR="002F2E78" w:rsidRPr="00660147">
        <w:rPr>
          <w:rFonts w:ascii="楷体" w:eastAsia="楷体" w:hAnsi="楷体" w:hint="eastAsia"/>
          <w:color w:val="000000" w:themeColor="text1"/>
          <w:szCs w:val="22"/>
        </w:rPr>
        <w:t>腾讯</w:t>
      </w:r>
      <w:proofErr w:type="gramEnd"/>
      <w:r w:rsidR="002F2E78" w:rsidRPr="00660147">
        <w:rPr>
          <w:rFonts w:ascii="楷体" w:eastAsia="楷体" w:hAnsi="楷体" w:hint="eastAsia"/>
          <w:color w:val="000000" w:themeColor="text1"/>
          <w:szCs w:val="22"/>
        </w:rPr>
        <w:t>-混元、字节-火山系、小米-</w:t>
      </w:r>
      <w:proofErr w:type="spellStart"/>
      <w:r w:rsidR="002F2E78" w:rsidRPr="00660147">
        <w:rPr>
          <w:rFonts w:ascii="楷体" w:eastAsia="楷体" w:hAnsi="楷体" w:hint="eastAsia"/>
          <w:color w:val="000000" w:themeColor="text1"/>
          <w:szCs w:val="22"/>
        </w:rPr>
        <w:t>mimo</w:t>
      </w:r>
      <w:proofErr w:type="spellEnd"/>
      <w:r w:rsidR="00350397" w:rsidRPr="00660147">
        <w:rPr>
          <w:rFonts w:ascii="楷体" w:eastAsia="楷体" w:hAnsi="楷体" w:hint="eastAsia"/>
          <w:color w:val="000000" w:themeColor="text1"/>
          <w:szCs w:val="22"/>
        </w:rPr>
        <w:t>都是大厂的代表，大厂的特征是，大模型并非其</w:t>
      </w:r>
      <w:r w:rsidR="00BF4974" w:rsidRPr="00660147">
        <w:rPr>
          <w:rFonts w:ascii="楷体" w:eastAsia="楷体" w:hAnsi="楷体" w:hint="eastAsia"/>
          <w:color w:val="000000" w:themeColor="text1"/>
          <w:szCs w:val="22"/>
        </w:rPr>
        <w:t>原始业务</w:t>
      </w:r>
      <w:r w:rsidR="00350397" w:rsidRPr="00660147">
        <w:rPr>
          <w:rFonts w:ascii="楷体" w:eastAsia="楷体" w:hAnsi="楷体" w:hint="eastAsia"/>
          <w:color w:val="000000" w:themeColor="text1"/>
          <w:szCs w:val="22"/>
        </w:rPr>
        <w:t>，但是因为其在互联网</w:t>
      </w:r>
      <w:r w:rsidR="00BF4974" w:rsidRPr="00660147">
        <w:rPr>
          <w:rFonts w:ascii="楷体" w:eastAsia="楷体" w:hAnsi="楷体" w:hint="eastAsia"/>
          <w:color w:val="000000" w:themeColor="text1"/>
          <w:szCs w:val="22"/>
        </w:rPr>
        <w:t>/计算机科学</w:t>
      </w:r>
      <w:r w:rsidR="00350397" w:rsidRPr="00660147">
        <w:rPr>
          <w:rFonts w:ascii="楷体" w:eastAsia="楷体" w:hAnsi="楷体" w:hint="eastAsia"/>
          <w:color w:val="000000" w:themeColor="text1"/>
          <w:szCs w:val="22"/>
        </w:rPr>
        <w:t>领域</w:t>
      </w:r>
      <w:r w:rsidR="00BF4974" w:rsidRPr="00660147">
        <w:rPr>
          <w:rFonts w:ascii="楷体" w:eastAsia="楷体" w:hAnsi="楷体" w:hint="eastAsia"/>
          <w:color w:val="000000" w:themeColor="text1"/>
          <w:szCs w:val="22"/>
        </w:rPr>
        <w:t>多年</w:t>
      </w:r>
      <w:r w:rsidR="00350397" w:rsidRPr="00660147">
        <w:rPr>
          <w:rFonts w:ascii="楷体" w:eastAsia="楷体" w:hAnsi="楷体" w:hint="eastAsia"/>
          <w:color w:val="000000" w:themeColor="text1"/>
          <w:szCs w:val="22"/>
        </w:rPr>
        <w:t>深耕</w:t>
      </w:r>
      <w:r w:rsidR="00BF4974" w:rsidRPr="00660147">
        <w:rPr>
          <w:rFonts w:ascii="楷体" w:eastAsia="楷体" w:hAnsi="楷体" w:hint="eastAsia"/>
          <w:color w:val="000000" w:themeColor="text1"/>
          <w:szCs w:val="22"/>
        </w:rPr>
        <w:t>积累了</w:t>
      </w:r>
      <w:r w:rsidR="00350397" w:rsidRPr="00660147">
        <w:rPr>
          <w:rFonts w:ascii="楷体" w:eastAsia="楷体" w:hAnsi="楷体" w:hint="eastAsia"/>
          <w:color w:val="000000" w:themeColor="text1"/>
          <w:szCs w:val="22"/>
        </w:rPr>
        <w:t>丰厚资源，</w:t>
      </w:r>
      <w:r w:rsidR="00BF4974" w:rsidRPr="00660147">
        <w:rPr>
          <w:rFonts w:ascii="楷体" w:eastAsia="楷体" w:hAnsi="楷体" w:hint="eastAsia"/>
          <w:color w:val="000000" w:themeColor="text1"/>
          <w:szCs w:val="22"/>
        </w:rPr>
        <w:t>使得其在发展大模型作为第二曲线的过程中得以迅速发力。</w:t>
      </w:r>
      <w:r w:rsidRPr="00660147">
        <w:rPr>
          <w:rFonts w:ascii="楷体" w:eastAsia="楷体" w:hAnsi="楷体" w:hint="eastAsia"/>
          <w:color w:val="000000" w:themeColor="text1"/>
          <w:szCs w:val="22"/>
        </w:rPr>
        <w:t>大厂的优势在于雄厚的资金、庞大的用户基础及成熟的业务生态，可将大模型快速嵌入现有产品，形成流量闭环。在海外，</w:t>
      </w:r>
      <w:proofErr w:type="gramStart"/>
      <w:r w:rsidRPr="00660147">
        <w:rPr>
          <w:rFonts w:ascii="楷体" w:eastAsia="楷体" w:hAnsi="楷体" w:hint="eastAsia"/>
          <w:color w:val="000000" w:themeColor="text1"/>
          <w:szCs w:val="22"/>
        </w:rPr>
        <w:t>谷歌依托</w:t>
      </w:r>
      <w:proofErr w:type="gramEnd"/>
      <w:r w:rsidRPr="00660147">
        <w:rPr>
          <w:rFonts w:ascii="楷体" w:eastAsia="楷体" w:hAnsi="楷体" w:hint="eastAsia"/>
          <w:color w:val="000000" w:themeColor="text1"/>
          <w:szCs w:val="22"/>
        </w:rPr>
        <w:t>自身完整生态和技术积累，在</w:t>
      </w:r>
      <w:proofErr w:type="spellStart"/>
      <w:r w:rsidRPr="00660147">
        <w:rPr>
          <w:rFonts w:ascii="楷体" w:eastAsia="楷体" w:hAnsi="楷体" w:hint="eastAsia"/>
          <w:color w:val="000000" w:themeColor="text1"/>
          <w:szCs w:val="22"/>
        </w:rPr>
        <w:t>gemini</w:t>
      </w:r>
      <w:proofErr w:type="spellEnd"/>
      <w:r w:rsidRPr="00660147">
        <w:rPr>
          <w:rFonts w:ascii="楷体" w:eastAsia="楷体" w:hAnsi="楷体" w:hint="eastAsia"/>
          <w:color w:val="000000" w:themeColor="text1"/>
          <w:szCs w:val="22"/>
        </w:rPr>
        <w:t>上实现了厚积薄发，奠定了海外三大模型之一的地位，阿里</w:t>
      </w:r>
      <w:proofErr w:type="gramStart"/>
      <w:r w:rsidRPr="00660147">
        <w:rPr>
          <w:rFonts w:ascii="楷体" w:eastAsia="楷体" w:hAnsi="楷体" w:hint="eastAsia"/>
          <w:color w:val="000000" w:themeColor="text1"/>
          <w:szCs w:val="22"/>
        </w:rPr>
        <w:t>推动千问</w:t>
      </w:r>
      <w:proofErr w:type="gramEnd"/>
      <w:r w:rsidRPr="00660147">
        <w:rPr>
          <w:rFonts w:ascii="楷体" w:eastAsia="楷体" w:hAnsi="楷体" w:hint="eastAsia"/>
          <w:color w:val="000000" w:themeColor="text1"/>
          <w:szCs w:val="22"/>
        </w:rPr>
        <w:t>App接入集团生态和旗下应用，被视为Agent广泛化使用的先驱。字节通过自身丰富的视频，文本语料，通过“内部赛马”孵化机制，快速推出豆包等系列AI应用。此类主体在面对AI发展的挑战在于大模型业务战略优先级可能受到集团多元业务牵制，决策灵活性相对较低。如今逐渐没落的meta就是例子之一，由于集团业务多元化导致的资源牵制和对方向把控的失误，曾经占据优势的meta系已经在全球大模型竞争中失去主导权。</w:t>
      </w:r>
    </w:p>
    <w:p w14:paraId="3B05212E" w14:textId="3657CD15" w:rsidR="004F7E65" w:rsidRPr="00660147" w:rsidRDefault="00EC4FE3">
      <w:pPr>
        <w:rPr>
          <w:rFonts w:ascii="楷体" w:eastAsia="楷体" w:hAnsi="楷体" w:hint="eastAsia"/>
          <w:color w:val="000000" w:themeColor="text1"/>
        </w:rPr>
      </w:pPr>
      <w:r w:rsidRPr="00660147">
        <w:rPr>
          <w:rFonts w:ascii="楷体" w:eastAsia="楷体" w:hAnsi="楷体" w:hint="eastAsia"/>
          <w:color w:val="000000" w:themeColor="text1"/>
          <w:szCs w:val="22"/>
        </w:rPr>
        <w:t>独立大模型厂商</w:t>
      </w:r>
      <w:r w:rsidR="00BF4974" w:rsidRPr="00660147">
        <w:rPr>
          <w:rFonts w:ascii="楷体" w:eastAsia="楷体" w:hAnsi="楷体" w:hint="eastAsia"/>
          <w:color w:val="000000" w:themeColor="text1"/>
          <w:szCs w:val="22"/>
        </w:rPr>
        <w:t>：在海外，如三</w:t>
      </w:r>
      <w:proofErr w:type="gramStart"/>
      <w:r w:rsidR="00BF4974" w:rsidRPr="00660147">
        <w:rPr>
          <w:rFonts w:ascii="楷体" w:eastAsia="楷体" w:hAnsi="楷体" w:hint="eastAsia"/>
          <w:color w:val="000000" w:themeColor="text1"/>
          <w:szCs w:val="22"/>
        </w:rPr>
        <w:t>大闭源厂</w:t>
      </w:r>
      <w:proofErr w:type="gramEnd"/>
      <w:r w:rsidR="00BF4974" w:rsidRPr="00660147">
        <w:rPr>
          <w:rFonts w:ascii="楷体" w:eastAsia="楷体" w:hAnsi="楷体" w:hint="eastAsia"/>
          <w:color w:val="000000" w:themeColor="text1"/>
          <w:szCs w:val="22"/>
        </w:rPr>
        <w:t>之二的</w:t>
      </w:r>
      <w:proofErr w:type="spellStart"/>
      <w:r w:rsidR="00BF4974" w:rsidRPr="00660147">
        <w:rPr>
          <w:rFonts w:ascii="楷体" w:eastAsia="楷体" w:hAnsi="楷体" w:hint="eastAsia"/>
          <w:color w:val="000000" w:themeColor="text1"/>
          <w:szCs w:val="22"/>
        </w:rPr>
        <w:t>openai-gpt</w:t>
      </w:r>
      <w:proofErr w:type="spellEnd"/>
      <w:r w:rsidR="00BF4974" w:rsidRPr="00660147">
        <w:rPr>
          <w:rFonts w:ascii="楷体" w:eastAsia="楷体" w:hAnsi="楷体" w:hint="eastAsia"/>
          <w:color w:val="000000" w:themeColor="text1"/>
          <w:szCs w:val="22"/>
        </w:rPr>
        <w:t>，Anthropic-</w:t>
      </w:r>
      <w:proofErr w:type="spellStart"/>
      <w:r w:rsidR="00BF4974" w:rsidRPr="00660147">
        <w:rPr>
          <w:rFonts w:ascii="楷体" w:eastAsia="楷体" w:hAnsi="楷体" w:hint="eastAsia"/>
          <w:color w:val="000000" w:themeColor="text1"/>
          <w:szCs w:val="22"/>
        </w:rPr>
        <w:t>claude</w:t>
      </w:r>
      <w:proofErr w:type="spellEnd"/>
      <w:r w:rsidR="00BF4974" w:rsidRPr="00660147">
        <w:rPr>
          <w:rFonts w:ascii="楷体" w:eastAsia="楷体" w:hAnsi="楷体" w:hint="eastAsia"/>
          <w:color w:val="000000" w:themeColor="text1"/>
          <w:szCs w:val="22"/>
        </w:rPr>
        <w:t>，在国内，</w:t>
      </w:r>
      <w:r w:rsidRPr="00660147">
        <w:rPr>
          <w:rFonts w:ascii="楷体" w:eastAsia="楷体" w:hAnsi="楷体" w:hint="eastAsia"/>
          <w:color w:val="000000" w:themeColor="text1"/>
          <w:szCs w:val="22"/>
        </w:rPr>
        <w:t>如</w:t>
      </w:r>
      <w:proofErr w:type="spellStart"/>
      <w:r w:rsidRPr="00660147">
        <w:rPr>
          <w:rFonts w:ascii="楷体" w:eastAsia="楷体" w:hAnsi="楷体" w:hint="eastAsia"/>
          <w:color w:val="000000" w:themeColor="text1"/>
          <w:szCs w:val="22"/>
        </w:rPr>
        <w:t>MiniMax</w:t>
      </w:r>
      <w:proofErr w:type="spellEnd"/>
      <w:r w:rsidRPr="00660147">
        <w:rPr>
          <w:rFonts w:ascii="楷体" w:eastAsia="楷体" w:hAnsi="楷体" w:hint="eastAsia"/>
          <w:color w:val="000000" w:themeColor="text1"/>
          <w:szCs w:val="22"/>
        </w:rPr>
        <w:t>、智谱-</w:t>
      </w:r>
      <w:proofErr w:type="spellStart"/>
      <w:r w:rsidRPr="00660147">
        <w:rPr>
          <w:rFonts w:ascii="楷体" w:eastAsia="楷体" w:hAnsi="楷体" w:hint="eastAsia"/>
          <w:color w:val="000000" w:themeColor="text1"/>
          <w:szCs w:val="22"/>
        </w:rPr>
        <w:t>glm</w:t>
      </w:r>
      <w:proofErr w:type="spellEnd"/>
      <w:r w:rsidRPr="00660147">
        <w:rPr>
          <w:rFonts w:ascii="楷体" w:eastAsia="楷体" w:hAnsi="楷体" w:hint="eastAsia"/>
          <w:color w:val="000000" w:themeColor="text1"/>
          <w:szCs w:val="22"/>
        </w:rPr>
        <w:t>、月之暗面-</w:t>
      </w:r>
      <w:proofErr w:type="spellStart"/>
      <w:r w:rsidRPr="00660147">
        <w:rPr>
          <w:rFonts w:ascii="楷体" w:eastAsia="楷体" w:hAnsi="楷体" w:hint="eastAsia"/>
          <w:color w:val="000000" w:themeColor="text1"/>
          <w:szCs w:val="22"/>
        </w:rPr>
        <w:t>kimi</w:t>
      </w:r>
      <w:proofErr w:type="spellEnd"/>
      <w:r w:rsidR="00BF4974" w:rsidRPr="00660147">
        <w:rPr>
          <w:rFonts w:ascii="楷体" w:eastAsia="楷体" w:hAnsi="楷体" w:hint="eastAsia"/>
          <w:color w:val="000000" w:themeColor="text1"/>
          <w:szCs w:val="22"/>
        </w:rPr>
        <w:t>为代表</w:t>
      </w:r>
      <w:r w:rsidR="007E5A00" w:rsidRPr="00660147">
        <w:rPr>
          <w:rFonts w:ascii="楷体" w:eastAsia="楷体" w:hAnsi="楷体" w:hint="eastAsia"/>
          <w:color w:val="000000" w:themeColor="text1"/>
          <w:szCs w:val="22"/>
        </w:rPr>
        <w:t>则是独立大模型厂商的代表。独立模型厂商的特征在于，以AI和大模型为原生业务，从一开始就为AI而生，因此通常在</w:t>
      </w:r>
      <w:r w:rsidR="00305EAD" w:rsidRPr="00660147">
        <w:rPr>
          <w:rFonts w:ascii="楷体" w:eastAsia="楷体" w:hAnsi="楷体" w:hint="eastAsia"/>
          <w:color w:val="000000" w:themeColor="text1"/>
          <w:szCs w:val="22"/>
        </w:rPr>
        <w:t>研究突破的强度和效率上十分出彩。</w:t>
      </w:r>
      <w:r w:rsidRPr="00660147">
        <w:rPr>
          <w:rFonts w:ascii="楷体" w:eastAsia="楷体" w:hAnsi="楷体" w:hint="eastAsia"/>
          <w:color w:val="000000" w:themeColor="text1"/>
          <w:szCs w:val="22"/>
        </w:rPr>
        <w:t>独立模型厂商的核心优势在于极致的专注力和灵活的决策机制，能够All in大模型核心技术迭代，并更灵活地选择开源或商业策略。它们并未在技术能力上被大厂拉开差距，甚至常常可以做到青出于蓝。在海外，独立大模型厂商的代表就是在行业中常年保持领先地位的OpenAI-GPT系列模型和Anthropic-Claude系列模型。在国内，则以智谱，minimax，</w:t>
      </w:r>
      <w:proofErr w:type="gramStart"/>
      <w:r w:rsidRPr="00660147">
        <w:rPr>
          <w:rFonts w:ascii="楷体" w:eastAsia="楷体" w:hAnsi="楷体" w:hint="eastAsia"/>
          <w:color w:val="000000" w:themeColor="text1"/>
          <w:szCs w:val="22"/>
        </w:rPr>
        <w:t>阶跃星辰</w:t>
      </w:r>
      <w:proofErr w:type="gramEnd"/>
      <w:r w:rsidRPr="00660147">
        <w:rPr>
          <w:rFonts w:ascii="楷体" w:eastAsia="楷体" w:hAnsi="楷体" w:hint="eastAsia"/>
          <w:color w:val="000000" w:themeColor="text1"/>
          <w:szCs w:val="22"/>
        </w:rPr>
        <w:t>等独立模型厂商为代表。有时，独立模型厂商还会通过获得互联网大厂战略投资，和大厂形成了“竞合并存”的共生关系。如阿里对minimax的基石投资，间接持有了minimax 13.66%的股权，和谷歌在2026年四月对Anthropic的400亿美元投资，都反映了大厂和独立模型厂商之间的竞合关系。</w:t>
      </w:r>
    </w:p>
    <w:p w14:paraId="4ED6C72A" w14:textId="00BAB676" w:rsidR="004F7E65" w:rsidRPr="00660147" w:rsidRDefault="001205E7">
      <w:pPr>
        <w:pStyle w:val="4"/>
        <w:rPr>
          <w:rFonts w:ascii="楷体" w:eastAsia="楷体" w:hAnsi="楷体" w:hint="eastAsia"/>
          <w:color w:val="000000" w:themeColor="text1"/>
        </w:rPr>
      </w:pPr>
      <w:r w:rsidRPr="00660147">
        <w:rPr>
          <w:rFonts w:ascii="楷体" w:eastAsia="楷体" w:hAnsi="楷体" w:hint="eastAsia"/>
          <w:color w:val="000000" w:themeColor="text1"/>
        </w:rPr>
        <w:t>3.1.2.2技术竞赛：全球范围内的轮番领跑</w:t>
      </w:r>
    </w:p>
    <w:p w14:paraId="43A88F8F" w14:textId="77777777" w:rsidR="00776919" w:rsidRPr="00660147" w:rsidRDefault="00000000">
      <w:pPr>
        <w:rPr>
          <w:rFonts w:ascii="楷体" w:eastAsia="楷体" w:hAnsi="楷体"/>
          <w:color w:val="000000" w:themeColor="text1"/>
          <w:szCs w:val="22"/>
        </w:rPr>
      </w:pPr>
      <w:r w:rsidRPr="00660147">
        <w:rPr>
          <w:rFonts w:ascii="楷体" w:eastAsia="楷体" w:hAnsi="楷体"/>
          <w:color w:val="000000" w:themeColor="text1"/>
          <w:szCs w:val="22"/>
        </w:rPr>
        <w:t>在全球范围内，头部厂商表现出“竞相迭代、轮番领跑”的态势。模型能力的提升呈间歇性跃升，任何一家厂商的重大突破都可能暂时领先。大模型的你追我赶一直是产业的重要常态，在拥有可比数量级的</w:t>
      </w:r>
      <w:proofErr w:type="gramStart"/>
      <w:r w:rsidRPr="00660147">
        <w:rPr>
          <w:rFonts w:ascii="楷体" w:eastAsia="楷体" w:hAnsi="楷体"/>
          <w:color w:val="000000" w:themeColor="text1"/>
          <w:szCs w:val="22"/>
        </w:rPr>
        <w:t>硬件算力和</w:t>
      </w:r>
      <w:proofErr w:type="gramEnd"/>
      <w:r w:rsidRPr="00660147">
        <w:rPr>
          <w:rFonts w:ascii="楷体" w:eastAsia="楷体" w:hAnsi="楷体"/>
          <w:color w:val="000000" w:themeColor="text1"/>
          <w:szCs w:val="22"/>
        </w:rPr>
        <w:t>充分竞争的情况下，大模型的性能榜单从来没有稳坐第一的赢家</w:t>
      </w:r>
      <w:r w:rsidR="00776919" w:rsidRPr="00660147">
        <w:rPr>
          <w:rFonts w:ascii="楷体" w:eastAsia="楷体" w:hAnsi="楷体" w:hint="eastAsia"/>
          <w:color w:val="000000" w:themeColor="text1"/>
          <w:szCs w:val="22"/>
        </w:rPr>
        <w:t>。</w:t>
      </w:r>
    </w:p>
    <w:p w14:paraId="38482A30" w14:textId="20A33E81" w:rsidR="00776919" w:rsidRPr="00660147" w:rsidRDefault="00776919" w:rsidP="00E112F2">
      <w:pPr>
        <w:jc w:val="center"/>
        <w:rPr>
          <w:rFonts w:ascii="楷体" w:eastAsia="楷体" w:hAnsi="楷体" w:hint="eastAsia"/>
          <w:color w:val="000000" w:themeColor="text1"/>
          <w:szCs w:val="22"/>
        </w:rPr>
      </w:pPr>
      <w:r w:rsidRPr="00660147">
        <w:rPr>
          <w:rFonts w:ascii="楷体" w:eastAsia="楷体" w:hAnsi="楷体" w:hint="eastAsia"/>
          <w:color w:val="000000" w:themeColor="text1"/>
          <w:szCs w:val="22"/>
        </w:rPr>
        <w:t>图：主流大模型性能</w:t>
      </w:r>
      <w:r w:rsidR="00E112F2" w:rsidRPr="00660147">
        <w:rPr>
          <w:rFonts w:ascii="楷体" w:eastAsia="楷体" w:hAnsi="楷体" w:hint="eastAsia"/>
          <w:color w:val="000000" w:themeColor="text1"/>
          <w:szCs w:val="22"/>
        </w:rPr>
        <w:t>序列图</w:t>
      </w:r>
    </w:p>
    <w:p w14:paraId="513EF018" w14:textId="28A4640C" w:rsidR="00776919" w:rsidRPr="00660147" w:rsidRDefault="00776919">
      <w:pPr>
        <w:rPr>
          <w:rFonts w:ascii="楷体" w:eastAsia="楷体" w:hAnsi="楷体"/>
          <w:color w:val="000000" w:themeColor="text1"/>
          <w:szCs w:val="22"/>
        </w:rPr>
      </w:pPr>
      <w:r w:rsidRPr="00660147">
        <w:rPr>
          <w:rFonts w:ascii="楷体" w:eastAsia="楷体" w:hAnsi="楷体"/>
          <w:noProof/>
          <w:color w:val="000000" w:themeColor="text1"/>
        </w:rPr>
        <w:lastRenderedPageBreak/>
        <w:drawing>
          <wp:inline distT="0" distB="0" distL="0" distR="0" wp14:anchorId="459EDFE6" wp14:editId="1783CFFD">
            <wp:extent cx="5274310" cy="2138045"/>
            <wp:effectExtent l="0" t="0" r="2540" b="0"/>
            <wp:docPr id="211948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1412" name=""/>
                    <pic:cNvPicPr/>
                  </pic:nvPicPr>
                  <pic:blipFill>
                    <a:blip r:embed="rId21"/>
                    <a:stretch>
                      <a:fillRect/>
                    </a:stretch>
                  </pic:blipFill>
                  <pic:spPr>
                    <a:xfrm>
                      <a:off x="0" y="0"/>
                      <a:ext cx="5274310" cy="2138045"/>
                    </a:xfrm>
                    <a:prstGeom prst="rect">
                      <a:avLst/>
                    </a:prstGeom>
                  </pic:spPr>
                </pic:pic>
              </a:graphicData>
            </a:graphic>
          </wp:inline>
        </w:drawing>
      </w:r>
    </w:p>
    <w:p w14:paraId="20A19177" w14:textId="3C19ADD2" w:rsidR="00E112F2" w:rsidRPr="00660147" w:rsidRDefault="00E112F2">
      <w:pPr>
        <w:rPr>
          <w:rFonts w:ascii="楷体" w:eastAsia="楷体" w:hAnsi="楷体" w:hint="eastAsia"/>
          <w:color w:val="000000" w:themeColor="text1"/>
          <w:szCs w:val="22"/>
        </w:rPr>
      </w:pPr>
      <w:r w:rsidRPr="00660147">
        <w:rPr>
          <w:rFonts w:ascii="楷体" w:eastAsia="楷体" w:hAnsi="楷体" w:hint="eastAsia"/>
          <w:color w:val="000000" w:themeColor="text1"/>
          <w:szCs w:val="22"/>
        </w:rPr>
        <w:t>数据来源：</w:t>
      </w:r>
      <w:r w:rsidRPr="00660147">
        <w:rPr>
          <w:rFonts w:ascii="楷体" w:eastAsia="楷体" w:hAnsi="楷体"/>
          <w:color w:val="000000" w:themeColor="text1"/>
          <w:szCs w:val="22"/>
        </w:rPr>
        <w:t>Artificial Analysis, 招银国际环球市场</w:t>
      </w:r>
    </w:p>
    <w:p w14:paraId="20A36DDA" w14:textId="34984940" w:rsidR="004F7E65" w:rsidRPr="00660147" w:rsidRDefault="00000000">
      <w:pPr>
        <w:rPr>
          <w:rFonts w:ascii="楷体" w:eastAsia="楷体" w:hAnsi="楷体" w:hint="eastAsia"/>
          <w:color w:val="000000" w:themeColor="text1"/>
        </w:rPr>
      </w:pPr>
      <w:r w:rsidRPr="00660147">
        <w:rPr>
          <w:rFonts w:ascii="楷体" w:eastAsia="楷体" w:hAnsi="楷体"/>
          <w:color w:val="000000" w:themeColor="text1"/>
          <w:szCs w:val="22"/>
        </w:rPr>
        <w:t>从2023年GPT3问世以来，最初是GPT和claude的竞争，后来发展到GPT，claude，gemini的激烈角逐。2025年deepseek问世后，经过近一年的沉淀，国产大模型也逐步发力，智谱的GLM系列模型，minimax和kimi的模型都曾经在主流人工智能成绩榜单上交出过亮眼的表现，同时，国产大模型也正逐渐凭借性能和价格的平衡得到市场的认可。截至2026年4月27日，kimi的最新模型kimi 2.6仍然在OpenRouter开源模型记录中保持第一的态势。这表明技术领先地位是动态且不稳固的，持续创新能力是保持竞争力的关键。</w:t>
      </w:r>
    </w:p>
    <w:p w14:paraId="57E0B5DD" w14:textId="202DD5C3" w:rsidR="008D5F95" w:rsidRPr="00660147" w:rsidRDefault="008D5F95" w:rsidP="008D5F95">
      <w:pPr>
        <w:jc w:val="center"/>
        <w:rPr>
          <w:rFonts w:ascii="楷体" w:eastAsia="楷体" w:hAnsi="楷体" w:hint="eastAsia"/>
          <w:color w:val="000000" w:themeColor="text1"/>
        </w:rPr>
      </w:pPr>
      <w:r w:rsidRPr="00660147">
        <w:rPr>
          <w:rFonts w:ascii="楷体" w:eastAsia="楷体" w:hAnsi="楷体" w:hint="eastAsia"/>
          <w:color w:val="000000" w:themeColor="text1"/>
        </w:rPr>
        <w:t>图：</w:t>
      </w:r>
      <w:r w:rsidR="009851AD" w:rsidRPr="00660147">
        <w:rPr>
          <w:rFonts w:ascii="楷体" w:eastAsia="楷体" w:hAnsi="楷体" w:hint="eastAsia"/>
          <w:color w:val="000000" w:themeColor="text1"/>
        </w:rPr>
        <w:t>截至</w:t>
      </w:r>
      <w:r w:rsidRPr="00660147">
        <w:rPr>
          <w:rFonts w:ascii="楷体" w:eastAsia="楷体" w:hAnsi="楷体" w:hint="eastAsia"/>
          <w:color w:val="000000" w:themeColor="text1"/>
        </w:rPr>
        <w:t>2026.4.2</w:t>
      </w:r>
      <w:r w:rsidR="009851AD" w:rsidRPr="00660147">
        <w:rPr>
          <w:rFonts w:ascii="楷体" w:eastAsia="楷体" w:hAnsi="楷体" w:hint="eastAsia"/>
          <w:color w:val="000000" w:themeColor="text1"/>
        </w:rPr>
        <w:t>8</w:t>
      </w:r>
      <w:r w:rsidRPr="00660147">
        <w:rPr>
          <w:rFonts w:ascii="楷体" w:eastAsia="楷体" w:hAnsi="楷体" w:hint="eastAsia"/>
          <w:color w:val="000000" w:themeColor="text1"/>
        </w:rPr>
        <w:t xml:space="preserve"> </w:t>
      </w:r>
      <w:proofErr w:type="spellStart"/>
      <w:r w:rsidRPr="00660147">
        <w:rPr>
          <w:rFonts w:ascii="楷体" w:eastAsia="楷体" w:hAnsi="楷体" w:hint="eastAsia"/>
          <w:color w:val="000000" w:themeColor="text1"/>
        </w:rPr>
        <w:t>OpenRouter</w:t>
      </w:r>
      <w:proofErr w:type="spellEnd"/>
      <w:r w:rsidRPr="00660147">
        <w:rPr>
          <w:rFonts w:ascii="楷体" w:eastAsia="楷体" w:hAnsi="楷体" w:hint="eastAsia"/>
          <w:color w:val="000000" w:themeColor="text1"/>
        </w:rPr>
        <w:t>开源模型调用排名榜单</w:t>
      </w:r>
    </w:p>
    <w:p w14:paraId="6433B6B1" w14:textId="0C70DDEB" w:rsidR="008D5F95" w:rsidRPr="00660147" w:rsidRDefault="009851AD" w:rsidP="00502A8D">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60FE49A6" wp14:editId="446D97E6">
            <wp:extent cx="5274310" cy="3544570"/>
            <wp:effectExtent l="0" t="0" r="2540" b="0"/>
            <wp:docPr id="207137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75520" name=""/>
                    <pic:cNvPicPr/>
                  </pic:nvPicPr>
                  <pic:blipFill>
                    <a:blip r:embed="rId22"/>
                    <a:stretch>
                      <a:fillRect/>
                    </a:stretch>
                  </pic:blipFill>
                  <pic:spPr>
                    <a:xfrm>
                      <a:off x="0" y="0"/>
                      <a:ext cx="5274310" cy="3544570"/>
                    </a:xfrm>
                    <a:prstGeom prst="rect">
                      <a:avLst/>
                    </a:prstGeom>
                  </pic:spPr>
                </pic:pic>
              </a:graphicData>
            </a:graphic>
          </wp:inline>
        </w:drawing>
      </w:r>
    </w:p>
    <w:p w14:paraId="710F0C53" w14:textId="56EA0922" w:rsidR="008D5F95" w:rsidRPr="00660147" w:rsidRDefault="009851AD" w:rsidP="00502A8D">
      <w:pPr>
        <w:rPr>
          <w:rFonts w:ascii="楷体" w:eastAsia="楷体" w:hAnsi="楷体" w:hint="eastAsia"/>
          <w:color w:val="000000" w:themeColor="text1"/>
        </w:rPr>
      </w:pPr>
      <w:r w:rsidRPr="00660147">
        <w:rPr>
          <w:rFonts w:ascii="楷体" w:eastAsia="楷体" w:hAnsi="楷体" w:hint="eastAsia"/>
          <w:color w:val="000000" w:themeColor="text1"/>
        </w:rPr>
        <w:t>数据来源：</w:t>
      </w:r>
      <w:proofErr w:type="spellStart"/>
      <w:r w:rsidRPr="00660147">
        <w:rPr>
          <w:rFonts w:ascii="楷体" w:eastAsia="楷体" w:hAnsi="楷体" w:hint="eastAsia"/>
          <w:color w:val="000000" w:themeColor="text1"/>
        </w:rPr>
        <w:t>OpenRouter</w:t>
      </w:r>
      <w:proofErr w:type="spellEnd"/>
    </w:p>
    <w:p w14:paraId="000F535C" w14:textId="520C053A" w:rsidR="00EB5EA6" w:rsidRPr="00C14DC4" w:rsidRDefault="001205E7" w:rsidP="00EB5EA6">
      <w:pPr>
        <w:pStyle w:val="2"/>
        <w:rPr>
          <w:rFonts w:ascii="楷体" w:eastAsia="楷体" w:hAnsi="楷体" w:hint="eastAsia"/>
          <w:color w:val="000000" w:themeColor="text1"/>
          <w:sz w:val="32"/>
          <w:szCs w:val="32"/>
        </w:rPr>
      </w:pPr>
      <w:bookmarkStart w:id="25" w:name="_Toc228374875"/>
      <w:r w:rsidRPr="00C14DC4">
        <w:rPr>
          <w:rFonts w:ascii="楷体" w:eastAsia="楷体" w:hAnsi="楷体" w:hint="eastAsia"/>
          <w:color w:val="000000" w:themeColor="text1"/>
          <w:sz w:val="32"/>
          <w:szCs w:val="32"/>
        </w:rPr>
        <w:lastRenderedPageBreak/>
        <w:t>3.2</w:t>
      </w:r>
      <w:r w:rsidR="00EB5EA6" w:rsidRPr="00C14DC4">
        <w:rPr>
          <w:rFonts w:ascii="楷体" w:eastAsia="楷体" w:hAnsi="楷体" w:hint="eastAsia"/>
          <w:color w:val="000000" w:themeColor="text1"/>
          <w:sz w:val="32"/>
          <w:szCs w:val="32"/>
        </w:rPr>
        <w:t>参与者类型（pureplay and non pureplay</w:t>
      </w:r>
      <w:r w:rsidR="00EB5EA6" w:rsidRPr="00C14DC4">
        <w:rPr>
          <w:rFonts w:ascii="楷体" w:eastAsia="楷体" w:hAnsi="楷体"/>
          <w:color w:val="000000" w:themeColor="text1"/>
          <w:sz w:val="32"/>
          <w:szCs w:val="32"/>
        </w:rPr>
        <w:t>）</w:t>
      </w:r>
      <w:bookmarkEnd w:id="25"/>
    </w:p>
    <w:p w14:paraId="16C13FE4" w14:textId="50B20009"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大模型产业已形成层次分明、角色多元的生态系统。参与者基于其技术基因、资源禀赋和商业模式，在产业链的不同环节占据生态位，共同推动技术落地与价值实现。本报告将产业参与者划分为四大核心层级：基础层、模型层、中间层与应用层，并深入剖析各层参与者的核心特征、竞争策略与相互间的协同博弈关系。</w:t>
      </w:r>
    </w:p>
    <w:p w14:paraId="0EBCDCE1" w14:textId="572570C0" w:rsidR="00152E11" w:rsidRPr="00157396" w:rsidRDefault="001205E7" w:rsidP="001205E7">
      <w:pPr>
        <w:pStyle w:val="3"/>
        <w:rPr>
          <w:rFonts w:ascii="楷体" w:eastAsia="楷体" w:hAnsi="楷体" w:hint="eastAsia"/>
          <w:color w:val="000000" w:themeColor="text1"/>
          <w:sz w:val="30"/>
          <w:szCs w:val="30"/>
        </w:rPr>
      </w:pPr>
      <w:bookmarkStart w:id="26" w:name="_Toc228374876"/>
      <w:r w:rsidRPr="00157396">
        <w:rPr>
          <w:rFonts w:ascii="楷体" w:eastAsia="楷体" w:hAnsi="楷体" w:hint="eastAsia"/>
          <w:color w:val="000000" w:themeColor="text1"/>
          <w:sz w:val="30"/>
          <w:szCs w:val="30"/>
        </w:rPr>
        <w:t>3.2.1</w:t>
      </w:r>
      <w:r w:rsidR="00152E11" w:rsidRPr="00157396">
        <w:rPr>
          <w:rFonts w:ascii="楷体" w:eastAsia="楷体" w:hAnsi="楷体" w:hint="eastAsia"/>
          <w:color w:val="000000" w:themeColor="text1"/>
          <w:sz w:val="30"/>
          <w:szCs w:val="30"/>
        </w:rPr>
        <w:t>产业参与者全景图谱：基于技术架构的四层划分</w:t>
      </w:r>
      <w:bookmarkEnd w:id="26"/>
    </w:p>
    <w:p w14:paraId="422CF90A" w14:textId="757CD2DB"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当前大模型产业的技术架构可清晰划分为基础层、模型层、中间层与应用层。不同背景的厂商依据自身优势，选择在不同层级深度布局或进行全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式整合。</w:t>
      </w:r>
    </w:p>
    <w:p w14:paraId="53E6244E"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基础层是产业运行的物理与虚拟资源底座，核心是提供算力、存储、网络及数据基础设施。该层参与者主要包括</w:t>
      </w:r>
      <w:proofErr w:type="gramStart"/>
      <w:r w:rsidRPr="00660147">
        <w:rPr>
          <w:rFonts w:ascii="楷体" w:eastAsia="楷体" w:hAnsi="楷体" w:hint="eastAsia"/>
          <w:color w:val="000000" w:themeColor="text1"/>
        </w:rPr>
        <w:t>大型云服务</w:t>
      </w:r>
      <w:proofErr w:type="gramEnd"/>
      <w:r w:rsidRPr="00660147">
        <w:rPr>
          <w:rFonts w:ascii="楷体" w:eastAsia="楷体" w:hAnsi="楷体" w:hint="eastAsia"/>
          <w:color w:val="000000" w:themeColor="text1"/>
        </w:rPr>
        <w:t>商（如阿里云、</w:t>
      </w:r>
      <w:proofErr w:type="gramStart"/>
      <w:r w:rsidRPr="00660147">
        <w:rPr>
          <w:rFonts w:ascii="楷体" w:eastAsia="楷体" w:hAnsi="楷体" w:hint="eastAsia"/>
          <w:color w:val="000000" w:themeColor="text1"/>
        </w:rPr>
        <w:t>腾讯云</w:t>
      </w:r>
      <w:proofErr w:type="gramEnd"/>
      <w:r w:rsidRPr="00660147">
        <w:rPr>
          <w:rFonts w:ascii="楷体" w:eastAsia="楷体" w:hAnsi="楷体" w:hint="eastAsia"/>
          <w:color w:val="000000" w:themeColor="text1"/>
        </w:rPr>
        <w:t>、AWS）以及专注于数据基础设施的“AI+Data技术提供商”。后者提供分析型数据库、数据集成、向量数据库等能力，构建数据、分析和AI应用的可复用底座，通常保持“模型中立”，强调处理海量数据的工程能力与可靠性，代表厂商如星环科技、</w:t>
      </w:r>
      <w:proofErr w:type="gramStart"/>
      <w:r w:rsidRPr="00660147">
        <w:rPr>
          <w:rFonts w:ascii="楷体" w:eastAsia="楷体" w:hAnsi="楷体" w:hint="eastAsia"/>
          <w:color w:val="000000" w:themeColor="text1"/>
        </w:rPr>
        <w:t>拓尔思</w:t>
      </w:r>
      <w:proofErr w:type="gramEnd"/>
      <w:r w:rsidRPr="00660147">
        <w:rPr>
          <w:rFonts w:ascii="楷体" w:eastAsia="楷体" w:hAnsi="楷体" w:hint="eastAsia"/>
          <w:color w:val="000000" w:themeColor="text1"/>
        </w:rPr>
        <w:t>等。</w:t>
      </w:r>
    </w:p>
    <w:p w14:paraId="23010085"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模型层是产业的价值中枢与“智能大脑”，聚焦于基础大模型及微调优化后的各类模型。参与者可分为两类：一是研发通用基础模型的“Pureplay”厂商（如OpenAI、MiniMax、智谱AI），其核心资源与商业模式高度聚焦于模型本身；二是“Non-pureplay”厂商，通常是大型互联网平台（如谷歌、阿里、百度、字节跳动），在原有业务上切入大模型，具备强大的资本、</w:t>
      </w:r>
      <w:proofErr w:type="gramStart"/>
      <w:r w:rsidRPr="00660147">
        <w:rPr>
          <w:rFonts w:ascii="楷体" w:eastAsia="楷体" w:hAnsi="楷体" w:hint="eastAsia"/>
          <w:color w:val="000000" w:themeColor="text1"/>
        </w:rPr>
        <w:t>算力与</w:t>
      </w:r>
      <w:proofErr w:type="gramEnd"/>
      <w:r w:rsidRPr="00660147">
        <w:rPr>
          <w:rFonts w:ascii="楷体" w:eastAsia="楷体" w:hAnsi="楷体" w:hint="eastAsia"/>
          <w:color w:val="000000" w:themeColor="text1"/>
        </w:rPr>
        <w:t>场景整合能力。</w:t>
      </w:r>
    </w:p>
    <w:p w14:paraId="4E114DDD"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中间层（工具/平台层）是连接模型能力与具体应用的“桥梁”，其价值在于将复杂的模型能力模块化、工具化，降低应用开发门槛。该层包括大模型应用开发管理工具、LLMOps平台、Agent开发平台等。参与者既有独立工具开发商，也有模型层厂商向下延伸提供的平台服务。</w:t>
      </w:r>
    </w:p>
    <w:p w14:paraId="69E8BF0F" w14:textId="0A0A7403"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应用层是技术价值的最终出口，指将大模型能力嵌入具体业务场景的解决方案和终端产品，如智能客服、知识库问答、AI原生应用（如ChatGPT、海螺AI）。参与者最为广泛，包括所有将大模型作为核心能力组件的软件公司、行业解决方案商及创业公司。</w:t>
      </w:r>
    </w:p>
    <w:p w14:paraId="20F696BD" w14:textId="15736858" w:rsidR="00152E11" w:rsidRPr="00157396" w:rsidRDefault="001C7828" w:rsidP="001C7828">
      <w:pPr>
        <w:pStyle w:val="3"/>
        <w:rPr>
          <w:rFonts w:ascii="楷体" w:eastAsia="楷体" w:hAnsi="楷体" w:hint="eastAsia"/>
          <w:color w:val="000000" w:themeColor="text1"/>
          <w:sz w:val="30"/>
          <w:szCs w:val="30"/>
        </w:rPr>
      </w:pPr>
      <w:bookmarkStart w:id="27" w:name="_Toc228374877"/>
      <w:r w:rsidRPr="00157396">
        <w:rPr>
          <w:rFonts w:ascii="楷体" w:eastAsia="楷体" w:hAnsi="楷体" w:hint="eastAsia"/>
          <w:color w:val="000000" w:themeColor="text1"/>
          <w:sz w:val="30"/>
          <w:szCs w:val="30"/>
        </w:rPr>
        <w:t>3.2.2</w:t>
      </w:r>
      <w:r w:rsidR="00152E11" w:rsidRPr="00157396">
        <w:rPr>
          <w:rFonts w:ascii="楷体" w:eastAsia="楷体" w:hAnsi="楷体" w:hint="eastAsia"/>
          <w:color w:val="000000" w:themeColor="text1"/>
          <w:sz w:val="30"/>
          <w:szCs w:val="30"/>
        </w:rPr>
        <w:t xml:space="preserve"> 核心参与者类型深度剖析</w:t>
      </w:r>
      <w:bookmarkEnd w:id="27"/>
    </w:p>
    <w:p w14:paraId="6D6CC861" w14:textId="39949E69"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基于上述四层架构，大模型市场上的参与者可进一步归纳为以下几种核心类型，其战略定位与竞争逻辑各有不同。</w:t>
      </w:r>
    </w:p>
    <w:p w14:paraId="015010A0"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1. 互联网科技巨头：全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生态与平台化主导者</w:t>
      </w:r>
    </w:p>
    <w:p w14:paraId="7E247F5B" w14:textId="66F71495"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此类参与者（如阿里、百度、腾讯、字节跳动）通常打造“芯片/框架-模型-应用-场景”的全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式生态。其核心优势在于：第一，拥有海量自有场景与用户流量，为模型</w:t>
      </w:r>
      <w:r w:rsidRPr="00660147">
        <w:rPr>
          <w:rFonts w:ascii="楷体" w:eastAsia="楷体" w:hAnsi="楷体" w:hint="eastAsia"/>
          <w:color w:val="000000" w:themeColor="text1"/>
        </w:rPr>
        <w:lastRenderedPageBreak/>
        <w:t>训练提供高质量数据飞轮，并为应用落地提供天然试验田。第二，掌</w:t>
      </w:r>
      <w:proofErr w:type="gramStart"/>
      <w:r w:rsidRPr="00660147">
        <w:rPr>
          <w:rFonts w:ascii="楷体" w:eastAsia="楷体" w:hAnsi="楷体" w:hint="eastAsia"/>
          <w:color w:val="000000" w:themeColor="text1"/>
        </w:rPr>
        <w:t>控算力</w:t>
      </w:r>
      <w:proofErr w:type="gramEnd"/>
      <w:r w:rsidRPr="00660147">
        <w:rPr>
          <w:rFonts w:ascii="楷体" w:eastAsia="楷体" w:hAnsi="楷体" w:hint="eastAsia"/>
          <w:color w:val="000000" w:themeColor="text1"/>
        </w:rPr>
        <w:t>入口与</w:t>
      </w:r>
      <w:proofErr w:type="gramStart"/>
      <w:r w:rsidRPr="00660147">
        <w:rPr>
          <w:rFonts w:ascii="楷体" w:eastAsia="楷体" w:hAnsi="楷体" w:hint="eastAsia"/>
          <w:color w:val="000000" w:themeColor="text1"/>
        </w:rPr>
        <w:t>云基础</w:t>
      </w:r>
      <w:proofErr w:type="gramEnd"/>
      <w:r w:rsidRPr="00660147">
        <w:rPr>
          <w:rFonts w:ascii="楷体" w:eastAsia="楷体" w:hAnsi="楷体" w:hint="eastAsia"/>
          <w:color w:val="000000" w:themeColor="text1"/>
        </w:rPr>
        <w:t>设施，在训练成本控制和推理服务稳定性上具备工程化优势。第三，采取“平台+应用”模式，既提供基础的MaaS（模型即服务）吸引开发者和企业客户，又推出标杆性C端应用（如豆包、文心一言）定义用户体验，旨在构建以自身为核心的产业生态。他们的竞争焦点在于通过生态协同效应最大化用户停留时间与数据价值，将大模型能力渗透至所有业务线。</w:t>
      </w:r>
    </w:p>
    <w:p w14:paraId="5936B76D"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2. 专注模型研发的Pureplay厂商：技术驱动与敏捷创新者</w:t>
      </w:r>
    </w:p>
    <w:p w14:paraId="1496DD8B" w14:textId="71B5CFF0"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这类公司（以MiniMax、智谱AI、月之暗面等为代表）自成立起</w:t>
      </w:r>
      <w:proofErr w:type="gramStart"/>
      <w:r w:rsidRPr="00660147">
        <w:rPr>
          <w:rFonts w:ascii="楷体" w:eastAsia="楷体" w:hAnsi="楷体" w:hint="eastAsia"/>
          <w:color w:val="000000" w:themeColor="text1"/>
        </w:rPr>
        <w:t>便高度</w:t>
      </w:r>
      <w:proofErr w:type="gramEnd"/>
      <w:r w:rsidRPr="00660147">
        <w:rPr>
          <w:rFonts w:ascii="楷体" w:eastAsia="楷体" w:hAnsi="楷体" w:hint="eastAsia"/>
          <w:color w:val="000000" w:themeColor="text1"/>
        </w:rPr>
        <w:t>聚焦于大模型技术的研发与迭代。根据</w:t>
      </w:r>
      <w:proofErr w:type="gramStart"/>
      <w:r w:rsidRPr="00660147">
        <w:rPr>
          <w:rFonts w:ascii="楷体" w:eastAsia="楷体" w:hAnsi="楷体" w:hint="eastAsia"/>
          <w:color w:val="000000" w:themeColor="text1"/>
        </w:rPr>
        <w:t>灼识咨询</w:t>
      </w:r>
      <w:proofErr w:type="gramEnd"/>
      <w:r w:rsidRPr="00660147">
        <w:rPr>
          <w:rFonts w:ascii="楷体" w:eastAsia="楷体" w:hAnsi="楷体" w:hint="eastAsia"/>
          <w:color w:val="000000" w:themeColor="text1"/>
        </w:rPr>
        <w:t>数据，按2024年全球基于模型的收入计，MiniMax在Pureplay玩家中排名第四。其特点是：第一，组织架构扁平，研发高度集中。例如MiniMax研发人员占比超70%，决策链条短，利于技术快速迭代。第二，追求模型性能的极致突破，尤其在多模态、长上下文、推理能力等前沿方向投入坚决，试图通过</w:t>
      </w:r>
      <w:proofErr w:type="gramStart"/>
      <w:r w:rsidRPr="00660147">
        <w:rPr>
          <w:rFonts w:ascii="楷体" w:eastAsia="楷体" w:hAnsi="楷体" w:hint="eastAsia"/>
          <w:color w:val="000000" w:themeColor="text1"/>
        </w:rPr>
        <w:t>技术代差建立</w:t>
      </w:r>
      <w:proofErr w:type="gramEnd"/>
      <w:r w:rsidRPr="00660147">
        <w:rPr>
          <w:rFonts w:ascii="楷体" w:eastAsia="楷体" w:hAnsi="楷体" w:hint="eastAsia"/>
          <w:color w:val="000000" w:themeColor="text1"/>
        </w:rPr>
        <w:t>壁垒。第三，商业化路径清晰，通过“模型驱动产品”的逻辑，同步发展C端AI原生产品（如Talkie、海螺AI）与B</w:t>
      </w:r>
      <w:proofErr w:type="gramStart"/>
      <w:r w:rsidRPr="00660147">
        <w:rPr>
          <w:rFonts w:ascii="楷体" w:eastAsia="楷体" w:hAnsi="楷体" w:hint="eastAsia"/>
          <w:color w:val="000000" w:themeColor="text1"/>
        </w:rPr>
        <w:t>端开放</w:t>
      </w:r>
      <w:proofErr w:type="gramEnd"/>
      <w:r w:rsidRPr="00660147">
        <w:rPr>
          <w:rFonts w:ascii="楷体" w:eastAsia="楷体" w:hAnsi="楷体" w:hint="eastAsia"/>
          <w:color w:val="000000" w:themeColor="text1"/>
        </w:rPr>
        <w:t>平台API服务，形成双向验证与收入来源。他们的核心挑战在于持续的高强度研发投入与商业化规模扩张之间的平衡。</w:t>
      </w:r>
    </w:p>
    <w:p w14:paraId="7ABDCCEC"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3. AI+Data技术提供商与软件技术转型者：行业Know-how与存量客户的价值重构者</w:t>
      </w:r>
    </w:p>
    <w:p w14:paraId="5C121F48" w14:textId="1A70D65D"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此类参与者又可细分为两类：一是专注于数据基础设施的“AI+Data技术提供商”，二是从传统企业软件或决策式AI转型而来的“技术转型者”。前者（如星环科技、Zilliz）的核心价值在于为企业构建高效、安全的数据治理与处理底座，是模型</w:t>
      </w:r>
      <w:proofErr w:type="gramStart"/>
      <w:r w:rsidRPr="00660147">
        <w:rPr>
          <w:rFonts w:ascii="楷体" w:eastAsia="楷体" w:hAnsi="楷体" w:hint="eastAsia"/>
          <w:color w:val="000000" w:themeColor="text1"/>
        </w:rPr>
        <w:t>层运行</w:t>
      </w:r>
      <w:proofErr w:type="gramEnd"/>
      <w:r w:rsidRPr="00660147">
        <w:rPr>
          <w:rFonts w:ascii="楷体" w:eastAsia="楷体" w:hAnsi="楷体" w:hint="eastAsia"/>
          <w:color w:val="000000" w:themeColor="text1"/>
        </w:rPr>
        <w:t>的“燃料”供应商。后者（如用友、金蝶、科大讯飞、第四范式）则拥有深厚的行业知识、成熟的客户基础与强大的销售渠道。他们的战略并非颠覆客户现有业务流程，而是将大模型能力快速融入其已有的软件产品矩阵（如ERP、MES、CRM）中，实现产品功能的智能化升级。</w:t>
      </w:r>
      <w:r w:rsidR="001C7828" w:rsidRPr="00660147">
        <w:rPr>
          <w:rFonts w:ascii="楷体" w:eastAsia="楷体" w:hAnsi="楷体" w:hint="eastAsia"/>
          <w:color w:val="000000" w:themeColor="text1"/>
        </w:rPr>
        <w:t>飞书就是其中的一个典型，依托常年对于办公机器人领域的深耕，在2026年初的Agent浪潮中转型迅速，已经成为国内Agent</w:t>
      </w:r>
      <w:r w:rsidR="00914D6F" w:rsidRPr="00660147">
        <w:rPr>
          <w:rFonts w:ascii="楷体" w:eastAsia="楷体" w:hAnsi="楷体" w:hint="eastAsia"/>
          <w:color w:val="000000" w:themeColor="text1"/>
        </w:rPr>
        <w:t xml:space="preserve"> 接口应用企业的代表。</w:t>
      </w:r>
      <w:r w:rsidRPr="00660147">
        <w:rPr>
          <w:rFonts w:ascii="楷体" w:eastAsia="楷体" w:hAnsi="楷体" w:hint="eastAsia"/>
          <w:color w:val="000000" w:themeColor="text1"/>
        </w:rPr>
        <w:t>这类参与者的优势在于对垂直行业痛点的深刻理解以及较低的客户迁移成本，是大模型在B端规模化落地的关键推动力量。</w:t>
      </w:r>
    </w:p>
    <w:p w14:paraId="3E46ED84" w14:textId="77777777"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4. 开源社区与开源模型贡献者：生态基石与成本颠覆者</w:t>
      </w:r>
    </w:p>
    <w:p w14:paraId="7ED97A40" w14:textId="4212AB0F" w:rsidR="00152E11" w:rsidRPr="00660147" w:rsidRDefault="00152E11" w:rsidP="00152E11">
      <w:pPr>
        <w:rPr>
          <w:rFonts w:ascii="楷体" w:eastAsia="楷体" w:hAnsi="楷体" w:hint="eastAsia"/>
          <w:color w:val="000000" w:themeColor="text1"/>
        </w:rPr>
      </w:pPr>
      <w:r w:rsidRPr="00660147">
        <w:rPr>
          <w:rFonts w:ascii="楷体" w:eastAsia="楷体" w:hAnsi="楷体" w:hint="eastAsia"/>
          <w:color w:val="000000" w:themeColor="text1"/>
        </w:rPr>
        <w:t>以Meta（Llama系列）、DeepSeek、</w:t>
      </w:r>
      <w:proofErr w:type="gramStart"/>
      <w:r w:rsidRPr="00660147">
        <w:rPr>
          <w:rFonts w:ascii="楷体" w:eastAsia="楷体" w:hAnsi="楷体" w:hint="eastAsia"/>
          <w:color w:val="000000" w:themeColor="text1"/>
        </w:rPr>
        <w:t>通义千问等</w:t>
      </w:r>
      <w:proofErr w:type="gramEnd"/>
      <w:r w:rsidRPr="00660147">
        <w:rPr>
          <w:rFonts w:ascii="楷体" w:eastAsia="楷体" w:hAnsi="楷体" w:hint="eastAsia"/>
          <w:color w:val="000000" w:themeColor="text1"/>
        </w:rPr>
        <w:t>为代表的开源模型势力，正深刻改变产业格局。根据沙利文调研，2025年上半年中国企业采用开源模型的占比已达44.4%。开源模型的崛起得益于：第一，显著降低技术使用门槛与成本，使中小企业能够基于开源底座定制专属模型。第二，透明性与可定制性，满足了企业对技术自主可控和安全审查的需求。第三，活跃的社区驱动快速迭代。开源模型通过“发布-社区反馈-迭代”的循环，不断缩小与</w:t>
      </w:r>
      <w:proofErr w:type="gramStart"/>
      <w:r w:rsidRPr="00660147">
        <w:rPr>
          <w:rFonts w:ascii="楷体" w:eastAsia="楷体" w:hAnsi="楷体" w:hint="eastAsia"/>
          <w:color w:val="000000" w:themeColor="text1"/>
        </w:rPr>
        <w:t>顶尖闭源模型</w:t>
      </w:r>
      <w:proofErr w:type="gramEnd"/>
      <w:r w:rsidRPr="00660147">
        <w:rPr>
          <w:rFonts w:ascii="楷体" w:eastAsia="楷体" w:hAnsi="楷体" w:hint="eastAsia"/>
          <w:color w:val="000000" w:themeColor="text1"/>
        </w:rPr>
        <w:t>的性能差距，甚至在某些细分领域实现反超。开源生态的繁荣促进了技术的民主化，也</w:t>
      </w:r>
      <w:proofErr w:type="gramStart"/>
      <w:r w:rsidRPr="00660147">
        <w:rPr>
          <w:rFonts w:ascii="楷体" w:eastAsia="楷体" w:hAnsi="楷体" w:hint="eastAsia"/>
          <w:color w:val="000000" w:themeColor="text1"/>
        </w:rPr>
        <w:t>迫使闭源厂商</w:t>
      </w:r>
      <w:proofErr w:type="gramEnd"/>
      <w:r w:rsidRPr="00660147">
        <w:rPr>
          <w:rFonts w:ascii="楷体" w:eastAsia="楷体" w:hAnsi="楷体" w:hint="eastAsia"/>
          <w:color w:val="000000" w:themeColor="text1"/>
        </w:rPr>
        <w:t>不断提升效率与性价比以维持优势。</w:t>
      </w:r>
    </w:p>
    <w:p w14:paraId="0D44BC9B" w14:textId="037B139B" w:rsidR="00EB5EA6" w:rsidRPr="00157396" w:rsidRDefault="00914D6F" w:rsidP="00EB5EA6">
      <w:pPr>
        <w:pStyle w:val="2"/>
        <w:rPr>
          <w:rFonts w:ascii="楷体" w:eastAsia="楷体" w:hAnsi="楷体" w:hint="eastAsia"/>
          <w:color w:val="000000" w:themeColor="text1"/>
          <w:sz w:val="32"/>
          <w:szCs w:val="32"/>
        </w:rPr>
      </w:pPr>
      <w:bookmarkStart w:id="28" w:name="_Toc228374878"/>
      <w:r w:rsidRPr="00157396">
        <w:rPr>
          <w:rFonts w:ascii="楷体" w:eastAsia="楷体" w:hAnsi="楷体" w:hint="eastAsia"/>
          <w:color w:val="000000" w:themeColor="text1"/>
          <w:sz w:val="32"/>
          <w:szCs w:val="32"/>
        </w:rPr>
        <w:lastRenderedPageBreak/>
        <w:t>3.3</w:t>
      </w:r>
      <w:r w:rsidR="00EB5EA6" w:rsidRPr="00157396">
        <w:rPr>
          <w:rFonts w:ascii="楷体" w:eastAsia="楷体" w:hAnsi="楷体" w:hint="eastAsia"/>
          <w:color w:val="000000" w:themeColor="text1"/>
          <w:sz w:val="32"/>
          <w:szCs w:val="32"/>
        </w:rPr>
        <w:t>企业核心竞争力评价维度</w:t>
      </w:r>
      <w:bookmarkEnd w:id="28"/>
    </w:p>
    <w:p w14:paraId="50120EBB" w14:textId="62A9E111" w:rsidR="007C2934" w:rsidRPr="00157396" w:rsidRDefault="00914D6F" w:rsidP="00914D6F">
      <w:pPr>
        <w:pStyle w:val="3"/>
        <w:rPr>
          <w:rFonts w:ascii="楷体" w:eastAsia="楷体" w:hAnsi="楷体" w:hint="eastAsia"/>
          <w:color w:val="000000" w:themeColor="text1"/>
          <w:sz w:val="30"/>
          <w:szCs w:val="30"/>
        </w:rPr>
      </w:pPr>
      <w:bookmarkStart w:id="29" w:name="_Toc228374879"/>
      <w:r w:rsidRPr="00157396">
        <w:rPr>
          <w:rFonts w:ascii="楷体" w:eastAsia="楷体" w:hAnsi="楷体" w:hint="eastAsia"/>
          <w:color w:val="000000" w:themeColor="text1"/>
          <w:sz w:val="30"/>
          <w:szCs w:val="30"/>
        </w:rPr>
        <w:t>3.3.1</w:t>
      </w:r>
      <w:r w:rsidR="007C2934" w:rsidRPr="00157396">
        <w:rPr>
          <w:rFonts w:ascii="楷体" w:eastAsia="楷体" w:hAnsi="楷体" w:hint="eastAsia"/>
          <w:color w:val="000000" w:themeColor="text1"/>
          <w:sz w:val="30"/>
          <w:szCs w:val="30"/>
        </w:rPr>
        <w:t>生态构建能力：从规模积累到体系化自演进</w:t>
      </w:r>
      <w:bookmarkEnd w:id="29"/>
    </w:p>
    <w:p w14:paraId="2D616CF5" w14:textId="65EB8C1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生态构建能力是衡量大模型企业能否从产品技术成功迈向商业生态化的关键。当前，行业竞争已超越简单的开发者数量积累，进入到构建高活性、高粘性、具备自演进能力的生态体系阶段。</w:t>
      </w:r>
    </w:p>
    <w:p w14:paraId="7946F1F5" w14:textId="3F6E846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在开发者生态方面，领先企业正通过提供精细</w:t>
      </w:r>
      <w:proofErr w:type="gramStart"/>
      <w:r w:rsidRPr="00660147">
        <w:rPr>
          <w:rFonts w:ascii="楷体" w:eastAsia="楷体" w:hAnsi="楷体" w:hint="eastAsia"/>
          <w:color w:val="000000" w:themeColor="text1"/>
        </w:rPr>
        <w:t>化工具链</w:t>
      </w:r>
      <w:proofErr w:type="gramEnd"/>
      <w:r w:rsidRPr="00660147">
        <w:rPr>
          <w:rFonts w:ascii="楷体" w:eastAsia="楷体" w:hAnsi="楷体" w:hint="eastAsia"/>
          <w:color w:val="000000" w:themeColor="text1"/>
        </w:rPr>
        <w:t>、优化计费策略与强化调试支持，系统提升开发效率与应用创新活力。与此相对应，除了注册开发者规模，API月度调用总量与高质量原生应用产出率成为能够真实反映生态活跃度与价值转化能力的关键指标。例如，</w:t>
      </w:r>
      <w:proofErr w:type="gramStart"/>
      <w:r w:rsidRPr="00660147">
        <w:rPr>
          <w:rFonts w:ascii="楷体" w:eastAsia="楷体" w:hAnsi="楷体" w:hint="eastAsia"/>
          <w:color w:val="000000" w:themeColor="text1"/>
        </w:rPr>
        <w:t>科大讯飞依托</w:t>
      </w:r>
      <w:proofErr w:type="gramEnd"/>
      <w:r w:rsidRPr="00660147">
        <w:rPr>
          <w:rFonts w:ascii="楷体" w:eastAsia="楷体" w:hAnsi="楷体" w:hint="eastAsia"/>
          <w:color w:val="000000" w:themeColor="text1"/>
        </w:rPr>
        <w:t>开放平台的全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能力，已汇聚超过150万大模型开发者，在行业内</w:t>
      </w:r>
      <w:proofErr w:type="gramStart"/>
      <w:r w:rsidRPr="00660147">
        <w:rPr>
          <w:rFonts w:ascii="楷体" w:eastAsia="楷体" w:hAnsi="楷体" w:hint="eastAsia"/>
          <w:color w:val="000000" w:themeColor="text1"/>
        </w:rPr>
        <w:t>保持市</w:t>
      </w:r>
      <w:proofErr w:type="gramEnd"/>
      <w:r w:rsidRPr="00660147">
        <w:rPr>
          <w:rFonts w:ascii="楷体" w:eastAsia="楷体" w:hAnsi="楷体" w:hint="eastAsia"/>
          <w:color w:val="000000" w:themeColor="text1"/>
        </w:rPr>
        <w:t>占率领先，形成了明显的生态规模与协同优势。生态的广度与深度共同构成了企业的护城河，一个能够持续吸引开发者并高效转化价值的生态，是企业实现网络效应、</w:t>
      </w:r>
      <w:proofErr w:type="gramStart"/>
      <w:r w:rsidRPr="00660147">
        <w:rPr>
          <w:rFonts w:ascii="楷体" w:eastAsia="楷体" w:hAnsi="楷体" w:hint="eastAsia"/>
          <w:color w:val="000000" w:themeColor="text1"/>
        </w:rPr>
        <w:t>降低获客成本</w:t>
      </w:r>
      <w:proofErr w:type="gramEnd"/>
      <w:r w:rsidRPr="00660147">
        <w:rPr>
          <w:rFonts w:ascii="楷体" w:eastAsia="楷体" w:hAnsi="楷体" w:hint="eastAsia"/>
          <w:color w:val="000000" w:themeColor="text1"/>
        </w:rPr>
        <w:t>、加速技术迭代的基石。</w:t>
      </w:r>
    </w:p>
    <w:p w14:paraId="31BD3D64" w14:textId="3711F059" w:rsidR="007C2934" w:rsidRPr="00157396" w:rsidRDefault="00914D6F" w:rsidP="00914D6F">
      <w:pPr>
        <w:pStyle w:val="3"/>
        <w:rPr>
          <w:rFonts w:ascii="楷体" w:eastAsia="楷体" w:hAnsi="楷体" w:hint="eastAsia"/>
          <w:color w:val="000000" w:themeColor="text1"/>
          <w:sz w:val="30"/>
          <w:szCs w:val="30"/>
        </w:rPr>
      </w:pPr>
      <w:bookmarkStart w:id="30" w:name="_Toc228374880"/>
      <w:r w:rsidRPr="00157396">
        <w:rPr>
          <w:rFonts w:ascii="楷体" w:eastAsia="楷体" w:hAnsi="楷体" w:hint="eastAsia"/>
          <w:color w:val="000000" w:themeColor="text1"/>
          <w:sz w:val="30"/>
          <w:szCs w:val="30"/>
        </w:rPr>
        <w:t>3.3.2</w:t>
      </w:r>
      <w:r w:rsidR="007C2934" w:rsidRPr="00157396">
        <w:rPr>
          <w:rFonts w:ascii="楷体" w:eastAsia="楷体" w:hAnsi="楷体" w:hint="eastAsia"/>
          <w:color w:val="000000" w:themeColor="text1"/>
          <w:sz w:val="30"/>
          <w:szCs w:val="30"/>
        </w:rPr>
        <w:t>技术研发能力：持续迭代与战略路线的双重壁垒</w:t>
      </w:r>
      <w:bookmarkEnd w:id="30"/>
    </w:p>
    <w:p w14:paraId="584D9770" w14:textId="4078A8BC"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技术研发能力是企业维持长期竞争力的根本，其评价需关注投入强度、迭代效率与战略路径选择。</w:t>
      </w:r>
    </w:p>
    <w:p w14:paraId="33B7762F" w14:textId="10DE5867" w:rsidR="007C2934" w:rsidRPr="00660147" w:rsidRDefault="007C2934" w:rsidP="007C2934">
      <w:pPr>
        <w:rPr>
          <w:rFonts w:ascii="楷体" w:eastAsia="楷体" w:hAnsi="楷体"/>
          <w:color w:val="000000" w:themeColor="text1"/>
        </w:rPr>
      </w:pPr>
      <w:r w:rsidRPr="00660147">
        <w:rPr>
          <w:rFonts w:ascii="楷体" w:eastAsia="楷体" w:hAnsi="楷体" w:hint="eastAsia"/>
          <w:color w:val="000000" w:themeColor="text1"/>
        </w:rPr>
        <w:t>研发投入与迭代速度：高比例的研发投入与稳定的大版本更新频率是维持技术领先的关键保障。</w:t>
      </w:r>
      <w:r w:rsidR="00D878BB" w:rsidRPr="00660147">
        <w:rPr>
          <w:rFonts w:ascii="楷体" w:eastAsia="楷体" w:hAnsi="楷体"/>
          <w:color w:val="000000" w:themeColor="text1"/>
        </w:rPr>
        <w:t>2025年上半年，</w:t>
      </w:r>
      <w:r w:rsidR="00D878BB" w:rsidRPr="00660147">
        <w:rPr>
          <w:rFonts w:ascii="楷体" w:eastAsia="楷体" w:hAnsi="楷体" w:hint="eastAsia"/>
          <w:color w:val="000000" w:themeColor="text1"/>
        </w:rPr>
        <w:t>智谱</w:t>
      </w:r>
      <w:r w:rsidR="00D878BB" w:rsidRPr="00660147">
        <w:rPr>
          <w:rFonts w:ascii="楷体" w:eastAsia="楷体" w:hAnsi="楷体"/>
          <w:color w:val="000000" w:themeColor="text1"/>
        </w:rPr>
        <w:t>研发投入为15.947亿元。报告期内（上市前）累计研发投入约44亿元。</w:t>
      </w:r>
      <w:r w:rsidR="00160C84" w:rsidRPr="00660147">
        <w:rPr>
          <w:rFonts w:ascii="楷体" w:eastAsia="楷体" w:hAnsi="楷体" w:hint="eastAsia"/>
          <w:color w:val="000000" w:themeColor="text1"/>
        </w:rPr>
        <w:t>Minimax 2025年研发费用2.53亿美元，账面资金流10.5亿美元，</w:t>
      </w:r>
      <w:r w:rsidR="00880501" w:rsidRPr="00660147">
        <w:rPr>
          <w:rFonts w:ascii="楷体" w:eastAsia="楷体" w:hAnsi="楷体" w:hint="eastAsia"/>
          <w:color w:val="000000" w:themeColor="text1"/>
        </w:rPr>
        <w:t>预计</w:t>
      </w:r>
      <w:r w:rsidR="00160C84" w:rsidRPr="00660147">
        <w:rPr>
          <w:rFonts w:ascii="楷体" w:eastAsia="楷体" w:hAnsi="楷体" w:hint="eastAsia"/>
          <w:color w:val="000000" w:themeColor="text1"/>
        </w:rPr>
        <w:t>可支撑四年。月之暗面预计按照20亿元</w:t>
      </w:r>
      <w:r w:rsidR="00880501" w:rsidRPr="00660147">
        <w:rPr>
          <w:rFonts w:ascii="楷体" w:eastAsia="楷体" w:hAnsi="楷体" w:hint="eastAsia"/>
          <w:color w:val="000000" w:themeColor="text1"/>
        </w:rPr>
        <w:t>持续进行研发投入，账面现金约100亿，预计可支撑五年。</w:t>
      </w:r>
      <w:proofErr w:type="gramStart"/>
      <w:r w:rsidR="00880501" w:rsidRPr="00660147">
        <w:rPr>
          <w:rFonts w:ascii="楷体" w:eastAsia="楷体" w:hAnsi="楷体" w:hint="eastAsia"/>
          <w:color w:val="000000" w:themeColor="text1"/>
        </w:rPr>
        <w:t>谷歌母</w:t>
      </w:r>
      <w:proofErr w:type="gramEnd"/>
      <w:r w:rsidR="00880501" w:rsidRPr="00660147">
        <w:rPr>
          <w:rFonts w:ascii="楷体" w:eastAsia="楷体" w:hAnsi="楷体" w:hint="eastAsia"/>
          <w:color w:val="000000" w:themeColor="text1"/>
        </w:rPr>
        <w:t>公司Alphabet</w:t>
      </w:r>
      <w:r w:rsidR="002A00D4" w:rsidRPr="00660147">
        <w:rPr>
          <w:rFonts w:ascii="楷体" w:eastAsia="楷体" w:hAnsi="楷体" w:hint="eastAsia"/>
          <w:color w:val="000000" w:themeColor="text1"/>
        </w:rPr>
        <w:t>，</w:t>
      </w:r>
      <w:r w:rsidR="002A00D4" w:rsidRPr="00660147">
        <w:rPr>
          <w:rFonts w:ascii="楷体" w:eastAsia="楷体" w:hAnsi="楷体"/>
          <w:color w:val="000000" w:themeColor="text1"/>
        </w:rPr>
        <w:t>2026年资本支出指引为1750亿至1850亿美元，</w:t>
      </w:r>
      <w:r w:rsidR="002A00D4" w:rsidRPr="00660147">
        <w:rPr>
          <w:rFonts w:ascii="楷体" w:eastAsia="楷体" w:hAnsi="楷体" w:hint="eastAsia"/>
          <w:color w:val="000000" w:themeColor="text1"/>
        </w:rPr>
        <w:t>其中大量</w:t>
      </w:r>
      <w:r w:rsidR="002A00D4" w:rsidRPr="00660147">
        <w:rPr>
          <w:rFonts w:ascii="楷体" w:eastAsia="楷体" w:hAnsi="楷体"/>
          <w:color w:val="000000" w:themeColor="text1"/>
        </w:rPr>
        <w:t>投向Gemini模型、Vertex AI</w:t>
      </w:r>
      <w:r w:rsidR="002A00D4" w:rsidRPr="00660147">
        <w:rPr>
          <w:rFonts w:ascii="楷体" w:eastAsia="楷体" w:hAnsi="楷体" w:hint="eastAsia"/>
          <w:color w:val="000000" w:themeColor="text1"/>
        </w:rPr>
        <w:t>。由此可见，对于一个优秀的大模型企业，敢于投入，善于投入，高速/高性能差地迭代，是不可或缺的重要能力</w:t>
      </w:r>
    </w:p>
    <w:p w14:paraId="637ECDC8" w14:textId="72D1AF59" w:rsidR="002A00D4" w:rsidRPr="00660147" w:rsidRDefault="002A00D4" w:rsidP="000B5284">
      <w:pPr>
        <w:jc w:val="center"/>
        <w:rPr>
          <w:rFonts w:ascii="楷体" w:eastAsia="楷体" w:hAnsi="楷体" w:hint="eastAsia"/>
          <w:color w:val="000000" w:themeColor="text1"/>
        </w:rPr>
      </w:pPr>
      <w:r w:rsidRPr="00660147">
        <w:rPr>
          <w:rFonts w:ascii="楷体" w:eastAsia="楷体" w:hAnsi="楷体" w:hint="eastAsia"/>
          <w:color w:val="000000" w:themeColor="text1"/>
        </w:rPr>
        <w:t>表：</w:t>
      </w:r>
      <w:r w:rsidR="000B5284" w:rsidRPr="00660147">
        <w:rPr>
          <w:rFonts w:ascii="楷体" w:eastAsia="楷体" w:hAnsi="楷体" w:hint="eastAsia"/>
          <w:color w:val="000000" w:themeColor="text1"/>
        </w:rPr>
        <w:t>2025年来主流大模型厂商模型更新情况一览</w:t>
      </w:r>
    </w:p>
    <w:tbl>
      <w:tblPr>
        <w:tblStyle w:val="af2"/>
        <w:tblW w:w="9640" w:type="dxa"/>
        <w:tblInd w:w="-714" w:type="dxa"/>
        <w:tblLook w:val="04A0" w:firstRow="1" w:lastRow="0" w:firstColumn="1" w:lastColumn="0" w:noHBand="0" w:noVBand="1"/>
      </w:tblPr>
      <w:tblGrid>
        <w:gridCol w:w="1309"/>
        <w:gridCol w:w="3795"/>
        <w:gridCol w:w="850"/>
        <w:gridCol w:w="3686"/>
      </w:tblGrid>
      <w:tr w:rsidR="00911C7E" w:rsidRPr="00660147" w14:paraId="5DCE495D" w14:textId="77777777" w:rsidTr="00911C7E">
        <w:trPr>
          <w:trHeight w:val="285"/>
        </w:trPr>
        <w:tc>
          <w:tcPr>
            <w:tcW w:w="1309" w:type="dxa"/>
            <w:noWrap/>
            <w:hideMark/>
          </w:tcPr>
          <w:p w14:paraId="53EAF1B9"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厂商</w:t>
            </w:r>
          </w:p>
        </w:tc>
        <w:tc>
          <w:tcPr>
            <w:tcW w:w="3795" w:type="dxa"/>
            <w:noWrap/>
            <w:hideMark/>
          </w:tcPr>
          <w:p w14:paraId="7748252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2025年至今主要迭代版本</w:t>
            </w:r>
          </w:p>
        </w:tc>
        <w:tc>
          <w:tcPr>
            <w:tcW w:w="850" w:type="dxa"/>
            <w:noWrap/>
            <w:hideMark/>
          </w:tcPr>
          <w:p w14:paraId="25C5B53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版本数量</w:t>
            </w:r>
          </w:p>
        </w:tc>
        <w:tc>
          <w:tcPr>
            <w:tcW w:w="3686" w:type="dxa"/>
            <w:noWrap/>
            <w:hideMark/>
          </w:tcPr>
          <w:p w14:paraId="2CC6B30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关键时间节点</w:t>
            </w:r>
          </w:p>
        </w:tc>
      </w:tr>
      <w:tr w:rsidR="00911C7E" w:rsidRPr="00660147" w14:paraId="54739688" w14:textId="77777777" w:rsidTr="00911C7E">
        <w:trPr>
          <w:trHeight w:val="285"/>
        </w:trPr>
        <w:tc>
          <w:tcPr>
            <w:tcW w:w="1309" w:type="dxa"/>
            <w:noWrap/>
            <w:hideMark/>
          </w:tcPr>
          <w:p w14:paraId="4DE1555E"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OpenAI</w:t>
            </w:r>
          </w:p>
        </w:tc>
        <w:tc>
          <w:tcPr>
            <w:tcW w:w="3795" w:type="dxa"/>
            <w:noWrap/>
            <w:hideMark/>
          </w:tcPr>
          <w:p w14:paraId="5894D628"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o3-mini → GPT-4.5 → o3 / o4-mini → GPT-4.1 / 4.1-mini → o3-pro → GPT-5 → GPT-5.1 → GPT-5.2</w:t>
            </w:r>
          </w:p>
        </w:tc>
        <w:tc>
          <w:tcPr>
            <w:tcW w:w="850" w:type="dxa"/>
            <w:noWrap/>
            <w:hideMark/>
          </w:tcPr>
          <w:p w14:paraId="60E8A2A8"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8版</w:t>
            </w:r>
          </w:p>
        </w:tc>
        <w:tc>
          <w:tcPr>
            <w:tcW w:w="3686" w:type="dxa"/>
            <w:noWrap/>
            <w:hideMark/>
          </w:tcPr>
          <w:p w14:paraId="57B4F6F9" w14:textId="77777777" w:rsidR="00911C7E" w:rsidRPr="00660147" w:rsidRDefault="00911C7E" w:rsidP="00911C7E">
            <w:pPr>
              <w:rPr>
                <w:rFonts w:ascii="楷体" w:eastAsia="楷体" w:hAnsi="楷体"/>
                <w:color w:val="000000" w:themeColor="text1"/>
              </w:rPr>
            </w:pPr>
            <w:r w:rsidRPr="00660147">
              <w:rPr>
                <w:rFonts w:ascii="楷体" w:eastAsia="楷体" w:hAnsi="楷体"/>
                <w:color w:val="000000" w:themeColor="text1"/>
              </w:rPr>
              <w:t>2025.01–2025.12密集发布，2026年初对GPT-5.2进行个性系统更新</w:t>
            </w:r>
            <w:r w:rsidRPr="00660147">
              <w:rPr>
                <w:rFonts w:ascii="Calibri" w:eastAsia="楷体" w:hAnsi="Calibri" w:cs="Calibri"/>
                <w:color w:val="000000" w:themeColor="text1"/>
              </w:rPr>
              <w:t> </w:t>
            </w:r>
          </w:p>
        </w:tc>
      </w:tr>
      <w:tr w:rsidR="00911C7E" w:rsidRPr="00660147" w14:paraId="7E3FE558" w14:textId="77777777" w:rsidTr="00911C7E">
        <w:trPr>
          <w:trHeight w:val="285"/>
        </w:trPr>
        <w:tc>
          <w:tcPr>
            <w:tcW w:w="1309" w:type="dxa"/>
            <w:noWrap/>
            <w:hideMark/>
          </w:tcPr>
          <w:p w14:paraId="7162C4B5"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DeepSeek</w:t>
            </w:r>
          </w:p>
        </w:tc>
        <w:tc>
          <w:tcPr>
            <w:tcW w:w="3795" w:type="dxa"/>
            <w:noWrap/>
            <w:hideMark/>
          </w:tcPr>
          <w:p w14:paraId="752143C5"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R1 → V3-0324 → R1-0528 → V3.1 → V3.1-Terminus → V3.2-Exp → OCR → Math-V2 → V3.2正式版</w:t>
            </w:r>
          </w:p>
        </w:tc>
        <w:tc>
          <w:tcPr>
            <w:tcW w:w="850" w:type="dxa"/>
            <w:noWrap/>
            <w:hideMark/>
          </w:tcPr>
          <w:p w14:paraId="1831CBB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9版</w:t>
            </w:r>
          </w:p>
        </w:tc>
        <w:tc>
          <w:tcPr>
            <w:tcW w:w="3686" w:type="dxa"/>
            <w:noWrap/>
            <w:hideMark/>
          </w:tcPr>
          <w:p w14:paraId="495FE0C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2025年全年保持月均迭代节奏，聚焦架构优化与推理成本下降</w:t>
            </w:r>
            <w:r w:rsidRPr="00660147">
              <w:rPr>
                <w:rFonts w:ascii="Calibri" w:eastAsia="楷体" w:hAnsi="Calibri" w:cs="Calibri"/>
                <w:color w:val="000000" w:themeColor="text1"/>
              </w:rPr>
              <w:t> </w:t>
            </w:r>
          </w:p>
        </w:tc>
      </w:tr>
      <w:tr w:rsidR="00911C7E" w:rsidRPr="00660147" w14:paraId="3B599A01" w14:textId="77777777" w:rsidTr="00911C7E">
        <w:trPr>
          <w:trHeight w:val="285"/>
        </w:trPr>
        <w:tc>
          <w:tcPr>
            <w:tcW w:w="1309" w:type="dxa"/>
            <w:noWrap/>
            <w:hideMark/>
          </w:tcPr>
          <w:p w14:paraId="744E6F1B" w14:textId="77777777" w:rsidR="00911C7E" w:rsidRPr="00660147" w:rsidRDefault="00911C7E">
            <w:pPr>
              <w:rPr>
                <w:rFonts w:ascii="楷体" w:eastAsia="楷体" w:hAnsi="楷体"/>
                <w:color w:val="000000" w:themeColor="text1"/>
              </w:rPr>
            </w:pPr>
            <w:proofErr w:type="spellStart"/>
            <w:r w:rsidRPr="00660147">
              <w:rPr>
                <w:rFonts w:ascii="楷体" w:eastAsia="楷体" w:hAnsi="楷体"/>
                <w:color w:val="000000" w:themeColor="text1"/>
              </w:rPr>
              <w:t>MiniMax</w:t>
            </w:r>
            <w:proofErr w:type="spellEnd"/>
          </w:p>
        </w:tc>
        <w:tc>
          <w:tcPr>
            <w:tcW w:w="3795" w:type="dxa"/>
            <w:noWrap/>
            <w:hideMark/>
          </w:tcPr>
          <w:p w14:paraId="00094EAE"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 xml:space="preserve">Text-01 / VL-01 → Speech-02 → </w:t>
            </w:r>
            <w:r w:rsidRPr="00660147">
              <w:rPr>
                <w:rFonts w:ascii="楷体" w:eastAsia="楷体" w:hAnsi="楷体"/>
                <w:color w:val="000000" w:themeColor="text1"/>
              </w:rPr>
              <w:lastRenderedPageBreak/>
              <w:t>Hailuo-02 → M2 → M2.1 → Music-2.5 → Speech-2.8 → M2.5 → M2.7 → Music2.5+ → Music-2.6</w:t>
            </w:r>
          </w:p>
        </w:tc>
        <w:tc>
          <w:tcPr>
            <w:tcW w:w="850" w:type="dxa"/>
            <w:noWrap/>
            <w:hideMark/>
          </w:tcPr>
          <w:p w14:paraId="001C2409"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lastRenderedPageBreak/>
              <w:t>11版</w:t>
            </w:r>
          </w:p>
        </w:tc>
        <w:tc>
          <w:tcPr>
            <w:tcW w:w="3686" w:type="dxa"/>
            <w:noWrap/>
            <w:hideMark/>
          </w:tcPr>
          <w:p w14:paraId="529F10F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跨文本、语音、视频、音乐多模态</w:t>
            </w:r>
            <w:r w:rsidRPr="00660147">
              <w:rPr>
                <w:rFonts w:ascii="楷体" w:eastAsia="楷体" w:hAnsi="楷体"/>
                <w:color w:val="000000" w:themeColor="text1"/>
              </w:rPr>
              <w:lastRenderedPageBreak/>
              <w:t>全线推进，2026年2月M2.5带动Token消耗量较2025年12月增长超6倍</w:t>
            </w:r>
            <w:r w:rsidRPr="00660147">
              <w:rPr>
                <w:rFonts w:ascii="Calibri" w:eastAsia="楷体" w:hAnsi="Calibri" w:cs="Calibri"/>
                <w:color w:val="000000" w:themeColor="text1"/>
              </w:rPr>
              <w:t> </w:t>
            </w:r>
          </w:p>
        </w:tc>
      </w:tr>
      <w:tr w:rsidR="00911C7E" w:rsidRPr="00660147" w14:paraId="5A60DE04" w14:textId="77777777" w:rsidTr="00911C7E">
        <w:trPr>
          <w:trHeight w:val="285"/>
        </w:trPr>
        <w:tc>
          <w:tcPr>
            <w:tcW w:w="1309" w:type="dxa"/>
            <w:noWrap/>
            <w:hideMark/>
          </w:tcPr>
          <w:p w14:paraId="7775DC78"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lastRenderedPageBreak/>
              <w:t>Anthropic</w:t>
            </w:r>
          </w:p>
        </w:tc>
        <w:tc>
          <w:tcPr>
            <w:tcW w:w="3795" w:type="dxa"/>
            <w:noWrap/>
            <w:hideMark/>
          </w:tcPr>
          <w:p w14:paraId="7F97EC10"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Claude 3.7 Sonnet → Claude Sonnet 4.5 → Claude Haiku 4.5 → Claude Opus 4.5</w:t>
            </w:r>
          </w:p>
        </w:tc>
        <w:tc>
          <w:tcPr>
            <w:tcW w:w="850" w:type="dxa"/>
            <w:noWrap/>
            <w:hideMark/>
          </w:tcPr>
          <w:p w14:paraId="0248276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4版</w:t>
            </w:r>
          </w:p>
        </w:tc>
        <w:tc>
          <w:tcPr>
            <w:tcW w:w="3686" w:type="dxa"/>
            <w:noWrap/>
            <w:hideMark/>
          </w:tcPr>
          <w:p w14:paraId="251CBBE4"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2025.02首发3.7，Q4密集发布4.5系列三档模型</w:t>
            </w:r>
            <w:r w:rsidRPr="00660147">
              <w:rPr>
                <w:rFonts w:ascii="Calibri" w:eastAsia="楷体" w:hAnsi="Calibri" w:cs="Calibri"/>
                <w:color w:val="000000" w:themeColor="text1"/>
              </w:rPr>
              <w:t> </w:t>
            </w:r>
          </w:p>
        </w:tc>
      </w:tr>
      <w:tr w:rsidR="00911C7E" w:rsidRPr="00660147" w14:paraId="7CB9DCA1" w14:textId="77777777" w:rsidTr="00911C7E">
        <w:trPr>
          <w:trHeight w:val="285"/>
        </w:trPr>
        <w:tc>
          <w:tcPr>
            <w:tcW w:w="1309" w:type="dxa"/>
            <w:noWrap/>
            <w:hideMark/>
          </w:tcPr>
          <w:p w14:paraId="5132152C"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智谱 / GLM</w:t>
            </w:r>
          </w:p>
        </w:tc>
        <w:tc>
          <w:tcPr>
            <w:tcW w:w="3795" w:type="dxa"/>
            <w:noWrap/>
            <w:hideMark/>
          </w:tcPr>
          <w:p w14:paraId="09630B09"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GLM-4.5 → GLM-4.7 → GLM-5</w:t>
            </w:r>
          </w:p>
        </w:tc>
        <w:tc>
          <w:tcPr>
            <w:tcW w:w="850" w:type="dxa"/>
            <w:noWrap/>
            <w:hideMark/>
          </w:tcPr>
          <w:p w14:paraId="37AB07C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3版</w:t>
            </w:r>
          </w:p>
        </w:tc>
        <w:tc>
          <w:tcPr>
            <w:tcW w:w="3686" w:type="dxa"/>
            <w:noWrap/>
            <w:hideMark/>
          </w:tcPr>
          <w:p w14:paraId="375616E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2025.07至2026.02七个月内三代旗舰，定位从ARC统一基座演进至Agentic Engineering</w:t>
            </w:r>
            <w:r w:rsidRPr="00660147">
              <w:rPr>
                <w:rFonts w:ascii="Calibri" w:eastAsia="楷体" w:hAnsi="Calibri" w:cs="Calibri"/>
                <w:color w:val="000000" w:themeColor="text1"/>
              </w:rPr>
              <w:t> </w:t>
            </w:r>
          </w:p>
        </w:tc>
      </w:tr>
      <w:tr w:rsidR="00911C7E" w:rsidRPr="00660147" w14:paraId="24DD6492" w14:textId="77777777" w:rsidTr="00911C7E">
        <w:trPr>
          <w:trHeight w:val="285"/>
        </w:trPr>
        <w:tc>
          <w:tcPr>
            <w:tcW w:w="1309" w:type="dxa"/>
            <w:noWrap/>
            <w:hideMark/>
          </w:tcPr>
          <w:p w14:paraId="01521397"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Google / Gemini</w:t>
            </w:r>
          </w:p>
        </w:tc>
        <w:tc>
          <w:tcPr>
            <w:tcW w:w="3795" w:type="dxa"/>
            <w:noWrap/>
            <w:hideMark/>
          </w:tcPr>
          <w:p w14:paraId="44C6282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Gemini 2.5 Pro → Gemini 2.5 Flash</w:t>
            </w:r>
          </w:p>
        </w:tc>
        <w:tc>
          <w:tcPr>
            <w:tcW w:w="850" w:type="dxa"/>
            <w:noWrap/>
            <w:hideMark/>
          </w:tcPr>
          <w:p w14:paraId="00FF1EAA"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2版</w:t>
            </w:r>
          </w:p>
        </w:tc>
        <w:tc>
          <w:tcPr>
            <w:tcW w:w="3686" w:type="dxa"/>
            <w:noWrap/>
            <w:hideMark/>
          </w:tcPr>
          <w:p w14:paraId="56480B11"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2025年中发布2.5系列，Pro版GA时间为2025.06.17</w:t>
            </w:r>
            <w:r w:rsidRPr="00660147">
              <w:rPr>
                <w:rFonts w:ascii="Calibri" w:eastAsia="楷体" w:hAnsi="Calibri" w:cs="Calibri"/>
                <w:color w:val="000000" w:themeColor="text1"/>
              </w:rPr>
              <w:t> </w:t>
            </w:r>
          </w:p>
        </w:tc>
      </w:tr>
      <w:tr w:rsidR="00911C7E" w:rsidRPr="00660147" w14:paraId="04F48FBB" w14:textId="77777777" w:rsidTr="00911C7E">
        <w:trPr>
          <w:trHeight w:val="285"/>
        </w:trPr>
        <w:tc>
          <w:tcPr>
            <w:tcW w:w="1309" w:type="dxa"/>
            <w:noWrap/>
            <w:hideMark/>
          </w:tcPr>
          <w:p w14:paraId="5C67E85D"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Kimi / 月之暗面</w:t>
            </w:r>
          </w:p>
        </w:tc>
        <w:tc>
          <w:tcPr>
            <w:tcW w:w="3795" w:type="dxa"/>
            <w:noWrap/>
            <w:hideMark/>
          </w:tcPr>
          <w:p w14:paraId="194A21E3"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 xml:space="preserve">Kimi 1.5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2.0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2.5 → </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2.6</w:t>
            </w:r>
          </w:p>
        </w:tc>
        <w:tc>
          <w:tcPr>
            <w:tcW w:w="850" w:type="dxa"/>
            <w:noWrap/>
            <w:hideMark/>
          </w:tcPr>
          <w:p w14:paraId="4C02BCBC"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4版</w:t>
            </w:r>
          </w:p>
        </w:tc>
        <w:tc>
          <w:tcPr>
            <w:tcW w:w="3686" w:type="dxa"/>
            <w:noWrap/>
            <w:hideMark/>
          </w:tcPr>
          <w:p w14:paraId="200F45C6" w14:textId="77777777" w:rsidR="00911C7E" w:rsidRPr="00660147" w:rsidRDefault="00911C7E">
            <w:pPr>
              <w:rPr>
                <w:rFonts w:ascii="楷体" w:eastAsia="楷体" w:hAnsi="楷体"/>
                <w:color w:val="000000" w:themeColor="text1"/>
              </w:rPr>
            </w:pPr>
            <w:r w:rsidRPr="00660147">
              <w:rPr>
                <w:rFonts w:ascii="楷体" w:eastAsia="楷体" w:hAnsi="楷体"/>
                <w:color w:val="000000" w:themeColor="text1"/>
              </w:rPr>
              <w:t>2025.01 1.x系列收官，到2026年初，发布</w:t>
            </w:r>
            <w:proofErr w:type="spellStart"/>
            <w:r w:rsidRPr="00660147">
              <w:rPr>
                <w:rFonts w:ascii="楷体" w:eastAsia="楷体" w:hAnsi="楷体"/>
                <w:color w:val="000000" w:themeColor="text1"/>
              </w:rPr>
              <w:t>kimi</w:t>
            </w:r>
            <w:proofErr w:type="spellEnd"/>
            <w:r w:rsidRPr="00660147">
              <w:rPr>
                <w:rFonts w:ascii="楷体" w:eastAsia="楷体" w:hAnsi="楷体"/>
                <w:color w:val="000000" w:themeColor="text1"/>
              </w:rPr>
              <w:t xml:space="preserve"> 2.6</w:t>
            </w:r>
          </w:p>
        </w:tc>
      </w:tr>
    </w:tbl>
    <w:p w14:paraId="62577DFF" w14:textId="4026FD92" w:rsidR="000B5284" w:rsidRPr="00660147" w:rsidRDefault="000B5284" w:rsidP="007C2934">
      <w:pPr>
        <w:rPr>
          <w:rFonts w:ascii="楷体" w:eastAsia="楷体" w:hAnsi="楷体"/>
          <w:color w:val="000000" w:themeColor="text1"/>
        </w:rPr>
      </w:pPr>
      <w:r w:rsidRPr="00660147">
        <w:rPr>
          <w:rFonts w:ascii="楷体" w:eastAsia="楷体" w:hAnsi="楷体" w:hint="eastAsia"/>
          <w:color w:val="000000" w:themeColor="text1"/>
        </w:rPr>
        <w:t>数据来源：网络公开</w:t>
      </w:r>
    </w:p>
    <w:p w14:paraId="7C573D95" w14:textId="7140E9D5"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核心能力指标</w:t>
      </w:r>
      <w:r w:rsidR="002A00D4" w:rsidRPr="00660147">
        <w:rPr>
          <w:rFonts w:ascii="楷体" w:eastAsia="楷体" w:hAnsi="楷体" w:hint="eastAsia"/>
          <w:color w:val="000000" w:themeColor="text1"/>
        </w:rPr>
        <w:t>的追踪上，要注意</w:t>
      </w:r>
      <w:r w:rsidRPr="00660147">
        <w:rPr>
          <w:rFonts w:ascii="楷体" w:eastAsia="楷体" w:hAnsi="楷体" w:hint="eastAsia"/>
          <w:color w:val="000000" w:themeColor="text1"/>
        </w:rPr>
        <w:t>技术能力的先进性具体体现在上下文长度、多模态任务支持数、可调用工具数及任务执行可靠性等方面，这些直接决定了模型处理复杂场景的上限。</w:t>
      </w:r>
    </w:p>
    <w:p w14:paraId="39E2735E" w14:textId="6A0AE6E6" w:rsidR="007C2934" w:rsidRPr="00157396" w:rsidRDefault="00914D6F" w:rsidP="00914D6F">
      <w:pPr>
        <w:pStyle w:val="3"/>
        <w:rPr>
          <w:rFonts w:ascii="楷体" w:eastAsia="楷体" w:hAnsi="楷体" w:hint="eastAsia"/>
          <w:color w:val="000000" w:themeColor="text1"/>
          <w:sz w:val="30"/>
          <w:szCs w:val="30"/>
        </w:rPr>
      </w:pPr>
      <w:bookmarkStart w:id="31" w:name="_Toc228374881"/>
      <w:r w:rsidRPr="00157396">
        <w:rPr>
          <w:rFonts w:ascii="楷体" w:eastAsia="楷体" w:hAnsi="楷体" w:hint="eastAsia"/>
          <w:color w:val="000000" w:themeColor="text1"/>
          <w:sz w:val="30"/>
          <w:szCs w:val="30"/>
        </w:rPr>
        <w:t>3.3.3</w:t>
      </w:r>
      <w:r w:rsidR="007C2934" w:rsidRPr="00157396">
        <w:rPr>
          <w:rFonts w:ascii="楷体" w:eastAsia="楷体" w:hAnsi="楷体" w:hint="eastAsia"/>
          <w:color w:val="000000" w:themeColor="text1"/>
          <w:sz w:val="30"/>
          <w:szCs w:val="30"/>
        </w:rPr>
        <w:t>行业赋能能力：从技术工具到业务流程的重构</w:t>
      </w:r>
      <w:bookmarkEnd w:id="31"/>
    </w:p>
    <w:p w14:paraId="27EC5C22" w14:textId="77777777" w:rsidR="001F4CD4" w:rsidRPr="00660147" w:rsidRDefault="007C2934" w:rsidP="00364B87">
      <w:pPr>
        <w:rPr>
          <w:rFonts w:ascii="楷体" w:eastAsia="楷体" w:hAnsi="楷体"/>
          <w:color w:val="000000" w:themeColor="text1"/>
        </w:rPr>
      </w:pPr>
      <w:r w:rsidRPr="00660147">
        <w:rPr>
          <w:rFonts w:ascii="楷体" w:eastAsia="楷体" w:hAnsi="楷体" w:hint="eastAsia"/>
          <w:color w:val="000000" w:themeColor="text1"/>
        </w:rPr>
        <w:t>行业赋能能力直接衡量大模型技术从实验室走向产业实践的深度与实效，是检验其商业价值的核心维度。这一过程正经历从技术工具的单点应用向与行业知识、业务流程深度重构的根本性转变</w:t>
      </w:r>
      <w:r w:rsidR="00B82F03" w:rsidRPr="00660147">
        <w:rPr>
          <w:rFonts w:ascii="楷体" w:eastAsia="楷体" w:hAnsi="楷体" w:hint="eastAsia"/>
          <w:color w:val="000000" w:themeColor="text1"/>
        </w:rPr>
        <w:t>，并且已经积累了一些成功案例</w:t>
      </w:r>
      <w:r w:rsidR="001F4CD4" w:rsidRPr="00660147">
        <w:rPr>
          <w:rFonts w:ascii="楷体" w:eastAsia="楷体" w:hAnsi="楷体" w:hint="eastAsia"/>
          <w:color w:val="000000" w:themeColor="text1"/>
        </w:rPr>
        <w:t>：</w:t>
      </w:r>
    </w:p>
    <w:p w14:paraId="6F87643F" w14:textId="06989DDA" w:rsidR="00364B87" w:rsidRPr="00660147" w:rsidRDefault="00364B87" w:rsidP="00364B87">
      <w:pPr>
        <w:rPr>
          <w:rFonts w:ascii="楷体" w:eastAsia="楷体" w:hAnsi="楷体" w:hint="eastAsia"/>
          <w:color w:val="000000" w:themeColor="text1"/>
        </w:rPr>
      </w:pPr>
      <w:r w:rsidRPr="00660147">
        <w:rPr>
          <w:rFonts w:ascii="楷体" w:eastAsia="楷体" w:hAnsi="楷体" w:hint="eastAsia"/>
          <w:color w:val="000000" w:themeColor="text1"/>
        </w:rPr>
        <w:t>在国内，</w:t>
      </w:r>
      <w:r w:rsidRPr="00660147">
        <w:rPr>
          <w:rFonts w:ascii="楷体" w:eastAsia="楷体" w:hAnsi="楷体"/>
          <w:color w:val="000000" w:themeColor="text1"/>
        </w:rPr>
        <w:t>美的集团通过AI面试系统将单厂单日面试量从人工处理的20人提升至数百人，显著缓解用工高峰压力。联想集团推出的制造领域首个智能体已落地全球34座工厂，实现智能计划排产、AI视觉防错与设备预测性维护的全链路覆盖。葛洲坝三峡建设公司自</w:t>
      </w:r>
      <w:proofErr w:type="gramStart"/>
      <w:r w:rsidRPr="00660147">
        <w:rPr>
          <w:rFonts w:ascii="楷体" w:eastAsia="楷体" w:hAnsi="楷体"/>
          <w:color w:val="000000" w:themeColor="text1"/>
        </w:rPr>
        <w:t>研</w:t>
      </w:r>
      <w:proofErr w:type="gramEnd"/>
      <w:r w:rsidRPr="00660147">
        <w:rPr>
          <w:rFonts w:ascii="楷体" w:eastAsia="楷体" w:hAnsi="楷体"/>
          <w:color w:val="000000" w:themeColor="text1"/>
        </w:rPr>
        <w:t>财务智能体聚焦报销场景，使审核效率较传统模式跃升500%，单单从15分钟缩短至3分钟</w:t>
      </w:r>
      <w:r w:rsidRPr="00660147">
        <w:rPr>
          <w:rFonts w:ascii="楷体" w:eastAsia="楷体" w:hAnsi="楷体" w:hint="eastAsia"/>
          <w:color w:val="000000" w:themeColor="text1"/>
        </w:rPr>
        <w:t>。在海外</w:t>
      </w:r>
      <w:r w:rsidR="00B82F03" w:rsidRPr="00660147">
        <w:rPr>
          <w:rFonts w:ascii="楷体" w:eastAsia="楷体" w:hAnsi="楷体" w:hint="eastAsia"/>
          <w:color w:val="000000" w:themeColor="text1"/>
        </w:rPr>
        <w:t>，</w:t>
      </w:r>
      <w:r w:rsidRPr="00660147">
        <w:rPr>
          <w:rFonts w:ascii="楷体" w:eastAsia="楷体" w:hAnsi="楷体"/>
          <w:color w:val="000000" w:themeColor="text1"/>
        </w:rPr>
        <w:t>波士顿咨询集团（BCG）内部全面部署生成式AI工具后，针对750名员工的受控实验显示，重复性简单任务效率提升达30%—40%；AI辅助的访谈转录与报告生成将原本两周的工作流压缩至数天</w:t>
      </w:r>
      <w:r w:rsidRPr="00660147">
        <w:rPr>
          <w:rFonts w:ascii="楷体" w:eastAsia="楷体" w:hAnsi="楷体" w:hint="eastAsia"/>
          <w:color w:val="000000" w:themeColor="text1"/>
        </w:rPr>
        <w:t>。</w:t>
      </w:r>
    </w:p>
    <w:p w14:paraId="64D2906B" w14:textId="5CF7B333"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竞争力</w:t>
      </w:r>
      <w:r w:rsidR="008E1DED" w:rsidRPr="00660147">
        <w:rPr>
          <w:rFonts w:ascii="楷体" w:eastAsia="楷体" w:hAnsi="楷体" w:hint="eastAsia"/>
          <w:color w:val="000000" w:themeColor="text1"/>
        </w:rPr>
        <w:t>组要</w:t>
      </w:r>
      <w:r w:rsidRPr="00660147">
        <w:rPr>
          <w:rFonts w:ascii="楷体" w:eastAsia="楷体" w:hAnsi="楷体" w:hint="eastAsia"/>
          <w:color w:val="000000" w:themeColor="text1"/>
        </w:rPr>
        <w:t>体现在解决方案的深度与广度上。企业已发布的行业解决方案总数反映其技术应用的覆盖范围，而解决方案是否深度集成行业知识库、工作流和业务逻辑，则决定了其解决实际问题的精准度与有效性。其次，应用效果的量化验证成为最具说服力的竞争要素，典型客户案例中通过效率提升百分比、成本降低率等具体数据，直观展现技术带来的实际价值。最后，持续的用户满意度是解决方案成熟度与客户忠诚度的体现。在金融、政务、工业等垂直领域，能够提供深度融合的端到</w:t>
      </w:r>
      <w:proofErr w:type="gramStart"/>
      <w:r w:rsidRPr="00660147">
        <w:rPr>
          <w:rFonts w:ascii="楷体" w:eastAsia="楷体" w:hAnsi="楷体" w:hint="eastAsia"/>
          <w:color w:val="000000" w:themeColor="text1"/>
        </w:rPr>
        <w:t>端解决</w:t>
      </w:r>
      <w:proofErr w:type="gramEnd"/>
      <w:r w:rsidRPr="00660147">
        <w:rPr>
          <w:rFonts w:ascii="楷体" w:eastAsia="楷体" w:hAnsi="楷体" w:hint="eastAsia"/>
          <w:color w:val="000000" w:themeColor="text1"/>
        </w:rPr>
        <w:t>方案并展现出显著降本增效成果的企业，正在构筑起差异化竞争力。</w:t>
      </w:r>
    </w:p>
    <w:p w14:paraId="7CFB54E0" w14:textId="6CCDE79F" w:rsidR="007C2934" w:rsidRPr="00157396" w:rsidRDefault="00914D6F" w:rsidP="00914D6F">
      <w:pPr>
        <w:pStyle w:val="3"/>
        <w:rPr>
          <w:rFonts w:ascii="楷体" w:eastAsia="楷体" w:hAnsi="楷体" w:hint="eastAsia"/>
          <w:color w:val="000000" w:themeColor="text1"/>
          <w:sz w:val="30"/>
          <w:szCs w:val="30"/>
        </w:rPr>
      </w:pPr>
      <w:bookmarkStart w:id="32" w:name="_Toc228374882"/>
      <w:r w:rsidRPr="00157396">
        <w:rPr>
          <w:rFonts w:ascii="楷体" w:eastAsia="楷体" w:hAnsi="楷体" w:hint="eastAsia"/>
          <w:color w:val="000000" w:themeColor="text1"/>
          <w:sz w:val="30"/>
          <w:szCs w:val="30"/>
        </w:rPr>
        <w:lastRenderedPageBreak/>
        <w:t>3.3.4</w:t>
      </w:r>
      <w:r w:rsidR="007C2934" w:rsidRPr="00157396">
        <w:rPr>
          <w:rFonts w:ascii="楷体" w:eastAsia="楷体" w:hAnsi="楷体" w:hint="eastAsia"/>
          <w:color w:val="000000" w:themeColor="text1"/>
          <w:sz w:val="30"/>
          <w:szCs w:val="30"/>
        </w:rPr>
        <w:t>商业变现能力：从探索期到规模化变现的跨越</w:t>
      </w:r>
      <w:bookmarkEnd w:id="32"/>
    </w:p>
    <w:p w14:paraId="3CB65A11" w14:textId="3EAE55D3"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商业变现能力是将技术投资转化为可持续增长的动力源泉。2024-2025年，中国大模型行业整体从商业模式探索期迈入初步的规模化变现阶段。</w:t>
      </w:r>
    </w:p>
    <w:p w14:paraId="3AAA055C" w14:textId="77777777"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市场占有率与模式升级：市场占有率通过API调用付费金额这一硬指标得以体现。然而，单纯的API调用模式面临</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高和价格战压缩利润的挑战。因此，商业模式转向高附加值的解决方案与模型授权成为趋势，这直接体现在年度经常性收入（ARR） 和企业级客户平均合同金额（ACV） 的提升上。</w:t>
      </w:r>
    </w:p>
    <w:p w14:paraId="279C6354" w14:textId="6A5E3C71"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政企市场的主导地位：政企市场已成为变现主阵地。2024年全年，可统计的有931家</w:t>
      </w:r>
      <w:proofErr w:type="gramStart"/>
      <w:r w:rsidRPr="00660147">
        <w:rPr>
          <w:rFonts w:ascii="楷体" w:eastAsia="楷体" w:hAnsi="楷体" w:hint="eastAsia"/>
          <w:color w:val="000000" w:themeColor="text1"/>
        </w:rPr>
        <w:t>央</w:t>
      </w:r>
      <w:proofErr w:type="gramEnd"/>
      <w:r w:rsidRPr="00660147">
        <w:rPr>
          <w:rFonts w:ascii="楷体" w:eastAsia="楷体" w:hAnsi="楷体" w:hint="eastAsia"/>
          <w:color w:val="000000" w:themeColor="text1"/>
        </w:rPr>
        <w:t>国企开展大模型招标，数量占比为61.25%，其中551个披露金额的项目总额约32.2亿元，占整体市场的49.8%。这类项目金额大、周期长，对企业的品牌公信力、服务能力和安全合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要求极高。因此，在政企市场斩获重大订单的能力，是衡量企业商业化落地实力的关键标尺。</w:t>
      </w:r>
    </w:p>
    <w:p w14:paraId="359B5D3E" w14:textId="04089D28" w:rsidR="007C2934" w:rsidRPr="00157396" w:rsidRDefault="00914D6F" w:rsidP="00914D6F">
      <w:pPr>
        <w:pStyle w:val="3"/>
        <w:rPr>
          <w:rFonts w:ascii="楷体" w:eastAsia="楷体" w:hAnsi="楷体" w:hint="eastAsia"/>
          <w:color w:val="000000" w:themeColor="text1"/>
          <w:sz w:val="30"/>
          <w:szCs w:val="30"/>
        </w:rPr>
      </w:pPr>
      <w:bookmarkStart w:id="33" w:name="_Toc228374883"/>
      <w:r w:rsidRPr="00157396">
        <w:rPr>
          <w:rFonts w:ascii="楷体" w:eastAsia="楷体" w:hAnsi="楷体" w:hint="eastAsia"/>
          <w:color w:val="000000" w:themeColor="text1"/>
          <w:sz w:val="30"/>
          <w:szCs w:val="30"/>
        </w:rPr>
        <w:t>3.3.5</w:t>
      </w:r>
      <w:r w:rsidR="007C2934" w:rsidRPr="00157396">
        <w:rPr>
          <w:rFonts w:ascii="楷体" w:eastAsia="楷体" w:hAnsi="楷体" w:hint="eastAsia"/>
          <w:color w:val="000000" w:themeColor="text1"/>
          <w:sz w:val="30"/>
          <w:szCs w:val="30"/>
        </w:rPr>
        <w:t>创新拓展能力：抢占未来生态制高点的前瞻布局</w:t>
      </w:r>
      <w:bookmarkEnd w:id="33"/>
    </w:p>
    <w:p w14:paraId="64EA0B15" w14:textId="6342A889"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创新拓展能力直接关乎企业在下一代产业变革中的生态位争夺，体现了其面向未来的战略布局与前瞻视野。</w:t>
      </w:r>
    </w:p>
    <w:p w14:paraId="01B80D02" w14:textId="77777777" w:rsidR="007C2934"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软硬一体整合：大模型正加速与各类终端设备深度融合，其开放平台累计覆盖的终端设备数量成为衡量生态延展广度与未来影响力的关键先行指标。</w:t>
      </w:r>
    </w:p>
    <w:p w14:paraId="025F2BDA" w14:textId="4B0E2FE2" w:rsidR="00152E11" w:rsidRPr="00660147" w:rsidRDefault="007C2934" w:rsidP="007C2934">
      <w:pPr>
        <w:rPr>
          <w:rFonts w:ascii="楷体" w:eastAsia="楷体" w:hAnsi="楷体" w:hint="eastAsia"/>
          <w:color w:val="000000" w:themeColor="text1"/>
        </w:rPr>
      </w:pPr>
      <w:r w:rsidRPr="00660147">
        <w:rPr>
          <w:rFonts w:ascii="楷体" w:eastAsia="楷体" w:hAnsi="楷体" w:hint="eastAsia"/>
          <w:color w:val="000000" w:themeColor="text1"/>
        </w:rPr>
        <w:t>前沿领域探索：</w:t>
      </w:r>
      <w:proofErr w:type="gramStart"/>
      <w:r w:rsidRPr="00660147">
        <w:rPr>
          <w:rFonts w:ascii="楷体" w:eastAsia="楷体" w:hAnsi="楷体" w:hint="eastAsia"/>
          <w:color w:val="000000" w:themeColor="text1"/>
        </w:rPr>
        <w:t>具身智能</w:t>
      </w:r>
      <w:proofErr w:type="gramEnd"/>
      <w:r w:rsidRPr="00660147">
        <w:rPr>
          <w:rFonts w:ascii="楷体" w:eastAsia="楷体" w:hAnsi="楷体" w:hint="eastAsia"/>
          <w:color w:val="000000" w:themeColor="text1"/>
        </w:rPr>
        <w:t>作为公认的万亿级蓝海市场，吸引了战略性投入。其中，机器人/</w:t>
      </w:r>
      <w:proofErr w:type="gramStart"/>
      <w:r w:rsidRPr="00660147">
        <w:rPr>
          <w:rFonts w:ascii="楷体" w:eastAsia="楷体" w:hAnsi="楷体" w:hint="eastAsia"/>
          <w:color w:val="000000" w:themeColor="text1"/>
        </w:rPr>
        <w:t>具身大</w:t>
      </w:r>
      <w:proofErr w:type="gramEnd"/>
      <w:r w:rsidRPr="00660147">
        <w:rPr>
          <w:rFonts w:ascii="楷体" w:eastAsia="楷体" w:hAnsi="楷体" w:hint="eastAsia"/>
          <w:color w:val="000000" w:themeColor="text1"/>
        </w:rPr>
        <w:t>模型作为实现智能体自主决策的“中枢大脑”已成为竞争焦点。这一探索的强度，通过企业的年度研发投入总额以及在相关领域的专利积累和行业标准制定参与度得以体现。例如，</w:t>
      </w:r>
      <w:proofErr w:type="gramStart"/>
      <w:r w:rsidRPr="00660147">
        <w:rPr>
          <w:rFonts w:ascii="楷体" w:eastAsia="楷体" w:hAnsi="楷体" w:hint="eastAsia"/>
          <w:color w:val="000000" w:themeColor="text1"/>
        </w:rPr>
        <w:t>科大讯飞已赋能</w:t>
      </w:r>
      <w:proofErr w:type="gramEnd"/>
      <w:r w:rsidRPr="00660147">
        <w:rPr>
          <w:rFonts w:ascii="楷体" w:eastAsia="楷体" w:hAnsi="楷体" w:hint="eastAsia"/>
          <w:color w:val="000000" w:themeColor="text1"/>
        </w:rPr>
        <w:t>超过500家机器人企业，在机器人语音交互市占率领先，并作为起草单位参与制定《人形机器人语音交互技术规范》，展现了前瞻布局与产业影响力。</w:t>
      </w:r>
    </w:p>
    <w:p w14:paraId="587865CD" w14:textId="2941D96D" w:rsidR="0056725F" w:rsidRPr="00660147" w:rsidRDefault="00914D6F" w:rsidP="0056725F">
      <w:pPr>
        <w:pStyle w:val="1"/>
        <w:rPr>
          <w:rFonts w:ascii="楷体" w:eastAsia="楷体" w:hAnsi="楷体" w:hint="eastAsia"/>
          <w:color w:val="000000" w:themeColor="text1"/>
          <w:sz w:val="36"/>
          <w:szCs w:val="36"/>
        </w:rPr>
      </w:pPr>
      <w:bookmarkStart w:id="34" w:name="_Toc228374884"/>
      <w:r w:rsidRPr="00660147">
        <w:rPr>
          <w:rFonts w:ascii="楷体" w:eastAsia="楷体" w:hAnsi="楷体" w:hint="eastAsia"/>
          <w:color w:val="000000" w:themeColor="text1"/>
          <w:sz w:val="36"/>
          <w:szCs w:val="36"/>
        </w:rPr>
        <w:t>4</w:t>
      </w:r>
      <w:r w:rsidR="00B23F1D" w:rsidRPr="00660147">
        <w:rPr>
          <w:rFonts w:ascii="楷体" w:eastAsia="楷体" w:hAnsi="楷体" w:hint="eastAsia"/>
          <w:color w:val="000000" w:themeColor="text1"/>
          <w:sz w:val="36"/>
          <w:szCs w:val="36"/>
        </w:rPr>
        <w:t>.</w:t>
      </w:r>
      <w:r w:rsidR="0056725F" w:rsidRPr="00660147">
        <w:rPr>
          <w:rFonts w:ascii="楷体" w:eastAsia="楷体" w:hAnsi="楷体" w:hint="eastAsia"/>
          <w:color w:val="000000" w:themeColor="text1"/>
          <w:sz w:val="36"/>
          <w:szCs w:val="36"/>
        </w:rPr>
        <w:t>未来趋势与展望</w:t>
      </w:r>
      <w:bookmarkEnd w:id="34"/>
    </w:p>
    <w:p w14:paraId="6224EA46" w14:textId="6CFE6C06" w:rsidR="0056725F" w:rsidRPr="00157396" w:rsidRDefault="00914D6F" w:rsidP="00B358D3">
      <w:pPr>
        <w:pStyle w:val="2"/>
        <w:rPr>
          <w:rFonts w:ascii="楷体" w:eastAsia="楷体" w:hAnsi="楷体" w:hint="eastAsia"/>
          <w:color w:val="000000" w:themeColor="text1"/>
          <w:sz w:val="32"/>
          <w:szCs w:val="32"/>
        </w:rPr>
      </w:pPr>
      <w:bookmarkStart w:id="35" w:name="_Toc228374885"/>
      <w:r w:rsidRPr="00157396">
        <w:rPr>
          <w:rFonts w:ascii="楷体" w:eastAsia="楷体" w:hAnsi="楷体" w:hint="eastAsia"/>
          <w:color w:val="000000" w:themeColor="text1"/>
          <w:sz w:val="32"/>
          <w:szCs w:val="32"/>
        </w:rPr>
        <w:t>4.1</w:t>
      </w:r>
      <w:r w:rsidR="0056725F" w:rsidRPr="00157396">
        <w:rPr>
          <w:rFonts w:ascii="楷体" w:eastAsia="楷体" w:hAnsi="楷体" w:hint="eastAsia"/>
          <w:color w:val="000000" w:themeColor="text1"/>
          <w:sz w:val="32"/>
          <w:szCs w:val="32"/>
        </w:rPr>
        <w:t>技术趋势</w:t>
      </w:r>
      <w:bookmarkEnd w:id="35"/>
    </w:p>
    <w:p w14:paraId="3B9EBE5A" w14:textId="56AD42CB" w:rsidR="00621C0E" w:rsidRPr="00157396" w:rsidRDefault="005C5417" w:rsidP="005C5417">
      <w:pPr>
        <w:pStyle w:val="3"/>
        <w:rPr>
          <w:rFonts w:ascii="楷体" w:eastAsia="楷体" w:hAnsi="楷体" w:hint="eastAsia"/>
          <w:color w:val="000000" w:themeColor="text1"/>
          <w:sz w:val="30"/>
          <w:szCs w:val="30"/>
        </w:rPr>
      </w:pPr>
      <w:bookmarkStart w:id="36" w:name="_Toc228374886"/>
      <w:r w:rsidRPr="00157396">
        <w:rPr>
          <w:rFonts w:ascii="楷体" w:eastAsia="楷体" w:hAnsi="楷体" w:hint="eastAsia"/>
          <w:color w:val="000000" w:themeColor="text1"/>
          <w:sz w:val="30"/>
          <w:szCs w:val="30"/>
        </w:rPr>
        <w:t xml:space="preserve">4.1.1 </w:t>
      </w:r>
      <w:r w:rsidR="007C2934" w:rsidRPr="00157396">
        <w:rPr>
          <w:rFonts w:ascii="楷体" w:eastAsia="楷体" w:hAnsi="楷体" w:hint="eastAsia"/>
          <w:color w:val="000000" w:themeColor="text1"/>
          <w:sz w:val="30"/>
          <w:szCs w:val="30"/>
        </w:rPr>
        <w:t>应用模式</w:t>
      </w:r>
      <w:r w:rsidR="00621C0E" w:rsidRPr="00157396">
        <w:rPr>
          <w:rFonts w:ascii="楷体" w:eastAsia="楷体" w:hAnsi="楷体" w:hint="eastAsia"/>
          <w:color w:val="000000" w:themeColor="text1"/>
          <w:sz w:val="30"/>
          <w:szCs w:val="30"/>
        </w:rPr>
        <w:t>：Agent崛起拉动</w:t>
      </w:r>
      <w:r w:rsidR="004E59A8" w:rsidRPr="00157396">
        <w:rPr>
          <w:rFonts w:ascii="楷体" w:eastAsia="楷体" w:hAnsi="楷体" w:hint="eastAsia"/>
          <w:color w:val="000000" w:themeColor="text1"/>
          <w:sz w:val="30"/>
          <w:szCs w:val="30"/>
        </w:rPr>
        <w:t>需求增长</w:t>
      </w:r>
      <w:bookmarkEnd w:id="36"/>
      <w:r w:rsidR="0098006A" w:rsidRPr="00157396">
        <w:rPr>
          <w:rFonts w:ascii="楷体" w:eastAsia="楷体" w:hAnsi="楷体" w:hint="eastAsia"/>
          <w:color w:val="000000" w:themeColor="text1"/>
          <w:sz w:val="30"/>
          <w:szCs w:val="30"/>
        </w:rPr>
        <w:t xml:space="preserve"> </w:t>
      </w:r>
    </w:p>
    <w:p w14:paraId="2C07B242" w14:textId="4DD9E7CF" w:rsidR="00621C0E" w:rsidRPr="00660147" w:rsidRDefault="00621C0E" w:rsidP="00621C0E">
      <w:pPr>
        <w:rPr>
          <w:rFonts w:ascii="楷体" w:eastAsia="楷体" w:hAnsi="楷体" w:hint="eastAsia"/>
          <w:color w:val="000000" w:themeColor="text1"/>
        </w:rPr>
      </w:pPr>
      <w:r w:rsidRPr="00660147">
        <w:rPr>
          <w:rFonts w:ascii="楷体" w:eastAsia="楷体" w:hAnsi="楷体"/>
          <w:color w:val="000000" w:themeColor="text1"/>
        </w:rPr>
        <w:t>Agent的爆发，正是将宏大叙事转化为即时</w:t>
      </w:r>
      <w:r w:rsidRPr="00660147">
        <w:rPr>
          <w:rFonts w:ascii="楷体" w:eastAsia="楷体" w:hAnsi="楷体" w:hint="eastAsia"/>
          <w:color w:val="000000" w:themeColor="text1"/>
        </w:rPr>
        <w:t>可被观察的商业现象</w:t>
      </w:r>
      <w:r w:rsidRPr="00660147">
        <w:rPr>
          <w:rFonts w:ascii="楷体" w:eastAsia="楷体" w:hAnsi="楷体"/>
          <w:color w:val="000000" w:themeColor="text1"/>
        </w:rPr>
        <w:t>。Agent不是大模型的又一个应用场景，而是人机交互范式的根本转移——从"人类提问、机器回答"的单点对话，转向"机器感知、规划、执行、协作"的自主闭环。当多个Agent开始相互调</w:t>
      </w:r>
      <w:r w:rsidRPr="00660147">
        <w:rPr>
          <w:rFonts w:ascii="楷体" w:eastAsia="楷体" w:hAnsi="楷体"/>
          <w:color w:val="000000" w:themeColor="text1"/>
        </w:rPr>
        <w:lastRenderedPageBreak/>
        <w:t>用、分工协作时，人类逐渐从交互回路中退居监督位，机器间交互成为智能经济的主流形态。</w:t>
      </w:r>
      <w:r w:rsidRPr="00660147">
        <w:rPr>
          <w:rFonts w:ascii="楷体" w:eastAsia="楷体" w:hAnsi="楷体" w:hint="eastAsia"/>
          <w:color w:val="000000" w:themeColor="text1"/>
        </w:rPr>
        <w:t>Agent从</w:t>
      </w:r>
      <w:proofErr w:type="gramStart"/>
      <w:r w:rsidRPr="00660147">
        <w:rPr>
          <w:rFonts w:ascii="楷体" w:eastAsia="楷体" w:hAnsi="楷体" w:hint="eastAsia"/>
          <w:color w:val="000000" w:themeColor="text1"/>
        </w:rPr>
        <w:t>沙盒环境</w:t>
      </w:r>
      <w:proofErr w:type="gramEnd"/>
      <w:r w:rsidRPr="00660147">
        <w:rPr>
          <w:rFonts w:ascii="楷体" w:eastAsia="楷体" w:hAnsi="楷体" w:hint="eastAsia"/>
          <w:color w:val="000000" w:themeColor="text1"/>
        </w:rPr>
        <w:t>向物理网关的入驻意义重大，本质上是人工智能朝着AGI前进的一个重要进步，某种程度上标志着AI 2.0时代的开启。</w:t>
      </w:r>
    </w:p>
    <w:p w14:paraId="3E4E4799"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color w:val="000000" w:themeColor="text1"/>
        </w:rPr>
        <w:t>单轮人机对话的平均Token消耗在数百至千级，且用户发起频率受限于人类注意力。但Agent的工作流是自主连续运转的：一个中等复杂度的企业任务（如"生成</w:t>
      </w:r>
      <w:proofErr w:type="gramStart"/>
      <w:r w:rsidRPr="00660147">
        <w:rPr>
          <w:rFonts w:ascii="楷体" w:eastAsia="楷体" w:hAnsi="楷体"/>
          <w:color w:val="000000" w:themeColor="text1"/>
        </w:rPr>
        <w:t>季度财报分析</w:t>
      </w:r>
      <w:proofErr w:type="gramEnd"/>
      <w:r w:rsidRPr="00660147">
        <w:rPr>
          <w:rFonts w:ascii="楷体" w:eastAsia="楷体" w:hAnsi="楷体"/>
          <w:color w:val="000000" w:themeColor="text1"/>
        </w:rPr>
        <w:t>并邮件发送给董事会"）通常需要分解为10-20个子步骤，涉及长上下文理解（万级Token）、多轮工具调用（每次调用伴随独立推理）、错误自检与重试（失败路径的冗余计算）。实测数据显示，同等用户基数下，Agent活跃账户的月均Token消耗是传统对话式AI的15-40倍。更关键的是，Agent一旦部署即7×24小时待命，其调用曲线不是人类作息的峰谷波动，而是持续平滑的工业级负载。这意味着</w:t>
      </w:r>
      <w:proofErr w:type="gramStart"/>
      <w:r w:rsidRPr="00660147">
        <w:rPr>
          <w:rFonts w:ascii="楷体" w:eastAsia="楷体" w:hAnsi="楷体"/>
          <w:color w:val="000000" w:themeColor="text1"/>
        </w:rPr>
        <w:t>基模厂面对</w:t>
      </w:r>
      <w:proofErr w:type="gramEnd"/>
      <w:r w:rsidRPr="00660147">
        <w:rPr>
          <w:rFonts w:ascii="楷体" w:eastAsia="楷体" w:hAnsi="楷体"/>
          <w:color w:val="000000" w:themeColor="text1"/>
        </w:rPr>
        <w:t>的推理需求，已从"流量型"转向"产能型"——是可被</w:t>
      </w:r>
      <w:proofErr w:type="gramStart"/>
      <w:r w:rsidRPr="00660147">
        <w:rPr>
          <w:rFonts w:ascii="楷体" w:eastAsia="楷体" w:hAnsi="楷体"/>
          <w:color w:val="000000" w:themeColor="text1"/>
        </w:rPr>
        <w:t>年化预测</w:t>
      </w:r>
      <w:proofErr w:type="gramEnd"/>
      <w:r w:rsidRPr="00660147">
        <w:rPr>
          <w:rFonts w:ascii="楷体" w:eastAsia="楷体" w:hAnsi="楷体"/>
          <w:color w:val="000000" w:themeColor="text1"/>
        </w:rPr>
        <w:t>、可被合同锁定</w:t>
      </w:r>
      <w:proofErr w:type="gramStart"/>
      <w:r w:rsidRPr="00660147">
        <w:rPr>
          <w:rFonts w:ascii="楷体" w:eastAsia="楷体" w:hAnsi="楷体"/>
          <w:color w:val="000000" w:themeColor="text1"/>
        </w:rPr>
        <w:t>的算力订单</w:t>
      </w:r>
      <w:proofErr w:type="gramEnd"/>
      <w:r w:rsidRPr="00660147">
        <w:rPr>
          <w:rFonts w:ascii="楷体" w:eastAsia="楷体" w:hAnsi="楷体"/>
          <w:color w:val="000000" w:themeColor="text1"/>
        </w:rPr>
        <w:t>，而非不可预估的突发查询。</w:t>
      </w:r>
    </w:p>
    <w:p w14:paraId="5C1D8635" w14:textId="77777777" w:rsidR="00621C0E" w:rsidRPr="00660147" w:rsidRDefault="00621C0E" w:rsidP="00621C0E">
      <w:pPr>
        <w:jc w:val="center"/>
        <w:rPr>
          <w:rFonts w:ascii="楷体" w:eastAsia="楷体" w:hAnsi="楷体" w:hint="eastAsia"/>
          <w:color w:val="000000" w:themeColor="text1"/>
        </w:rPr>
      </w:pPr>
      <w:r w:rsidRPr="00660147">
        <w:rPr>
          <w:rFonts w:ascii="楷体" w:eastAsia="楷体" w:hAnsi="楷体" w:hint="eastAsia"/>
          <w:color w:val="000000" w:themeColor="text1"/>
        </w:rPr>
        <w:t>图：Agent App一览</w:t>
      </w:r>
    </w:p>
    <w:p w14:paraId="73B27FFC"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noProof/>
          <w:color w:val="000000" w:themeColor="text1"/>
        </w:rPr>
        <w:drawing>
          <wp:inline distT="0" distB="0" distL="0" distR="0" wp14:anchorId="111C0D06" wp14:editId="7C2C5C05">
            <wp:extent cx="5274310" cy="2520315"/>
            <wp:effectExtent l="0" t="0" r="2540" b="0"/>
            <wp:docPr id="22815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9750" name=""/>
                    <pic:cNvPicPr/>
                  </pic:nvPicPr>
                  <pic:blipFill>
                    <a:blip r:embed="rId23"/>
                    <a:stretch>
                      <a:fillRect/>
                    </a:stretch>
                  </pic:blipFill>
                  <pic:spPr>
                    <a:xfrm>
                      <a:off x="0" y="0"/>
                      <a:ext cx="5274310" cy="2520315"/>
                    </a:xfrm>
                    <a:prstGeom prst="rect">
                      <a:avLst/>
                    </a:prstGeom>
                  </pic:spPr>
                </pic:pic>
              </a:graphicData>
            </a:graphic>
          </wp:inline>
        </w:drawing>
      </w:r>
    </w:p>
    <w:p w14:paraId="21E4D37F" w14:textId="77777777" w:rsidR="00621C0E" w:rsidRPr="00660147" w:rsidRDefault="00621C0E" w:rsidP="00621C0E">
      <w:pPr>
        <w:rPr>
          <w:rFonts w:ascii="楷体" w:eastAsia="楷体" w:hAnsi="楷体" w:hint="eastAsia"/>
          <w:color w:val="000000" w:themeColor="text1"/>
        </w:rPr>
      </w:pPr>
      <w:r w:rsidRPr="00660147">
        <w:rPr>
          <w:rFonts w:ascii="楷体" w:eastAsia="楷体" w:hAnsi="楷体" w:hint="eastAsia"/>
          <w:color w:val="000000" w:themeColor="text1"/>
        </w:rPr>
        <w:t>数据来源：OpenRounter</w:t>
      </w:r>
    </w:p>
    <w:p w14:paraId="083C388F" w14:textId="4FE84055" w:rsidR="004E59A8" w:rsidRPr="00157396" w:rsidRDefault="005C5417" w:rsidP="00270210">
      <w:pPr>
        <w:pStyle w:val="3"/>
        <w:rPr>
          <w:rFonts w:ascii="楷体" w:eastAsia="楷体" w:hAnsi="楷体" w:hint="eastAsia"/>
          <w:color w:val="000000" w:themeColor="text1"/>
          <w:sz w:val="30"/>
          <w:szCs w:val="30"/>
        </w:rPr>
      </w:pPr>
      <w:bookmarkStart w:id="37" w:name="_Toc228374887"/>
      <w:r w:rsidRPr="00157396">
        <w:rPr>
          <w:rFonts w:ascii="楷体" w:eastAsia="楷体" w:hAnsi="楷体" w:hint="eastAsia"/>
          <w:color w:val="000000" w:themeColor="text1"/>
          <w:sz w:val="30"/>
          <w:szCs w:val="30"/>
        </w:rPr>
        <w:t xml:space="preserve">4.1.2 </w:t>
      </w:r>
      <w:r w:rsidR="004E59A8" w:rsidRPr="00157396">
        <w:rPr>
          <w:rFonts w:ascii="楷体" w:eastAsia="楷体" w:hAnsi="楷体" w:hint="eastAsia"/>
          <w:color w:val="000000" w:themeColor="text1"/>
          <w:sz w:val="30"/>
          <w:szCs w:val="30"/>
        </w:rPr>
        <w:t>模型架构与训练范式演进：Scaling Law重现与效率优化</w:t>
      </w:r>
      <w:bookmarkEnd w:id="37"/>
    </w:p>
    <w:p w14:paraId="2BA60D4F" w14:textId="6C97A7F1" w:rsidR="00621C0E"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混合专家模型（MoE）架构因其能在保持性能的同时显著降低推理成本，已成为行业主流架构选择。展望2026年，随着</w:t>
      </w:r>
      <w:proofErr w:type="gramStart"/>
      <w:r w:rsidRPr="00660147">
        <w:rPr>
          <w:rFonts w:ascii="楷体" w:eastAsia="楷体" w:hAnsi="楷体" w:hint="eastAsia"/>
          <w:color w:val="000000" w:themeColor="text1"/>
        </w:rPr>
        <w:t>英伟达</w:t>
      </w:r>
      <w:proofErr w:type="gramEnd"/>
      <w:r w:rsidRPr="00660147">
        <w:rPr>
          <w:rFonts w:ascii="楷体" w:eastAsia="楷体" w:hAnsi="楷体" w:hint="eastAsia"/>
          <w:color w:val="000000" w:themeColor="text1"/>
        </w:rPr>
        <w:t>GB系列等更高性能芯片的成熟与普及，</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阶段的Scaling Law预计将重现，模型参数量和智能上限将再上一个台阶。与此同时，强化学习的重要性日益凸显，它通过“自我生成数据+多轮迭代”的方式，成为解锁模型高级逻辑与推理能力的关键，预计2026年海内外模型厂商对强化学习的投入占比将进一步提升。为应对大模型固有的“灾难性遗忘”问题，持续学习与模型记忆技</w:t>
      </w:r>
      <w:r w:rsidRPr="00660147">
        <w:rPr>
          <w:rFonts w:ascii="楷体" w:eastAsia="楷体" w:hAnsi="楷体" w:hint="eastAsia"/>
          <w:color w:val="000000" w:themeColor="text1"/>
        </w:rPr>
        <w:lastRenderedPageBreak/>
        <w:t>术正成为研发重点，旨在让模型具备选择性记忆机制，实现更接近人类的学习方式。</w:t>
      </w:r>
    </w:p>
    <w:p w14:paraId="6103915E" w14:textId="347F5899" w:rsidR="004E59A8" w:rsidRPr="00157396" w:rsidRDefault="005C5417" w:rsidP="00270210">
      <w:pPr>
        <w:pStyle w:val="3"/>
        <w:rPr>
          <w:rFonts w:ascii="楷体" w:eastAsia="楷体" w:hAnsi="楷体" w:hint="eastAsia"/>
          <w:color w:val="000000" w:themeColor="text1"/>
          <w:sz w:val="30"/>
          <w:szCs w:val="30"/>
        </w:rPr>
      </w:pPr>
      <w:bookmarkStart w:id="38" w:name="_Toc228374888"/>
      <w:r w:rsidRPr="00157396">
        <w:rPr>
          <w:rFonts w:ascii="楷体" w:eastAsia="楷体" w:hAnsi="楷体" w:hint="eastAsia"/>
          <w:color w:val="000000" w:themeColor="text1"/>
          <w:sz w:val="30"/>
          <w:szCs w:val="30"/>
        </w:rPr>
        <w:t>4.1.</w:t>
      </w:r>
      <w:r w:rsidR="004E59A8" w:rsidRPr="00157396">
        <w:rPr>
          <w:rFonts w:ascii="楷体" w:eastAsia="楷体" w:hAnsi="楷体" w:hint="eastAsia"/>
          <w:color w:val="000000" w:themeColor="text1"/>
          <w:sz w:val="30"/>
          <w:szCs w:val="30"/>
        </w:rPr>
        <w:t>3 多模态融合与物理世界理解：从感知到生成一体化</w:t>
      </w:r>
      <w:bookmarkEnd w:id="38"/>
    </w:p>
    <w:p w14:paraId="18AF45A9" w14:textId="1BBFE2A5" w:rsidR="004E59A8"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原生多模态理解与生成能力持续深化，已成为大模型的关键基础设施与交互界面。技术前沿正从早期的模态对齐向“理解-生成一体化”演进，例如通过特定架构将视觉理解与生成结合，大幅提高模型的一致性与可编辑性，推动多模态应用从随机“抽卡”进入确定性创作阶段。另一方面，“世界模型”正从学界走向产业落地，旨在让AI理解物理世界的因果规律。例如，通过生成可交互的、符合物理法则的视频环境或直接创建可编辑的3D场景，为机器人训练、复杂模拟等应用奠定基础</w:t>
      </w:r>
    </w:p>
    <w:p w14:paraId="6DE6B60C" w14:textId="2EBDD0AF" w:rsidR="0056725F" w:rsidRPr="00157396" w:rsidRDefault="00914D6F" w:rsidP="00B358D3">
      <w:pPr>
        <w:pStyle w:val="2"/>
        <w:rPr>
          <w:rFonts w:ascii="楷体" w:eastAsia="楷体" w:hAnsi="楷体" w:hint="eastAsia"/>
          <w:color w:val="000000" w:themeColor="text1"/>
          <w:sz w:val="32"/>
          <w:szCs w:val="32"/>
        </w:rPr>
      </w:pPr>
      <w:bookmarkStart w:id="39" w:name="_Toc228374889"/>
      <w:r w:rsidRPr="00157396">
        <w:rPr>
          <w:rFonts w:ascii="楷体" w:eastAsia="楷体" w:hAnsi="楷体" w:hint="eastAsia"/>
          <w:color w:val="000000" w:themeColor="text1"/>
          <w:sz w:val="32"/>
          <w:szCs w:val="32"/>
        </w:rPr>
        <w:t>4.2</w:t>
      </w:r>
      <w:r w:rsidR="0056725F" w:rsidRPr="00157396">
        <w:rPr>
          <w:rFonts w:ascii="楷体" w:eastAsia="楷体" w:hAnsi="楷体" w:hint="eastAsia"/>
          <w:color w:val="000000" w:themeColor="text1"/>
          <w:sz w:val="32"/>
          <w:szCs w:val="32"/>
        </w:rPr>
        <w:t>商业趋势</w:t>
      </w:r>
      <w:bookmarkEnd w:id="39"/>
    </w:p>
    <w:p w14:paraId="6069BB8D" w14:textId="3E12149B" w:rsidR="004E59A8" w:rsidRPr="00157396" w:rsidRDefault="005C5417" w:rsidP="00270210">
      <w:pPr>
        <w:pStyle w:val="3"/>
        <w:rPr>
          <w:rFonts w:ascii="楷体" w:eastAsia="楷体" w:hAnsi="楷体" w:hint="eastAsia"/>
          <w:color w:val="000000" w:themeColor="text1"/>
          <w:sz w:val="30"/>
          <w:szCs w:val="30"/>
        </w:rPr>
      </w:pPr>
      <w:bookmarkStart w:id="40" w:name="_Toc228374890"/>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1 商业化落地：从试点到规模化</w:t>
      </w:r>
      <w:r w:rsidR="00270210" w:rsidRPr="00157396">
        <w:rPr>
          <w:rFonts w:ascii="楷体" w:eastAsia="楷体" w:hAnsi="楷体" w:hint="eastAsia"/>
          <w:color w:val="000000" w:themeColor="text1"/>
          <w:sz w:val="30"/>
          <w:szCs w:val="30"/>
        </w:rPr>
        <w:t>展开至具体细分行业</w:t>
      </w:r>
      <w:bookmarkEnd w:id="40"/>
    </w:p>
    <w:p w14:paraId="1A60CE5A" w14:textId="77777777" w:rsidR="00270210"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2025年以来，全球大模型Token调用量呈现</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增长，例如2025年第四季度单周峰值已突破7</w:t>
      </w:r>
      <w:proofErr w:type="gramStart"/>
      <w:r w:rsidRPr="00660147">
        <w:rPr>
          <w:rFonts w:ascii="楷体" w:eastAsia="楷体" w:hAnsi="楷体" w:hint="eastAsia"/>
          <w:color w:val="000000" w:themeColor="text1"/>
        </w:rPr>
        <w:t>万亿</w:t>
      </w:r>
      <w:proofErr w:type="gramEnd"/>
      <w:r w:rsidRPr="00660147">
        <w:rPr>
          <w:rFonts w:ascii="楷体" w:eastAsia="楷体" w:hAnsi="楷体" w:hint="eastAsia"/>
          <w:color w:val="000000" w:themeColor="text1"/>
        </w:rPr>
        <w:t>，较前一季度峰值接近翻倍，标志着AI产业正加速从技术验证走向规模化应用。商业化落地已进入规模化复制阶段，尤其在金融、公共服务、能源等行业，大模型解决方案开始批量落地，成为行业收入增长的核心驱动力。</w:t>
      </w:r>
    </w:p>
    <w:p w14:paraId="4BAA77BB" w14:textId="0ED90BDE" w:rsidR="004E59A8" w:rsidRPr="00660147" w:rsidRDefault="00270210" w:rsidP="004E59A8">
      <w:pPr>
        <w:rPr>
          <w:rFonts w:ascii="楷体" w:eastAsia="楷体" w:hAnsi="楷体" w:hint="eastAsia"/>
          <w:color w:val="000000" w:themeColor="text1"/>
        </w:rPr>
      </w:pPr>
      <w:r w:rsidRPr="00660147">
        <w:rPr>
          <w:rFonts w:ascii="楷体" w:eastAsia="楷体" w:hAnsi="楷体" w:hint="eastAsia"/>
          <w:noProof/>
          <w:color w:val="000000" w:themeColor="text1"/>
        </w:rPr>
        <w:drawing>
          <wp:inline distT="0" distB="0" distL="0" distR="0" wp14:anchorId="37A90DD4" wp14:editId="435D4151">
            <wp:extent cx="5274310" cy="3055620"/>
            <wp:effectExtent l="0" t="0" r="2540" b="0"/>
            <wp:docPr id="410389910" name="图片 1" descr="各行业AI导入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行业AI导入率"/>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055620"/>
                    </a:xfrm>
                    <a:prstGeom prst="rect">
                      <a:avLst/>
                    </a:prstGeom>
                    <a:noFill/>
                    <a:ln>
                      <a:noFill/>
                    </a:ln>
                  </pic:spPr>
                </pic:pic>
              </a:graphicData>
            </a:graphic>
          </wp:inline>
        </w:drawing>
      </w:r>
      <w:r w:rsidR="004E59A8" w:rsidRPr="00660147">
        <w:rPr>
          <w:rFonts w:ascii="楷体" w:eastAsia="楷体" w:hAnsi="楷体" w:hint="eastAsia"/>
          <w:color w:val="000000" w:themeColor="text1"/>
        </w:rPr>
        <w:t>市场增长动力清晰，据预测，全球生成式AI收入总市场规模将从2023年的929亿美元增长至2032年的1.62</w:t>
      </w:r>
      <w:proofErr w:type="gramStart"/>
      <w:r w:rsidR="004E59A8" w:rsidRPr="00660147">
        <w:rPr>
          <w:rFonts w:ascii="楷体" w:eastAsia="楷体" w:hAnsi="楷体" w:hint="eastAsia"/>
          <w:color w:val="000000" w:themeColor="text1"/>
        </w:rPr>
        <w:t>万亿</w:t>
      </w:r>
      <w:proofErr w:type="gramEnd"/>
      <w:r w:rsidR="004E59A8" w:rsidRPr="00660147">
        <w:rPr>
          <w:rFonts w:ascii="楷体" w:eastAsia="楷体" w:hAnsi="楷体" w:hint="eastAsia"/>
          <w:color w:val="000000" w:themeColor="text1"/>
        </w:rPr>
        <w:t>美元，年复合增长率约37%。</w:t>
      </w:r>
    </w:p>
    <w:p w14:paraId="65C018E6" w14:textId="080397F1" w:rsidR="004E59A8" w:rsidRPr="00157396" w:rsidRDefault="005C5417" w:rsidP="00270210">
      <w:pPr>
        <w:pStyle w:val="3"/>
        <w:rPr>
          <w:rFonts w:ascii="楷体" w:eastAsia="楷体" w:hAnsi="楷体" w:hint="eastAsia"/>
          <w:color w:val="000000" w:themeColor="text1"/>
          <w:sz w:val="30"/>
          <w:szCs w:val="30"/>
        </w:rPr>
      </w:pPr>
      <w:bookmarkStart w:id="41" w:name="_Toc228374891"/>
      <w:r w:rsidRPr="00157396">
        <w:rPr>
          <w:rFonts w:ascii="楷体" w:eastAsia="楷体" w:hAnsi="楷体" w:hint="eastAsia"/>
          <w:color w:val="000000" w:themeColor="text1"/>
          <w:sz w:val="30"/>
          <w:szCs w:val="30"/>
        </w:rPr>
        <w:t>4.2.</w:t>
      </w:r>
      <w:r w:rsidR="004E59A8" w:rsidRPr="00157396">
        <w:rPr>
          <w:rFonts w:ascii="楷体" w:eastAsia="楷体" w:hAnsi="楷体" w:hint="eastAsia"/>
          <w:color w:val="000000" w:themeColor="text1"/>
          <w:sz w:val="30"/>
          <w:szCs w:val="30"/>
        </w:rPr>
        <w:t>2 竞争与效率：格局收敛与盈利拐点</w:t>
      </w:r>
      <w:bookmarkEnd w:id="41"/>
    </w:p>
    <w:p w14:paraId="62873704" w14:textId="1E310CC9" w:rsidR="00621C0E" w:rsidRPr="00660147" w:rsidRDefault="004E59A8" w:rsidP="004E59A8">
      <w:pPr>
        <w:rPr>
          <w:rFonts w:ascii="楷体" w:eastAsia="楷体" w:hAnsi="楷体" w:hint="eastAsia"/>
          <w:color w:val="000000" w:themeColor="text1"/>
        </w:rPr>
      </w:pPr>
      <w:r w:rsidRPr="00660147">
        <w:rPr>
          <w:rFonts w:ascii="楷体" w:eastAsia="楷体" w:hAnsi="楷体" w:hint="eastAsia"/>
          <w:color w:val="000000" w:themeColor="text1"/>
        </w:rPr>
        <w:t>市场竞争正快速收敛至头部厂商，领先厂商如OpenAI、Anthropic已展现出强劲的商</w:t>
      </w:r>
      <w:r w:rsidRPr="00660147">
        <w:rPr>
          <w:rFonts w:ascii="楷体" w:eastAsia="楷体" w:hAnsi="楷体" w:hint="eastAsia"/>
          <w:color w:val="000000" w:themeColor="text1"/>
        </w:rPr>
        <w:lastRenderedPageBreak/>
        <w:t>业化爆发力，营</w:t>
      </w:r>
      <w:proofErr w:type="gramStart"/>
      <w:r w:rsidRPr="00660147">
        <w:rPr>
          <w:rFonts w:ascii="楷体" w:eastAsia="楷体" w:hAnsi="楷体" w:hint="eastAsia"/>
          <w:color w:val="000000" w:themeColor="text1"/>
        </w:rPr>
        <w:t>收规模</w:t>
      </w:r>
      <w:proofErr w:type="gramEnd"/>
      <w:r w:rsidRPr="00660147">
        <w:rPr>
          <w:rFonts w:ascii="楷体" w:eastAsia="楷体" w:hAnsi="楷体" w:hint="eastAsia"/>
          <w:color w:val="000000" w:themeColor="text1"/>
        </w:rPr>
        <w:t>实现数量级跨越。在此背景下，商业化效率已成为核心估值锚。资本市场的关注点已从最初的技术叙事，转向收入质量、毛利率改善、现金流管理等本质指标。能否展示出清晰的盈利拐点预期，是支撑长期市值的关键。与此同时，模型调用成本随着时间推移持续下降，相同智能水平下的使用门槛不断降低，进一步推动了应用生态的繁荣。</w:t>
      </w:r>
    </w:p>
    <w:p w14:paraId="4320D140" w14:textId="313C390A" w:rsidR="0056725F" w:rsidRPr="00157396" w:rsidRDefault="00914D6F" w:rsidP="00B358D3">
      <w:pPr>
        <w:pStyle w:val="2"/>
        <w:rPr>
          <w:rFonts w:ascii="楷体" w:eastAsia="楷体" w:hAnsi="楷体" w:hint="eastAsia"/>
          <w:color w:val="000000" w:themeColor="text1"/>
          <w:sz w:val="32"/>
          <w:szCs w:val="32"/>
        </w:rPr>
      </w:pPr>
      <w:bookmarkStart w:id="42" w:name="_Toc228374892"/>
      <w:r w:rsidRPr="00157396">
        <w:rPr>
          <w:rFonts w:ascii="楷体" w:eastAsia="楷体" w:hAnsi="楷体" w:hint="eastAsia"/>
          <w:color w:val="000000" w:themeColor="text1"/>
          <w:sz w:val="32"/>
          <w:szCs w:val="32"/>
        </w:rPr>
        <w:t>4.3</w:t>
      </w:r>
      <w:r w:rsidR="00B358D3" w:rsidRPr="00157396">
        <w:rPr>
          <w:rFonts w:ascii="楷体" w:eastAsia="楷体" w:hAnsi="楷体" w:hint="eastAsia"/>
          <w:color w:val="000000" w:themeColor="text1"/>
          <w:sz w:val="32"/>
          <w:szCs w:val="32"/>
        </w:rPr>
        <w:t>战略选项和行动建议</w:t>
      </w:r>
      <w:bookmarkEnd w:id="42"/>
    </w:p>
    <w:p w14:paraId="63AB9431" w14:textId="5FBE7334" w:rsidR="00F06836" w:rsidRPr="00157396" w:rsidRDefault="005C5417" w:rsidP="00522A5F">
      <w:pPr>
        <w:pStyle w:val="3"/>
        <w:rPr>
          <w:rFonts w:ascii="楷体" w:eastAsia="楷体" w:hAnsi="楷体" w:hint="eastAsia"/>
          <w:color w:val="000000" w:themeColor="text1"/>
          <w:sz w:val="30"/>
          <w:szCs w:val="30"/>
        </w:rPr>
      </w:pPr>
      <w:bookmarkStart w:id="43" w:name="_Toc228374893"/>
      <w:r w:rsidRPr="00157396">
        <w:rPr>
          <w:rFonts w:ascii="楷体" w:eastAsia="楷体" w:hAnsi="楷体" w:hint="eastAsia"/>
          <w:color w:val="000000" w:themeColor="text1"/>
          <w:sz w:val="30"/>
          <w:szCs w:val="30"/>
        </w:rPr>
        <w:t>4.3.1</w:t>
      </w:r>
      <w:r w:rsidR="00F06836" w:rsidRPr="00157396">
        <w:rPr>
          <w:rFonts w:ascii="楷体" w:eastAsia="楷体" w:hAnsi="楷体" w:hint="eastAsia"/>
          <w:color w:val="000000" w:themeColor="text1"/>
          <w:sz w:val="30"/>
          <w:szCs w:val="30"/>
        </w:rPr>
        <w:t xml:space="preserve"> 政策参与者：构建生态与引导规范</w:t>
      </w:r>
      <w:bookmarkEnd w:id="43"/>
    </w:p>
    <w:p w14:paraId="4DC76334" w14:textId="5726C08C" w:rsidR="00F06836" w:rsidRPr="00660147" w:rsidRDefault="00F06836" w:rsidP="00F06836">
      <w:pPr>
        <w:rPr>
          <w:rFonts w:ascii="楷体" w:eastAsia="楷体" w:hAnsi="楷体" w:hint="eastAsia"/>
          <w:color w:val="000000" w:themeColor="text1"/>
        </w:rPr>
      </w:pPr>
      <w:r w:rsidRPr="00660147">
        <w:rPr>
          <w:rFonts w:ascii="楷体" w:eastAsia="楷体" w:hAnsi="楷体" w:hint="eastAsia"/>
          <w:color w:val="000000" w:themeColor="text1"/>
        </w:rPr>
        <w:t>战略定位：作为产业顶层设计者与规则制定者，政策参与者的核心目标是构建健康、自主、可持续的产业生态，确保技术发展服务于国家战略与公共利益。</w:t>
      </w:r>
    </w:p>
    <w:p w14:paraId="23EF0EC1" w14:textId="7AA2EB38" w:rsidR="00F06836" w:rsidRPr="00660147" w:rsidRDefault="00F06836" w:rsidP="00F06836">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2515D2AA" w14:textId="6BE63C44"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定立标准、构筑底座：加快推动大模型标准体系建设，为技术研发与产品互联互通提供依据。同时，将“算力网”与“新型电网”的联动建设提升</w:t>
      </w:r>
      <w:proofErr w:type="gramStart"/>
      <w:r w:rsidRPr="00660147">
        <w:rPr>
          <w:rFonts w:ascii="楷体" w:eastAsia="楷体" w:hAnsi="楷体" w:hint="eastAsia"/>
          <w:color w:val="000000" w:themeColor="text1"/>
        </w:rPr>
        <w:t>至基础</w:t>
      </w:r>
      <w:proofErr w:type="gramEnd"/>
      <w:r w:rsidRPr="00660147">
        <w:rPr>
          <w:rFonts w:ascii="楷体" w:eastAsia="楷体" w:hAnsi="楷体" w:hint="eastAsia"/>
          <w:color w:val="000000" w:themeColor="text1"/>
        </w:rPr>
        <w:t>设施高度，为核心生产要素的成本边际下降奠定基础。行动上，应优先推动条件成熟的“六张网”重大工程项目开工，形成有效投资拉动。</w:t>
      </w:r>
    </w:p>
    <w:p w14:paraId="513F8159" w14:textId="018D7386"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促进模型自主、确保科技安全：大力支持基于全国产</w:t>
      </w:r>
      <w:proofErr w:type="gramStart"/>
      <w:r w:rsidRPr="00660147">
        <w:rPr>
          <w:rFonts w:ascii="楷体" w:eastAsia="楷体" w:hAnsi="楷体" w:hint="eastAsia"/>
          <w:color w:val="000000" w:themeColor="text1"/>
        </w:rPr>
        <w:t>算力训练</w:t>
      </w:r>
      <w:proofErr w:type="gramEnd"/>
      <w:r w:rsidRPr="00660147">
        <w:rPr>
          <w:rFonts w:ascii="楷体" w:eastAsia="楷体" w:hAnsi="楷体" w:hint="eastAsia"/>
          <w:color w:val="000000" w:themeColor="text1"/>
        </w:rPr>
        <w:t>的大模型研发与应用，保障AI核心技术底座自主可控。对承担重大项目的企业给予研发补助与税收支持，巩固“人工智能国家队”的产业地位。</w:t>
      </w:r>
    </w:p>
    <w:p w14:paraId="0FCB8820" w14:textId="463A47DC" w:rsidR="00F06836" w:rsidRPr="00660147" w:rsidRDefault="00F06836" w:rsidP="00F06836">
      <w:pPr>
        <w:pStyle w:val="a9"/>
        <w:numPr>
          <w:ilvl w:val="0"/>
          <w:numId w:val="8"/>
        </w:numPr>
        <w:rPr>
          <w:rFonts w:ascii="楷体" w:eastAsia="楷体" w:hAnsi="楷体" w:hint="eastAsia"/>
          <w:color w:val="000000" w:themeColor="text1"/>
        </w:rPr>
      </w:pPr>
      <w:r w:rsidRPr="00660147">
        <w:rPr>
          <w:rFonts w:ascii="楷体" w:eastAsia="楷体" w:hAnsi="楷体" w:hint="eastAsia"/>
          <w:color w:val="000000" w:themeColor="text1"/>
        </w:rPr>
        <w:t>拓宽应用场景、重视相关治理：全面实施“人工智能+”行动，引导大模型在工业、教育、医疗、政务等关键领域深度融合。同步完善人工智能治理框架，在数据使用、算法公平与伦理规范方面前瞻立法，实现发展与安全的平衡。</w:t>
      </w:r>
    </w:p>
    <w:p w14:paraId="2CDA25A4" w14:textId="3628F784" w:rsidR="00522A5F" w:rsidRPr="00157396" w:rsidRDefault="005C5417" w:rsidP="00522A5F">
      <w:pPr>
        <w:pStyle w:val="3"/>
        <w:rPr>
          <w:rFonts w:ascii="楷体" w:eastAsia="楷体" w:hAnsi="楷体" w:hint="eastAsia"/>
          <w:color w:val="000000" w:themeColor="text1"/>
          <w:sz w:val="30"/>
          <w:szCs w:val="30"/>
        </w:rPr>
      </w:pPr>
      <w:bookmarkStart w:id="44" w:name="_Toc228374894"/>
      <w:r w:rsidRPr="00157396">
        <w:rPr>
          <w:rFonts w:ascii="楷体" w:eastAsia="楷体" w:hAnsi="楷体" w:hint="eastAsia"/>
          <w:color w:val="000000" w:themeColor="text1"/>
          <w:sz w:val="30"/>
          <w:szCs w:val="30"/>
        </w:rPr>
        <w:t>4.3.2</w:t>
      </w:r>
      <w:r w:rsidR="00522A5F" w:rsidRPr="00157396">
        <w:rPr>
          <w:rFonts w:ascii="楷体" w:eastAsia="楷体" w:hAnsi="楷体" w:hint="eastAsia"/>
          <w:color w:val="000000" w:themeColor="text1"/>
          <w:sz w:val="30"/>
          <w:szCs w:val="30"/>
        </w:rPr>
        <w:t xml:space="preserve"> 行业龙头：巩固壁垒与定义赛道</w:t>
      </w:r>
      <w:bookmarkEnd w:id="44"/>
    </w:p>
    <w:p w14:paraId="658F9FA3" w14:textId="1AD6180F" w:rsidR="00522A5F" w:rsidRPr="00660147" w:rsidRDefault="00522A5F" w:rsidP="00522A5F">
      <w:pPr>
        <w:rPr>
          <w:rFonts w:ascii="楷体" w:eastAsia="楷体" w:hAnsi="楷体" w:hint="eastAsia"/>
          <w:color w:val="000000" w:themeColor="text1"/>
        </w:rPr>
      </w:pPr>
      <w:r w:rsidRPr="00660147">
        <w:rPr>
          <w:rFonts w:ascii="楷体" w:eastAsia="楷体" w:hAnsi="楷体" w:hint="eastAsia"/>
          <w:color w:val="000000" w:themeColor="text1"/>
        </w:rPr>
        <w:t>战略定位：作为技术引领与市场定义者，行业龙头的目标是建立并扩大全</w:t>
      </w:r>
      <w:proofErr w:type="gramStart"/>
      <w:r w:rsidRPr="00660147">
        <w:rPr>
          <w:rFonts w:ascii="楷体" w:eastAsia="楷体" w:hAnsi="楷体" w:hint="eastAsia"/>
          <w:color w:val="000000" w:themeColor="text1"/>
        </w:rPr>
        <w:t>栈</w:t>
      </w:r>
      <w:proofErr w:type="gramEnd"/>
      <w:r w:rsidRPr="00660147">
        <w:rPr>
          <w:rFonts w:ascii="楷体" w:eastAsia="楷体" w:hAnsi="楷体" w:hint="eastAsia"/>
          <w:color w:val="000000" w:themeColor="text1"/>
        </w:rPr>
        <w:t>技术优势，主导平台生态，同时将技术优势高效转化为商业回报。</w:t>
      </w:r>
    </w:p>
    <w:p w14:paraId="68A65D1B" w14:textId="2265ACF3" w:rsidR="00522A5F" w:rsidRPr="00660147" w:rsidRDefault="00522A5F" w:rsidP="00522A5F">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514ED4A3" w14:textId="7991D32C" w:rsidR="00522A5F"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技术纵深战略：持续加大研发投入，保持在算法、算力、数据等核心要素上的领先性。行业龙头2026年研发</w:t>
      </w:r>
      <w:proofErr w:type="gramStart"/>
      <w:r w:rsidRPr="00660147">
        <w:rPr>
          <w:rFonts w:ascii="楷体" w:eastAsia="楷体" w:hAnsi="楷体" w:hint="eastAsia"/>
          <w:color w:val="000000" w:themeColor="text1"/>
        </w:rPr>
        <w:t>投入占营收</w:t>
      </w:r>
      <w:proofErr w:type="gramEnd"/>
      <w:r w:rsidRPr="00660147">
        <w:rPr>
          <w:rFonts w:ascii="楷体" w:eastAsia="楷体" w:hAnsi="楷体" w:hint="eastAsia"/>
          <w:color w:val="000000" w:themeColor="text1"/>
        </w:rPr>
        <w:t>比重可接近20%，致力于实现整体技术指标对</w:t>
      </w:r>
      <w:proofErr w:type="gramStart"/>
      <w:r w:rsidRPr="00660147">
        <w:rPr>
          <w:rFonts w:ascii="楷体" w:eastAsia="楷体" w:hAnsi="楷体" w:hint="eastAsia"/>
          <w:color w:val="000000" w:themeColor="text1"/>
        </w:rPr>
        <w:t>标全球</w:t>
      </w:r>
      <w:proofErr w:type="gramEnd"/>
      <w:r w:rsidRPr="00660147">
        <w:rPr>
          <w:rFonts w:ascii="楷体" w:eastAsia="楷体" w:hAnsi="楷体" w:hint="eastAsia"/>
          <w:color w:val="000000" w:themeColor="text1"/>
        </w:rPr>
        <w:t>第一梯队。行动上，应聚焦于提升大模型的通用能力与多模态能力，并大力投入智能体（Agent）开发平台，构建开发者生态。</w:t>
      </w:r>
    </w:p>
    <w:p w14:paraId="58404668" w14:textId="3A8FCB0F" w:rsidR="00522A5F"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垂直深耕战略：利用自身行业优势地位形成的标杆效应，将经过验证的模型能力快速向B端和C端复制。例如，将教育、医疗、金融、学术等领域已验证的解决方案，通过开放平台或行业模型授权方式，实现规模化收入。</w:t>
      </w:r>
    </w:p>
    <w:p w14:paraId="2C059BE9" w14:textId="34D9F1C7" w:rsidR="00F06836" w:rsidRPr="00660147" w:rsidRDefault="00522A5F" w:rsidP="00522A5F">
      <w:pPr>
        <w:pStyle w:val="a9"/>
        <w:numPr>
          <w:ilvl w:val="0"/>
          <w:numId w:val="9"/>
        </w:numPr>
        <w:rPr>
          <w:rFonts w:ascii="楷体" w:eastAsia="楷体" w:hAnsi="楷体" w:hint="eastAsia"/>
          <w:color w:val="000000" w:themeColor="text1"/>
        </w:rPr>
      </w:pPr>
      <w:r w:rsidRPr="00660147">
        <w:rPr>
          <w:rFonts w:ascii="楷体" w:eastAsia="楷体" w:hAnsi="楷体" w:hint="eastAsia"/>
          <w:color w:val="000000" w:themeColor="text1"/>
        </w:rPr>
        <w:t>业务优化与出海战略：主动优化业务结构，对定制化程度高、回款慢的项目采取</w:t>
      </w:r>
      <w:r w:rsidRPr="00660147">
        <w:rPr>
          <w:rFonts w:ascii="楷体" w:eastAsia="楷体" w:hAnsi="楷体" w:hint="eastAsia"/>
          <w:color w:val="000000" w:themeColor="text1"/>
        </w:rPr>
        <w:lastRenderedPageBreak/>
        <w:t>审慎策略，聚焦于高毛利、强现金流的C端硬件与B</w:t>
      </w:r>
      <w:proofErr w:type="gramStart"/>
      <w:r w:rsidRPr="00660147">
        <w:rPr>
          <w:rFonts w:ascii="楷体" w:eastAsia="楷体" w:hAnsi="楷体" w:hint="eastAsia"/>
          <w:color w:val="000000" w:themeColor="text1"/>
        </w:rPr>
        <w:t>端解决</w:t>
      </w:r>
      <w:proofErr w:type="gramEnd"/>
      <w:r w:rsidRPr="00660147">
        <w:rPr>
          <w:rFonts w:ascii="楷体" w:eastAsia="楷体" w:hAnsi="楷体" w:hint="eastAsia"/>
          <w:color w:val="000000" w:themeColor="text1"/>
        </w:rPr>
        <w:t>方案。同时，将出海作为第二增长曲线，聚焦东南亚、中东等关键市场，实现营收的规模化增长。</w:t>
      </w:r>
    </w:p>
    <w:p w14:paraId="7BB7F686" w14:textId="654CA857" w:rsidR="000B5933" w:rsidRPr="00157396" w:rsidRDefault="00B04FB9" w:rsidP="000B5933">
      <w:pPr>
        <w:pStyle w:val="3"/>
        <w:rPr>
          <w:rFonts w:ascii="楷体" w:eastAsia="楷体" w:hAnsi="楷体" w:hint="eastAsia"/>
          <w:color w:val="000000" w:themeColor="text1"/>
          <w:sz w:val="30"/>
          <w:szCs w:val="30"/>
        </w:rPr>
      </w:pPr>
      <w:bookmarkStart w:id="45" w:name="_Toc228374895"/>
      <w:r w:rsidRPr="00157396">
        <w:rPr>
          <w:rFonts w:ascii="楷体" w:eastAsia="楷体" w:hAnsi="楷体" w:hint="eastAsia"/>
          <w:color w:val="000000" w:themeColor="text1"/>
          <w:sz w:val="30"/>
          <w:szCs w:val="30"/>
        </w:rPr>
        <w:t>4.3.3</w:t>
      </w:r>
      <w:r w:rsidR="000B5933" w:rsidRPr="00157396">
        <w:rPr>
          <w:rFonts w:ascii="楷体" w:eastAsia="楷体" w:hAnsi="楷体" w:hint="eastAsia"/>
          <w:color w:val="000000" w:themeColor="text1"/>
          <w:sz w:val="30"/>
          <w:szCs w:val="30"/>
        </w:rPr>
        <w:t xml:space="preserve"> 新进企业：聚焦场景与差异化竞争</w:t>
      </w:r>
      <w:bookmarkEnd w:id="45"/>
    </w:p>
    <w:p w14:paraId="5B89ED3F" w14:textId="3E94BF9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战略定位：作为市场的挑战者与创新者，新进企业需避免与龙头在通用大模型上正面竞争，而应凭借灵活性与专注度，在细分领域建立绝对优势。</w:t>
      </w:r>
    </w:p>
    <w:p w14:paraId="4922757D" w14:textId="783FC5A1"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4A02260F" w14:textId="6B86EB1B"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场景专精战略：选择一个需求明确、行业Know-how深的垂直赛道（如医疗康养、工业质检、金融风控）进行饱和攻击。战略核心是成为该领域“最懂业务”的AI公司，而非拥有最大参数模型的公司。可参考人形机器人领域中，专注于</w:t>
      </w:r>
      <w:proofErr w:type="gramStart"/>
      <w:r w:rsidRPr="00660147">
        <w:rPr>
          <w:rFonts w:ascii="楷体" w:eastAsia="楷体" w:hAnsi="楷体" w:hint="eastAsia"/>
          <w:color w:val="000000" w:themeColor="text1"/>
        </w:rPr>
        <w:t>医疗康养或</w:t>
      </w:r>
      <w:proofErr w:type="gramEnd"/>
      <w:r w:rsidRPr="00660147">
        <w:rPr>
          <w:rFonts w:ascii="楷体" w:eastAsia="楷体" w:hAnsi="楷体" w:hint="eastAsia"/>
          <w:color w:val="000000" w:themeColor="text1"/>
        </w:rPr>
        <w:t>工业重载的专精特新企业成长路径。</w:t>
      </w:r>
    </w:p>
    <w:p w14:paraId="4F7AEBA2" w14:textId="77777777"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生态依附战略：积极融入头部企业构建的开放平台生态。利用龙头提供的MaaS（模型即服务）底座和开发工具，快速构建面向特定场景的智能体应用，降低底层研发成本，共享生态流量。</w:t>
      </w:r>
    </w:p>
    <w:p w14:paraId="68EBC54C" w14:textId="22428411" w:rsidR="000B5933" w:rsidRPr="00660147" w:rsidRDefault="000B5933" w:rsidP="000B5933">
      <w:pPr>
        <w:pStyle w:val="a9"/>
        <w:numPr>
          <w:ilvl w:val="0"/>
          <w:numId w:val="10"/>
        </w:numPr>
        <w:rPr>
          <w:rFonts w:ascii="楷体" w:eastAsia="楷体" w:hAnsi="楷体" w:hint="eastAsia"/>
          <w:color w:val="000000" w:themeColor="text1"/>
        </w:rPr>
      </w:pPr>
      <w:r w:rsidRPr="00660147">
        <w:rPr>
          <w:rFonts w:ascii="楷体" w:eastAsia="楷体" w:hAnsi="楷体" w:hint="eastAsia"/>
          <w:color w:val="000000" w:themeColor="text1"/>
        </w:rPr>
        <w:t>轻资产敏捷战略：在商业模式上，优先采用SaaS订阅、API调用量计费等轻资产、高粘性的模式。在研发上，注重工程化落地能力与客户需求反馈的快速迭代，以敏捷开发，快速反馈的方式验证产品市场匹配度。</w:t>
      </w:r>
    </w:p>
    <w:p w14:paraId="7F14E471" w14:textId="44E5E4C7" w:rsidR="000B5933" w:rsidRPr="00157396" w:rsidRDefault="00B04FB9" w:rsidP="000B5933">
      <w:pPr>
        <w:pStyle w:val="3"/>
        <w:rPr>
          <w:rFonts w:ascii="楷体" w:eastAsia="楷体" w:hAnsi="楷体" w:hint="eastAsia"/>
          <w:color w:val="000000" w:themeColor="text1"/>
          <w:sz w:val="30"/>
          <w:szCs w:val="30"/>
        </w:rPr>
      </w:pPr>
      <w:bookmarkStart w:id="46" w:name="_Toc228374896"/>
      <w:r w:rsidRPr="00157396">
        <w:rPr>
          <w:rFonts w:ascii="楷体" w:eastAsia="楷体" w:hAnsi="楷体" w:hint="eastAsia"/>
          <w:color w:val="000000" w:themeColor="text1"/>
          <w:sz w:val="30"/>
          <w:szCs w:val="30"/>
        </w:rPr>
        <w:t>4.3.4</w:t>
      </w:r>
      <w:r w:rsidR="000B5933" w:rsidRPr="00157396">
        <w:rPr>
          <w:rFonts w:ascii="楷体" w:eastAsia="楷体" w:hAnsi="楷体" w:hint="eastAsia"/>
          <w:color w:val="000000" w:themeColor="text1"/>
          <w:sz w:val="30"/>
          <w:szCs w:val="30"/>
        </w:rPr>
        <w:t xml:space="preserve"> 下游用户：积极融合与价值重构</w:t>
      </w:r>
      <w:bookmarkEnd w:id="46"/>
    </w:p>
    <w:p w14:paraId="34D555AD" w14:textId="5D52C0E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战略定位：作为技术应用方与价值实现者，下游用户（企业/政府）的目标是利用大模型降本增效、创新商业模式或提升公共服务能力。</w:t>
      </w:r>
    </w:p>
    <w:p w14:paraId="1E918BBE" w14:textId="4ABF55A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50AAC0EE" w14:textId="77777777"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需求评估与路径选择：首先内部评估数据基础、业务痛点和投入预算。对于IT能力强的头部企业，可考虑采购通用大模型进行私有化部署与精调；对于大多数企业，优先选择行业龙头或垂直厂商提供的标准化解决方案或API服务。</w:t>
      </w:r>
    </w:p>
    <w:p w14:paraId="41B83A2F" w14:textId="3B0199FD"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聚焦“Token经营”转型：对于拥有规模用户客群和互联网资源的企业，战略重点应是从传统的流量经营向“Token经营”转型，即基于大模型能力提供智能服务和业务改造，目标</w:t>
      </w:r>
      <w:proofErr w:type="gramStart"/>
      <w:r w:rsidRPr="00660147">
        <w:rPr>
          <w:rFonts w:ascii="楷体" w:eastAsia="楷体" w:hAnsi="楷体" w:hint="eastAsia"/>
          <w:color w:val="000000" w:themeColor="text1"/>
        </w:rPr>
        <w:t>实现算力与</w:t>
      </w:r>
      <w:proofErr w:type="gramEnd"/>
      <w:r w:rsidRPr="00660147">
        <w:rPr>
          <w:rFonts w:ascii="楷体" w:eastAsia="楷体" w:hAnsi="楷体" w:hint="eastAsia"/>
          <w:color w:val="000000" w:themeColor="text1"/>
        </w:rPr>
        <w:t>智能服务收入的第二曲线上扬，完成AI时代产业赋能。</w:t>
      </w:r>
    </w:p>
    <w:p w14:paraId="0AA912BF" w14:textId="539D011A" w:rsidR="000B5933" w:rsidRPr="00660147" w:rsidRDefault="000B5933" w:rsidP="000B5933">
      <w:pPr>
        <w:pStyle w:val="a9"/>
        <w:numPr>
          <w:ilvl w:val="0"/>
          <w:numId w:val="11"/>
        </w:numPr>
        <w:rPr>
          <w:rFonts w:ascii="楷体" w:eastAsia="楷体" w:hAnsi="楷体" w:hint="eastAsia"/>
          <w:color w:val="000000" w:themeColor="text1"/>
        </w:rPr>
      </w:pPr>
      <w:r w:rsidRPr="00660147">
        <w:rPr>
          <w:rFonts w:ascii="楷体" w:eastAsia="楷体" w:hAnsi="楷体" w:hint="eastAsia"/>
          <w:color w:val="000000" w:themeColor="text1"/>
        </w:rPr>
        <w:t>成本管控与人才储备：密切关注</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上升趋势，在采购</w:t>
      </w:r>
      <w:proofErr w:type="gramStart"/>
      <w:r w:rsidRPr="00660147">
        <w:rPr>
          <w:rFonts w:ascii="楷体" w:eastAsia="楷体" w:hAnsi="楷体" w:hint="eastAsia"/>
          <w:color w:val="000000" w:themeColor="text1"/>
        </w:rPr>
        <w:t>云服务或算力</w:t>
      </w:r>
      <w:proofErr w:type="gramEnd"/>
      <w:r w:rsidRPr="00660147">
        <w:rPr>
          <w:rFonts w:ascii="楷体" w:eastAsia="楷体" w:hAnsi="楷体" w:hint="eastAsia"/>
          <w:color w:val="000000" w:themeColor="text1"/>
        </w:rPr>
        <w:t>时考虑多元化供应商以平衡成本与安全。同时，启动内部员工的AI技能培训计划，培养一批既懂业务又懂AI的复合型人才，确保技术能用、好用。</w:t>
      </w:r>
    </w:p>
    <w:p w14:paraId="30C58128" w14:textId="0F32AA22" w:rsidR="000B5933" w:rsidRPr="00157396" w:rsidRDefault="00B04FB9" w:rsidP="000B5933">
      <w:pPr>
        <w:pStyle w:val="3"/>
        <w:rPr>
          <w:rFonts w:ascii="楷体" w:eastAsia="楷体" w:hAnsi="楷体" w:hint="eastAsia"/>
          <w:color w:val="000000" w:themeColor="text1"/>
          <w:sz w:val="30"/>
          <w:szCs w:val="30"/>
        </w:rPr>
      </w:pPr>
      <w:bookmarkStart w:id="47" w:name="_Toc228374897"/>
      <w:r w:rsidRPr="00157396">
        <w:rPr>
          <w:rFonts w:ascii="楷体" w:eastAsia="楷体" w:hAnsi="楷体" w:hint="eastAsia"/>
          <w:color w:val="000000" w:themeColor="text1"/>
          <w:sz w:val="30"/>
          <w:szCs w:val="30"/>
        </w:rPr>
        <w:lastRenderedPageBreak/>
        <w:t>4.3.5</w:t>
      </w:r>
      <w:r w:rsidR="000B5933" w:rsidRPr="00157396">
        <w:rPr>
          <w:rFonts w:ascii="楷体" w:eastAsia="楷体" w:hAnsi="楷体" w:hint="eastAsia"/>
          <w:color w:val="000000" w:themeColor="text1"/>
          <w:sz w:val="30"/>
          <w:szCs w:val="30"/>
        </w:rPr>
        <w:t xml:space="preserve"> 投资方：前瞻布局与阶段匹配</w:t>
      </w:r>
      <w:bookmarkEnd w:id="47"/>
    </w:p>
    <w:p w14:paraId="154D6677" w14:textId="77B9D90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战略定位：作为产业发展的资本助推器与价值发现者，投资方需基于产业不同发展阶段的风险收益特征，进行系统性布局。</w:t>
      </w:r>
    </w:p>
    <w:p w14:paraId="775F99F4" w14:textId="2FC7EA23"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战略选项与行动建议：</w:t>
      </w:r>
    </w:p>
    <w:p w14:paraId="29A22BD7" w14:textId="7777777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分阶段布局策略：</w:t>
      </w:r>
    </w:p>
    <w:p w14:paraId="4D7896DE" w14:textId="236E1FA7"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早期/VC阶段：聚焦技术前沿，投资</w:t>
      </w:r>
      <w:proofErr w:type="gramStart"/>
      <w:r w:rsidRPr="00660147">
        <w:rPr>
          <w:rFonts w:ascii="楷体" w:eastAsia="楷体" w:hAnsi="楷体" w:hint="eastAsia"/>
          <w:color w:val="000000" w:themeColor="text1"/>
        </w:rPr>
        <w:t>于具身</w:t>
      </w:r>
      <w:proofErr w:type="gramEnd"/>
      <w:r w:rsidRPr="00660147">
        <w:rPr>
          <w:rFonts w:ascii="楷体" w:eastAsia="楷体" w:hAnsi="楷体" w:hint="eastAsia"/>
          <w:color w:val="000000" w:themeColor="text1"/>
        </w:rPr>
        <w:t>智能大模型、高端传感、下一代AI芯片架构等可能占据未来“制高点”的初创团队，发挥耐心资本作用。</w:t>
      </w:r>
    </w:p>
    <w:p w14:paraId="2640B298" w14:textId="7761FE29"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成长期/PE阶段：重点布局已实现关键技术突破、切入头部供应链的上游核心环节企业，如AI芯片、高速光模块/光芯片、高质量训练数据提供商等，这些领域技术壁垒高，国产替代逻辑清晰，业绩兑现快。</w:t>
      </w:r>
    </w:p>
    <w:p w14:paraId="1B1032EF" w14:textId="77777777" w:rsidR="000B5933" w:rsidRPr="00660147" w:rsidRDefault="000B5933" w:rsidP="000B5933">
      <w:pPr>
        <w:pStyle w:val="a9"/>
        <w:numPr>
          <w:ilvl w:val="0"/>
          <w:numId w:val="12"/>
        </w:numPr>
        <w:rPr>
          <w:rFonts w:ascii="楷体" w:eastAsia="楷体" w:hAnsi="楷体" w:hint="eastAsia"/>
          <w:color w:val="000000" w:themeColor="text1"/>
        </w:rPr>
      </w:pPr>
      <w:r w:rsidRPr="00660147">
        <w:rPr>
          <w:rFonts w:ascii="楷体" w:eastAsia="楷体" w:hAnsi="楷体" w:hint="eastAsia"/>
          <w:color w:val="000000" w:themeColor="text1"/>
        </w:rPr>
        <w:t>成熟期/二级市场：持续跟踪已实现规模化营收的行业龙头，以及在中游平台或下游细分场景中建立起强大护城河的公司。关注其技术迭代、成本控制与商业化落地能力。</w:t>
      </w:r>
    </w:p>
    <w:p w14:paraId="577EB9C3" w14:textId="77777777"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产业</w:t>
      </w:r>
      <w:proofErr w:type="gramStart"/>
      <w:r w:rsidRPr="00660147">
        <w:rPr>
          <w:rFonts w:ascii="楷体" w:eastAsia="楷体" w:hAnsi="楷体" w:hint="eastAsia"/>
          <w:color w:val="000000" w:themeColor="text1"/>
        </w:rPr>
        <w:t>链价值</w:t>
      </w:r>
      <w:proofErr w:type="gramEnd"/>
      <w:r w:rsidRPr="00660147">
        <w:rPr>
          <w:rFonts w:ascii="楷体" w:eastAsia="楷体" w:hAnsi="楷体" w:hint="eastAsia"/>
          <w:color w:val="000000" w:themeColor="text1"/>
        </w:rPr>
        <w:t>投资：</w:t>
      </w:r>
      <w:proofErr w:type="gramStart"/>
      <w:r w:rsidRPr="00660147">
        <w:rPr>
          <w:rFonts w:ascii="楷体" w:eastAsia="楷体" w:hAnsi="楷体" w:hint="eastAsia"/>
          <w:color w:val="000000" w:themeColor="text1"/>
        </w:rPr>
        <w:t>沿产业</w:t>
      </w:r>
      <w:proofErr w:type="gramEnd"/>
      <w:r w:rsidRPr="00660147">
        <w:rPr>
          <w:rFonts w:ascii="楷体" w:eastAsia="楷体" w:hAnsi="楷体" w:hint="eastAsia"/>
          <w:color w:val="000000" w:themeColor="text1"/>
        </w:rPr>
        <w:t>链进行系统化配置。上游关注</w:t>
      </w:r>
      <w:proofErr w:type="gramStart"/>
      <w:r w:rsidRPr="00660147">
        <w:rPr>
          <w:rFonts w:ascii="楷体" w:eastAsia="楷体" w:hAnsi="楷体" w:hint="eastAsia"/>
          <w:color w:val="000000" w:themeColor="text1"/>
        </w:rPr>
        <w:t>算力基础</w:t>
      </w:r>
      <w:proofErr w:type="gramEnd"/>
      <w:r w:rsidRPr="00660147">
        <w:rPr>
          <w:rFonts w:ascii="楷体" w:eastAsia="楷体" w:hAnsi="楷体" w:hint="eastAsia"/>
          <w:color w:val="000000" w:themeColor="text1"/>
        </w:rPr>
        <w:t>设施（芯片、光模块）的确定性机会；中游关注模型能力与平台生态的领先者；下游关注在工业、医疗、汽车等领域率先实现商业闭环的应用厂商。</w:t>
      </w:r>
    </w:p>
    <w:p w14:paraId="5FF37262" w14:textId="33A95DDC" w:rsidR="000B5933" w:rsidRPr="00660147" w:rsidRDefault="000B5933" w:rsidP="000B5933">
      <w:pPr>
        <w:rPr>
          <w:rFonts w:ascii="楷体" w:eastAsia="楷体" w:hAnsi="楷体" w:hint="eastAsia"/>
          <w:color w:val="000000" w:themeColor="text1"/>
        </w:rPr>
      </w:pPr>
      <w:r w:rsidRPr="00660147">
        <w:rPr>
          <w:rFonts w:ascii="楷体" w:eastAsia="楷体" w:hAnsi="楷体" w:hint="eastAsia"/>
          <w:color w:val="000000" w:themeColor="text1"/>
        </w:rPr>
        <w:t>风险识别与管理：警惕技术路线快速迭代、行业竞争加剧及地缘政治带来的供应链风险。投资决策应基于深度的</w:t>
      </w:r>
      <w:proofErr w:type="gramStart"/>
      <w:r w:rsidRPr="00660147">
        <w:rPr>
          <w:rFonts w:ascii="楷体" w:eastAsia="楷体" w:hAnsi="楷体" w:hint="eastAsia"/>
          <w:color w:val="000000" w:themeColor="text1"/>
        </w:rPr>
        <w:t>技术尽调与</w:t>
      </w:r>
      <w:proofErr w:type="gramEnd"/>
      <w:r w:rsidRPr="00660147">
        <w:rPr>
          <w:rFonts w:ascii="楷体" w:eastAsia="楷体" w:hAnsi="楷体" w:hint="eastAsia"/>
          <w:color w:val="000000" w:themeColor="text1"/>
        </w:rPr>
        <w:t>市场验证，优先选择团队背景扎实、客户订单可见度高、现金流稳健的企业。</w:t>
      </w:r>
    </w:p>
    <w:p w14:paraId="31E29365" w14:textId="79FEAD94" w:rsidR="00715D18" w:rsidRPr="00157396" w:rsidRDefault="00914D6F" w:rsidP="00715D18">
      <w:pPr>
        <w:pStyle w:val="2"/>
        <w:rPr>
          <w:rFonts w:ascii="楷体" w:eastAsia="楷体" w:hAnsi="楷体" w:hint="eastAsia"/>
          <w:color w:val="000000" w:themeColor="text1"/>
          <w:sz w:val="32"/>
          <w:szCs w:val="32"/>
        </w:rPr>
      </w:pPr>
      <w:bookmarkStart w:id="48" w:name="_Toc228374898"/>
      <w:r w:rsidRPr="00157396">
        <w:rPr>
          <w:rFonts w:ascii="楷体" w:eastAsia="楷体" w:hAnsi="楷体" w:hint="eastAsia"/>
          <w:color w:val="000000" w:themeColor="text1"/>
          <w:sz w:val="32"/>
          <w:szCs w:val="32"/>
        </w:rPr>
        <w:t>4.4</w:t>
      </w:r>
      <w:r w:rsidR="00715D18" w:rsidRPr="00157396">
        <w:rPr>
          <w:rFonts w:ascii="楷体" w:eastAsia="楷体" w:hAnsi="楷体" w:hint="eastAsia"/>
          <w:color w:val="000000" w:themeColor="text1"/>
          <w:sz w:val="32"/>
          <w:szCs w:val="32"/>
        </w:rPr>
        <w:t>潜在风险提示</w:t>
      </w:r>
      <w:bookmarkEnd w:id="48"/>
    </w:p>
    <w:p w14:paraId="506F2F4C" w14:textId="71DA189A" w:rsidR="00323214" w:rsidRPr="00157396" w:rsidRDefault="00B04FB9" w:rsidP="00323214">
      <w:pPr>
        <w:pStyle w:val="3"/>
        <w:rPr>
          <w:rFonts w:ascii="楷体" w:eastAsia="楷体" w:hAnsi="楷体" w:hint="eastAsia"/>
          <w:color w:val="000000" w:themeColor="text1"/>
          <w:sz w:val="30"/>
          <w:szCs w:val="30"/>
        </w:rPr>
      </w:pPr>
      <w:bookmarkStart w:id="49" w:name="_Toc228374899"/>
      <w:r w:rsidRPr="00157396">
        <w:rPr>
          <w:rFonts w:ascii="楷体" w:eastAsia="楷体" w:hAnsi="楷体" w:hint="eastAsia"/>
          <w:color w:val="000000" w:themeColor="text1"/>
          <w:sz w:val="30"/>
          <w:szCs w:val="30"/>
        </w:rPr>
        <w:t xml:space="preserve">4.4.1 </w:t>
      </w:r>
      <w:r w:rsidR="00323214" w:rsidRPr="00157396">
        <w:rPr>
          <w:rFonts w:ascii="楷体" w:eastAsia="楷体" w:hAnsi="楷体" w:hint="eastAsia"/>
          <w:color w:val="000000" w:themeColor="text1"/>
          <w:sz w:val="30"/>
          <w:szCs w:val="30"/>
        </w:rPr>
        <w:t>商业模式与盈利路径的不确定性</w:t>
      </w:r>
      <w:bookmarkEnd w:id="49"/>
    </w:p>
    <w:p w14:paraId="597AA323" w14:textId="618F6396"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当前大模型产业面临的核心商业风险在于，天文数字级的资本投入与清晰、可持续的盈利模式之间存在巨大鸿沟。产业尚未证明其能产生与互联网时代相匹敌的规模经济与垄断利润。</w:t>
      </w:r>
    </w:p>
    <w:p w14:paraId="0D01DCEE" w14:textId="0E8F3EB2"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高昂成本与模糊的变现能力构成根本矛盾：大模型的训练与推理消耗巨大</w:t>
      </w:r>
      <w:proofErr w:type="gramStart"/>
      <w:r w:rsidRPr="00660147">
        <w:rPr>
          <w:rFonts w:ascii="楷体" w:eastAsia="楷体" w:hAnsi="楷体" w:hint="eastAsia"/>
          <w:color w:val="000000" w:themeColor="text1"/>
        </w:rPr>
        <w:t>的算力与</w:t>
      </w:r>
      <w:proofErr w:type="gramEnd"/>
      <w:r w:rsidRPr="00660147">
        <w:rPr>
          <w:rFonts w:ascii="楷体" w:eastAsia="楷体" w:hAnsi="楷体" w:hint="eastAsia"/>
          <w:color w:val="000000" w:themeColor="text1"/>
        </w:rPr>
        <w:t>电力，属于典型的重资产投入。然而，其商业模式却面临双重挑战：在收益端，AI产品的用户效用通常不具备网络效应，即用户数量的增加并不直接提升单个用户的体验或产品的护城河，这限制了企业的定价权。在成本端，随着用户规模扩大，所需的</w:t>
      </w:r>
      <w:proofErr w:type="gramStart"/>
      <w:r w:rsidRPr="00660147">
        <w:rPr>
          <w:rFonts w:ascii="楷体" w:eastAsia="楷体" w:hAnsi="楷体" w:hint="eastAsia"/>
          <w:color w:val="000000" w:themeColor="text1"/>
        </w:rPr>
        <w:t>算力成本</w:t>
      </w:r>
      <w:proofErr w:type="gramEnd"/>
      <w:r w:rsidRPr="00660147">
        <w:rPr>
          <w:rFonts w:ascii="楷体" w:eastAsia="楷体" w:hAnsi="楷体" w:hint="eastAsia"/>
          <w:color w:val="000000" w:themeColor="text1"/>
        </w:rPr>
        <w:t>几乎线性甚至指数增长（由于transformer架构的特性，即使良优化后的模型结构，其成本也是几近于线性的），难以实现互联网式的边际成本递减。这使得“烧钱换增长”的互联网经典模式在大模型领域可能难以为继。</w:t>
      </w:r>
    </w:p>
    <w:p w14:paraId="1B080D16" w14:textId="6AB47F17"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lastRenderedPageBreak/>
        <w:t>产业内部存在“循环融资”与利润虚高的风险。以美国为例，AI产业呈现一种头部企业相互投资、互为客户的紧密生态。科技巨头的资本开支流向</w:t>
      </w:r>
      <w:proofErr w:type="gramStart"/>
      <w:r w:rsidRPr="00660147">
        <w:rPr>
          <w:rFonts w:ascii="楷体" w:eastAsia="楷体" w:hAnsi="楷体" w:hint="eastAsia"/>
          <w:color w:val="000000" w:themeColor="text1"/>
        </w:rPr>
        <w:t>英伟达等算力</w:t>
      </w:r>
      <w:proofErr w:type="gramEnd"/>
      <w:r w:rsidRPr="00660147">
        <w:rPr>
          <w:rFonts w:ascii="楷体" w:eastAsia="楷体" w:hAnsi="楷体" w:hint="eastAsia"/>
          <w:color w:val="000000" w:themeColor="text1"/>
        </w:rPr>
        <w:t>公司，后者再将部分利润以投资形式投向应用层企业。这种内部循环能够在财务报表上层层计提巨额利润，但真正的价值源泉——终端用户实际支付的费用——规模相对有限（2025年估计约460亿美元），与支撑万亿级别美元市值的产业利润预期形成巨大反差。这种结构使得整个产业的真实盈利能力和健康状况被掩盖，存在巨大的财务泡沫风险。</w:t>
      </w:r>
    </w:p>
    <w:p w14:paraId="01B02D38" w14:textId="0A5173F4" w:rsidR="00323214" w:rsidRPr="00157396" w:rsidRDefault="00B04FB9" w:rsidP="00323214">
      <w:pPr>
        <w:pStyle w:val="3"/>
        <w:rPr>
          <w:rFonts w:ascii="楷体" w:eastAsia="楷体" w:hAnsi="楷体" w:hint="eastAsia"/>
          <w:color w:val="000000" w:themeColor="text1"/>
          <w:sz w:val="30"/>
          <w:szCs w:val="30"/>
        </w:rPr>
      </w:pPr>
      <w:bookmarkStart w:id="50" w:name="_Toc228374900"/>
      <w:r w:rsidRPr="00157396">
        <w:rPr>
          <w:rFonts w:ascii="楷体" w:eastAsia="楷体" w:hAnsi="楷体" w:hint="eastAsia"/>
          <w:color w:val="000000" w:themeColor="text1"/>
          <w:sz w:val="30"/>
          <w:szCs w:val="30"/>
        </w:rPr>
        <w:t xml:space="preserve">4.4.2 </w:t>
      </w:r>
      <w:r w:rsidR="00323214" w:rsidRPr="00157396">
        <w:rPr>
          <w:rFonts w:ascii="楷体" w:eastAsia="楷体" w:hAnsi="楷体" w:hint="eastAsia"/>
          <w:color w:val="000000" w:themeColor="text1"/>
          <w:sz w:val="30"/>
          <w:szCs w:val="30"/>
        </w:rPr>
        <w:t>数据瓶颈与治理挑战</w:t>
      </w:r>
      <w:bookmarkEnd w:id="50"/>
    </w:p>
    <w:p w14:paraId="0D1EFF32" w14:textId="0B90145B"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数据是AI的“燃料”，但其质量、获取与使用的可持续性正成为产业发展的关键制约。</w:t>
      </w:r>
    </w:p>
    <w:p w14:paraId="635FD1F8" w14:textId="3E4B698F"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高质量训练数据面临枯竭风险。当前大语言模型的训练主要基于互联网公开文本数据（从字节到字节）。随着模型参数规模</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增长，互联网上有价值的高质量数据即将被耗尽。产业下一步发展需要转向“从原子到字节”，即从现实世界实时获取并处理数据，而这需要与实体经济深度融合，其复杂度和成本将呈数量级上升。</w:t>
      </w:r>
    </w:p>
    <w:p w14:paraId="5D6886DD" w14:textId="17322EC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数据质量、隐私与版权问题日益尖锐。数据的污染（如故意投喂虚假信息）可直接导致模型输出错误，甚至被用于操纵金融市场。同时，使用受版权保护的内容进行训练引发的法律诉讼，以及由于数据隔离失效，导致用户隐私数据泄露的风险，都将使企业面临严峻的法律和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挑战，增加运营成本与不确定性。</w:t>
      </w:r>
    </w:p>
    <w:p w14:paraId="70DABC53" w14:textId="6EA6A694" w:rsidR="00323214" w:rsidRPr="00157396" w:rsidRDefault="00B04FB9" w:rsidP="00323214">
      <w:pPr>
        <w:pStyle w:val="3"/>
        <w:rPr>
          <w:rFonts w:ascii="楷体" w:eastAsia="楷体" w:hAnsi="楷体" w:hint="eastAsia"/>
          <w:color w:val="000000" w:themeColor="text1"/>
          <w:sz w:val="30"/>
          <w:szCs w:val="30"/>
        </w:rPr>
      </w:pPr>
      <w:bookmarkStart w:id="51" w:name="_Toc228374901"/>
      <w:r w:rsidRPr="00157396">
        <w:rPr>
          <w:rFonts w:ascii="楷体" w:eastAsia="楷体" w:hAnsi="楷体" w:hint="eastAsia"/>
          <w:color w:val="000000" w:themeColor="text1"/>
          <w:sz w:val="30"/>
          <w:szCs w:val="30"/>
        </w:rPr>
        <w:t xml:space="preserve">4.4.3 </w:t>
      </w:r>
      <w:r w:rsidR="00323214" w:rsidRPr="00157396">
        <w:rPr>
          <w:rFonts w:ascii="楷体" w:eastAsia="楷体" w:hAnsi="楷体" w:hint="eastAsia"/>
          <w:color w:val="000000" w:themeColor="text1"/>
          <w:sz w:val="30"/>
          <w:szCs w:val="30"/>
        </w:rPr>
        <w:t>社会接受度与监管风险</w:t>
      </w:r>
      <w:bookmarkEnd w:id="51"/>
    </w:p>
    <w:p w14:paraId="1725995D" w14:textId="2B09A727"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技术的快速迭代远超社会规范与法律框架建立的速度，导致“技术-社会”摩擦加剧。</w:t>
      </w:r>
    </w:p>
    <w:p w14:paraId="7CA9DCEF" w14:textId="27A7CC30"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幻觉”等技术缺陷严重制约关键领域落地。在金融、医疗等要求高确定性与高精度的领域，大模型存在的“幻觉”（生成不准确或虚构内容）风险是致命伤。这导致许多严肃应用场景持观望态度，阻碍了技术的大规模商业化渗透。</w:t>
      </w:r>
    </w:p>
    <w:p w14:paraId="0074761C" w14:textId="19D8A7B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监管滞后与伦理困境带来政策不确定性。全球各国政府对AI的监管仍处于探索阶段，未来在数据安全、算法透明度、内容责任、就业冲击等方面的政策收紧是大概率事件。严厉的监管可能大幅增加研发和合</w:t>
      </w:r>
      <w:proofErr w:type="gramStart"/>
      <w:r w:rsidRPr="00660147">
        <w:rPr>
          <w:rFonts w:ascii="楷体" w:eastAsia="楷体" w:hAnsi="楷体" w:hint="eastAsia"/>
          <w:color w:val="000000" w:themeColor="text1"/>
        </w:rPr>
        <w:t>规</w:t>
      </w:r>
      <w:proofErr w:type="gramEnd"/>
      <w:r w:rsidRPr="00660147">
        <w:rPr>
          <w:rFonts w:ascii="楷体" w:eastAsia="楷体" w:hAnsi="楷体" w:hint="eastAsia"/>
          <w:color w:val="000000" w:themeColor="text1"/>
        </w:rPr>
        <w:t>成本，甚至限制某些技术路径的应用。此外，AI深度伪造技术已导致声纹识别等传统安全手段失效，人脸识别等也可能面临挑战，社会信任体系的修复与重建需要巨大的监管与技术成本。</w:t>
      </w:r>
    </w:p>
    <w:p w14:paraId="2AE05530" w14:textId="1B42D9B5" w:rsidR="00323214" w:rsidRPr="00157396" w:rsidRDefault="00B04FB9" w:rsidP="00323214">
      <w:pPr>
        <w:pStyle w:val="3"/>
        <w:rPr>
          <w:rFonts w:ascii="楷体" w:eastAsia="楷体" w:hAnsi="楷体" w:hint="eastAsia"/>
          <w:color w:val="000000" w:themeColor="text1"/>
          <w:sz w:val="30"/>
          <w:szCs w:val="30"/>
        </w:rPr>
      </w:pPr>
      <w:bookmarkStart w:id="52" w:name="_Toc228374902"/>
      <w:r w:rsidRPr="00157396">
        <w:rPr>
          <w:rFonts w:ascii="楷体" w:eastAsia="楷体" w:hAnsi="楷体" w:hint="eastAsia"/>
          <w:color w:val="000000" w:themeColor="text1"/>
          <w:sz w:val="30"/>
          <w:szCs w:val="30"/>
        </w:rPr>
        <w:t xml:space="preserve">4.4.4 </w:t>
      </w:r>
      <w:r w:rsidR="00323214" w:rsidRPr="00157396">
        <w:rPr>
          <w:rFonts w:ascii="楷体" w:eastAsia="楷体" w:hAnsi="楷体" w:hint="eastAsia"/>
          <w:color w:val="000000" w:themeColor="text1"/>
          <w:sz w:val="30"/>
          <w:szCs w:val="30"/>
        </w:rPr>
        <w:t>地缘政治与供应链风险</w:t>
      </w:r>
      <w:bookmarkEnd w:id="52"/>
    </w:p>
    <w:p w14:paraId="29F28C4E" w14:textId="5ACDD6DE"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AI作为战略技术，已深度卷入大国竞争，其全球产业链的稳定性面临挑战。技术封锁与市场分割成为新常态。地缘政治紧张导致AI芯片、先进制造设备等关键技术的国际</w:t>
      </w:r>
      <w:r w:rsidRPr="00660147">
        <w:rPr>
          <w:rFonts w:ascii="楷体" w:eastAsia="楷体" w:hAnsi="楷体" w:hint="eastAsia"/>
          <w:color w:val="000000" w:themeColor="text1"/>
        </w:rPr>
        <w:lastRenderedPageBreak/>
        <w:t>流动受到限制。例如，美国从2025年末开始就</w:t>
      </w:r>
      <w:proofErr w:type="gramStart"/>
      <w:r w:rsidRPr="00660147">
        <w:rPr>
          <w:rFonts w:ascii="楷体" w:eastAsia="楷体" w:hAnsi="楷体" w:hint="eastAsia"/>
          <w:color w:val="000000" w:themeColor="text1"/>
        </w:rPr>
        <w:t>英伟达</w:t>
      </w:r>
      <w:proofErr w:type="gramEnd"/>
      <w:r w:rsidRPr="00660147">
        <w:rPr>
          <w:rFonts w:ascii="楷体" w:eastAsia="楷体" w:hAnsi="楷体" w:hint="eastAsia"/>
          <w:color w:val="000000" w:themeColor="text1"/>
        </w:rPr>
        <w:t>芯片出口问题一事上进行反复的政治操弄，将AI</w:t>
      </w:r>
      <w:proofErr w:type="gramStart"/>
      <w:r w:rsidRPr="00660147">
        <w:rPr>
          <w:rFonts w:ascii="楷体" w:eastAsia="楷体" w:hAnsi="楷体" w:hint="eastAsia"/>
          <w:color w:val="000000" w:themeColor="text1"/>
        </w:rPr>
        <w:t>算力基建</w:t>
      </w:r>
      <w:proofErr w:type="gramEnd"/>
      <w:r w:rsidRPr="00660147">
        <w:rPr>
          <w:rFonts w:ascii="楷体" w:eastAsia="楷体" w:hAnsi="楷体" w:hint="eastAsia"/>
          <w:color w:val="000000" w:themeColor="text1"/>
        </w:rPr>
        <w:t>供应</w:t>
      </w:r>
      <w:proofErr w:type="gramStart"/>
      <w:r w:rsidRPr="00660147">
        <w:rPr>
          <w:rFonts w:ascii="楷体" w:eastAsia="楷体" w:hAnsi="楷体" w:hint="eastAsia"/>
          <w:color w:val="000000" w:themeColor="text1"/>
        </w:rPr>
        <w:t>链武器</w:t>
      </w:r>
      <w:proofErr w:type="gramEnd"/>
      <w:r w:rsidRPr="00660147">
        <w:rPr>
          <w:rFonts w:ascii="楷体" w:eastAsia="楷体" w:hAnsi="楷体" w:hint="eastAsia"/>
          <w:color w:val="000000" w:themeColor="text1"/>
        </w:rPr>
        <w:t>化。其现实迫使企业构建本土化供应链</w:t>
      </w:r>
      <w:r w:rsidR="00B9788C" w:rsidRPr="00660147">
        <w:rPr>
          <w:rFonts w:ascii="楷体" w:eastAsia="楷体" w:hAnsi="楷体" w:hint="eastAsia"/>
          <w:color w:val="000000" w:themeColor="text1"/>
        </w:rPr>
        <w:t>（一个案例是即将在2026年下半年面试的华为昇腾超节点服务器），</w:t>
      </w:r>
      <w:r w:rsidRPr="00660147">
        <w:rPr>
          <w:rFonts w:ascii="楷体" w:eastAsia="楷体" w:hAnsi="楷体" w:hint="eastAsia"/>
          <w:color w:val="000000" w:themeColor="text1"/>
        </w:rPr>
        <w:t>但在短期内可能面临成本上升、性能折衷和技术迭代速度放缓的问题。</w:t>
      </w:r>
    </w:p>
    <w:p w14:paraId="0B262AF5" w14:textId="626DE3B1"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全球市场可能分裂为不同技术标准与生态的“孤岛”。各国出于数据主权和安全考虑，可能要求数据本地化并培育本土AI企业，这将碎片</w:t>
      </w:r>
      <w:proofErr w:type="gramStart"/>
      <w:r w:rsidRPr="00660147">
        <w:rPr>
          <w:rFonts w:ascii="楷体" w:eastAsia="楷体" w:hAnsi="楷体" w:hint="eastAsia"/>
          <w:color w:val="000000" w:themeColor="text1"/>
        </w:rPr>
        <w:t>化全球</w:t>
      </w:r>
      <w:proofErr w:type="gramEnd"/>
      <w:r w:rsidRPr="00660147">
        <w:rPr>
          <w:rFonts w:ascii="楷体" w:eastAsia="楷体" w:hAnsi="楷体" w:hint="eastAsia"/>
          <w:color w:val="000000" w:themeColor="text1"/>
        </w:rPr>
        <w:t>统一市场，削弱领先企业的规模优势，并导致重复建设和资源浪费。</w:t>
      </w:r>
    </w:p>
    <w:p w14:paraId="524AA224" w14:textId="399548B7" w:rsidR="00323214" w:rsidRPr="00157396" w:rsidRDefault="00B04FB9" w:rsidP="00323214">
      <w:pPr>
        <w:pStyle w:val="3"/>
        <w:rPr>
          <w:rFonts w:ascii="楷体" w:eastAsia="楷体" w:hAnsi="楷体" w:hint="eastAsia"/>
          <w:color w:val="000000" w:themeColor="text1"/>
          <w:sz w:val="30"/>
          <w:szCs w:val="30"/>
        </w:rPr>
      </w:pPr>
      <w:bookmarkStart w:id="53" w:name="_Toc228374903"/>
      <w:r w:rsidRPr="00157396">
        <w:rPr>
          <w:rFonts w:ascii="楷体" w:eastAsia="楷体" w:hAnsi="楷体" w:hint="eastAsia"/>
          <w:color w:val="000000" w:themeColor="text1"/>
          <w:sz w:val="30"/>
          <w:szCs w:val="30"/>
        </w:rPr>
        <w:t xml:space="preserve">4.4.5 </w:t>
      </w:r>
      <w:r w:rsidR="00323214" w:rsidRPr="00157396">
        <w:rPr>
          <w:rFonts w:ascii="楷体" w:eastAsia="楷体" w:hAnsi="楷体" w:hint="eastAsia"/>
          <w:color w:val="000000" w:themeColor="text1"/>
          <w:sz w:val="30"/>
          <w:szCs w:val="30"/>
        </w:rPr>
        <w:t>竞争失焦风险</w:t>
      </w:r>
      <w:bookmarkEnd w:id="53"/>
    </w:p>
    <w:p w14:paraId="1CDC8332" w14:textId="6D8475E1"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产业的爆炸式增长掩盖了其底层生态的某些脆弱性，并可能引发非理性的竞争。</w:t>
      </w:r>
    </w:p>
    <w:p w14:paraId="27FC1AD1" w14:textId="26BE712D"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早期阶段的激烈竞争可能导致资源错配。尽管产业处于早期，但竞争已白热化。知名投资人指出，对于最终技术路线和胜出者的判断“难度非常大”。在不确定性极高的情况下，大量资本可能涌入相似或尚未验证的赛道，造成泡沫。同时，企业为争夺人才</w:t>
      </w:r>
      <w:proofErr w:type="gramStart"/>
      <w:r w:rsidRPr="00660147">
        <w:rPr>
          <w:rFonts w:ascii="楷体" w:eastAsia="楷体" w:hAnsi="楷体" w:hint="eastAsia"/>
          <w:color w:val="000000" w:themeColor="text1"/>
        </w:rPr>
        <w:t>和算力资源</w:t>
      </w:r>
      <w:proofErr w:type="gramEnd"/>
      <w:r w:rsidRPr="00660147">
        <w:rPr>
          <w:rFonts w:ascii="楷体" w:eastAsia="楷体" w:hAnsi="楷体" w:hint="eastAsia"/>
          <w:color w:val="000000" w:themeColor="text1"/>
        </w:rPr>
        <w:t>而进行的非理性投入，可能透支长期发展潜力。</w:t>
      </w:r>
    </w:p>
    <w:p w14:paraId="1FADCAE3" w14:textId="2899AFC2" w:rsidR="00323214" w:rsidRPr="00660147" w:rsidRDefault="00323214" w:rsidP="00323214">
      <w:pPr>
        <w:rPr>
          <w:rFonts w:ascii="楷体" w:eastAsia="楷体" w:hAnsi="楷体" w:hint="eastAsia"/>
          <w:color w:val="000000" w:themeColor="text1"/>
        </w:rPr>
      </w:pPr>
      <w:r w:rsidRPr="00660147">
        <w:rPr>
          <w:rFonts w:ascii="楷体" w:eastAsia="楷体" w:hAnsi="楷体" w:hint="eastAsia"/>
          <w:color w:val="000000" w:themeColor="text1"/>
        </w:rPr>
        <w:t>竞争焦点可能从技术创新转向资本与宣传战。当技术突破进入平台期，部分企业或投资者可能倾向于通过制造营销热点、进行复杂的资本运作来维持估值，而非沉心于艰苦的底层技术创新，这将对产业的健康发展造成损害。</w:t>
      </w:r>
      <w:r w:rsidR="00B9788C" w:rsidRPr="00660147">
        <w:rPr>
          <w:rFonts w:ascii="楷体" w:eastAsia="楷体" w:hAnsi="楷体" w:hint="eastAsia"/>
          <w:color w:val="000000" w:themeColor="text1"/>
        </w:rPr>
        <w:t>Kimi与minimax</w:t>
      </w:r>
      <w:r w:rsidR="009C2B03" w:rsidRPr="00660147">
        <w:rPr>
          <w:rFonts w:ascii="楷体" w:eastAsia="楷体" w:hAnsi="楷体" w:hint="eastAsia"/>
          <w:color w:val="000000" w:themeColor="text1"/>
        </w:rPr>
        <w:t>的高层都</w:t>
      </w:r>
      <w:r w:rsidR="00A803F3" w:rsidRPr="00660147">
        <w:rPr>
          <w:rFonts w:ascii="楷体" w:eastAsia="楷体" w:hAnsi="楷体" w:hint="eastAsia"/>
          <w:color w:val="000000" w:themeColor="text1"/>
        </w:rPr>
        <w:t>曾坦言经历过对于宣发的痴迷阶段，但是最终</w:t>
      </w:r>
      <w:r w:rsidR="009C2B03" w:rsidRPr="00660147">
        <w:rPr>
          <w:rFonts w:ascii="楷体" w:eastAsia="楷体" w:hAnsi="楷体" w:hint="eastAsia"/>
          <w:color w:val="000000" w:themeColor="text1"/>
        </w:rPr>
        <w:t>调用量和业绩的反馈</w:t>
      </w:r>
      <w:r w:rsidR="00A803F3" w:rsidRPr="00660147">
        <w:rPr>
          <w:rFonts w:ascii="楷体" w:eastAsia="楷体" w:hAnsi="楷体" w:hint="eastAsia"/>
          <w:color w:val="000000" w:themeColor="text1"/>
        </w:rPr>
        <w:t>还是</w:t>
      </w:r>
      <w:r w:rsidR="009C2B03" w:rsidRPr="00660147">
        <w:rPr>
          <w:rFonts w:ascii="楷体" w:eastAsia="楷体" w:hAnsi="楷体" w:hint="eastAsia"/>
          <w:color w:val="000000" w:themeColor="text1"/>
        </w:rPr>
        <w:t>使之</w:t>
      </w:r>
      <w:r w:rsidR="00A803F3" w:rsidRPr="00660147">
        <w:rPr>
          <w:rFonts w:ascii="楷体" w:eastAsia="楷体" w:hAnsi="楷体" w:hint="eastAsia"/>
          <w:color w:val="000000" w:themeColor="text1"/>
        </w:rPr>
        <w:t>回归</w:t>
      </w:r>
      <w:r w:rsidR="009C2B03" w:rsidRPr="00660147">
        <w:rPr>
          <w:rFonts w:ascii="楷体" w:eastAsia="楷体" w:hAnsi="楷体" w:hint="eastAsia"/>
          <w:color w:val="000000" w:themeColor="text1"/>
        </w:rPr>
        <w:t>到</w:t>
      </w:r>
      <w:r w:rsidR="00A803F3" w:rsidRPr="00660147">
        <w:rPr>
          <w:rFonts w:ascii="楷体" w:eastAsia="楷体" w:hAnsi="楷体" w:hint="eastAsia"/>
          <w:color w:val="000000" w:themeColor="text1"/>
        </w:rPr>
        <w:t>了以技术和效率优先的道路上。</w:t>
      </w:r>
    </w:p>
    <w:p w14:paraId="4B4DC7B2" w14:textId="655BC9CB" w:rsidR="00A803F3" w:rsidRPr="00157396" w:rsidRDefault="00AB21D0" w:rsidP="00A803F3">
      <w:pPr>
        <w:pStyle w:val="3"/>
        <w:rPr>
          <w:rFonts w:ascii="楷体" w:eastAsia="楷体" w:hAnsi="楷体" w:hint="eastAsia"/>
          <w:color w:val="000000" w:themeColor="text1"/>
          <w:sz w:val="30"/>
          <w:szCs w:val="30"/>
        </w:rPr>
      </w:pPr>
      <w:bookmarkStart w:id="54" w:name="_Toc228374904"/>
      <w:r w:rsidRPr="00157396">
        <w:rPr>
          <w:rFonts w:ascii="楷体" w:eastAsia="楷体" w:hAnsi="楷体" w:hint="eastAsia"/>
          <w:color w:val="000000" w:themeColor="text1"/>
          <w:sz w:val="30"/>
          <w:szCs w:val="30"/>
        </w:rPr>
        <w:t xml:space="preserve">4.4.6 </w:t>
      </w:r>
      <w:r w:rsidR="00A803F3" w:rsidRPr="00157396">
        <w:rPr>
          <w:rFonts w:ascii="楷体" w:eastAsia="楷体" w:hAnsi="楷体" w:hint="eastAsia"/>
          <w:color w:val="000000" w:themeColor="text1"/>
          <w:sz w:val="30"/>
          <w:szCs w:val="30"/>
        </w:rPr>
        <w:t>远期技术路线错误的可能性</w:t>
      </w:r>
      <w:bookmarkEnd w:id="54"/>
      <w:r w:rsidR="00A803F3" w:rsidRPr="00157396">
        <w:rPr>
          <w:rFonts w:ascii="楷体" w:eastAsia="楷体" w:hAnsi="楷体" w:hint="eastAsia"/>
          <w:color w:val="000000" w:themeColor="text1"/>
          <w:sz w:val="30"/>
          <w:szCs w:val="30"/>
        </w:rPr>
        <w:t xml:space="preserve"> </w:t>
      </w:r>
    </w:p>
    <w:p w14:paraId="01F2E6C9" w14:textId="42B3253E"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当前大模型产业将核心赌注押在改良</w:t>
      </w:r>
      <w:r w:rsidR="00FF5EF9" w:rsidRPr="00660147">
        <w:rPr>
          <w:rFonts w:ascii="楷体" w:eastAsia="楷体" w:hAnsi="楷体" w:hint="eastAsia"/>
          <w:color w:val="000000" w:themeColor="text1"/>
        </w:rPr>
        <w:t>的</w:t>
      </w:r>
      <w:r w:rsidRPr="00660147">
        <w:rPr>
          <w:rFonts w:ascii="楷体" w:eastAsia="楷体" w:hAnsi="楷体" w:hint="eastAsia"/>
          <w:color w:val="000000" w:themeColor="text1"/>
        </w:rPr>
        <w:t>Transformer</w:t>
      </w:r>
      <w:r w:rsidR="009C2B03" w:rsidRPr="00660147">
        <w:rPr>
          <w:rFonts w:ascii="楷体" w:eastAsia="楷体" w:hAnsi="楷体" w:hint="eastAsia"/>
          <w:color w:val="000000" w:themeColor="text1"/>
        </w:rPr>
        <w:t>和</w:t>
      </w:r>
      <w:proofErr w:type="spellStart"/>
      <w:r w:rsidR="009C2B03" w:rsidRPr="00660147">
        <w:rPr>
          <w:rFonts w:ascii="楷体" w:eastAsia="楷体" w:hAnsi="楷体" w:hint="eastAsia"/>
          <w:color w:val="000000" w:themeColor="text1"/>
        </w:rPr>
        <w:t>MoE</w:t>
      </w:r>
      <w:proofErr w:type="spellEnd"/>
      <w:r w:rsidR="00FF5EF9" w:rsidRPr="00660147">
        <w:rPr>
          <w:rFonts w:ascii="楷体" w:eastAsia="楷体" w:hAnsi="楷体" w:hint="eastAsia"/>
          <w:color w:val="000000" w:themeColor="text1"/>
        </w:rPr>
        <w:t>混合</w:t>
      </w:r>
      <w:r w:rsidRPr="00660147">
        <w:rPr>
          <w:rFonts w:ascii="楷体" w:eastAsia="楷体" w:hAnsi="楷体" w:hint="eastAsia"/>
          <w:color w:val="000000" w:themeColor="text1"/>
        </w:rPr>
        <w:t>架构、Scaling Law与</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范式的组合上。</w:t>
      </w:r>
      <w:r w:rsidR="009C2B03" w:rsidRPr="00660147">
        <w:rPr>
          <w:rFonts w:ascii="楷体" w:eastAsia="楷体" w:hAnsi="楷体" w:hint="eastAsia"/>
          <w:color w:val="000000" w:themeColor="text1"/>
        </w:rPr>
        <w:t>本质并未脱离植根于Transformer</w:t>
      </w:r>
      <w:r w:rsidR="009851AD" w:rsidRPr="00660147">
        <w:rPr>
          <w:rFonts w:ascii="楷体" w:eastAsia="楷体" w:hAnsi="楷体" w:hint="eastAsia"/>
          <w:color w:val="000000" w:themeColor="text1"/>
        </w:rPr>
        <w:t>的</w:t>
      </w:r>
      <w:r w:rsidR="002A75FD" w:rsidRPr="00660147">
        <w:rPr>
          <w:rFonts w:ascii="楷体" w:eastAsia="楷体" w:hAnsi="楷体" w:hint="eastAsia"/>
          <w:color w:val="000000" w:themeColor="text1"/>
        </w:rPr>
        <w:t>基本路线</w:t>
      </w:r>
      <w:r w:rsidR="009C2B03" w:rsidRPr="00660147">
        <w:rPr>
          <w:rFonts w:ascii="楷体" w:eastAsia="楷体" w:hAnsi="楷体" w:hint="eastAsia"/>
          <w:color w:val="000000" w:themeColor="text1"/>
        </w:rPr>
        <w:t>。</w:t>
      </w:r>
      <w:r w:rsidRPr="00660147">
        <w:rPr>
          <w:rFonts w:ascii="楷体" w:eastAsia="楷体" w:hAnsi="楷体" w:hint="eastAsia"/>
          <w:color w:val="000000" w:themeColor="text1"/>
        </w:rPr>
        <w:t>这一路线虽带来惊人进展，但存在被证伪或边际失效的系统性风险。</w:t>
      </w:r>
    </w:p>
    <w:p w14:paraId="5E8C6ECE" w14:textId="0574E188"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第一，Transformer可能不是通用智能的终极载体。 注意力机制的计算复杂度与序列长度呈平方关系，导致长上下文扩展面临严峻</w:t>
      </w:r>
      <w:proofErr w:type="gramStart"/>
      <w:r w:rsidRPr="00660147">
        <w:rPr>
          <w:rFonts w:ascii="楷体" w:eastAsia="楷体" w:hAnsi="楷体" w:hint="eastAsia"/>
          <w:color w:val="000000" w:themeColor="text1"/>
        </w:rPr>
        <w:t>的算力边际</w:t>
      </w:r>
      <w:proofErr w:type="gramEnd"/>
      <w:r w:rsidRPr="00660147">
        <w:rPr>
          <w:rFonts w:ascii="楷体" w:eastAsia="楷体" w:hAnsi="楷体" w:hint="eastAsia"/>
          <w:color w:val="000000" w:themeColor="text1"/>
        </w:rPr>
        <w:t>递减。</w:t>
      </w:r>
      <w:r w:rsidR="00281984" w:rsidRPr="00660147">
        <w:rPr>
          <w:rFonts w:ascii="楷体" w:eastAsia="楷体" w:hAnsi="楷体" w:hint="eastAsia"/>
          <w:color w:val="000000" w:themeColor="text1"/>
        </w:rPr>
        <w:t>在成本上面临着和RNN时代类似的扩张不经济性。</w:t>
      </w:r>
      <w:r w:rsidRPr="00660147">
        <w:rPr>
          <w:rFonts w:ascii="楷体" w:eastAsia="楷体" w:hAnsi="楷体" w:hint="eastAsia"/>
          <w:color w:val="000000" w:themeColor="text1"/>
        </w:rPr>
        <w:t>更根本的是，Transformer的"一次性前向生成"缺乏人类认知中系统性的迭代回溯与因果验证能力，当前的"思维链"只是外部补丁而非架构内生。Mamba、状态空间模型及神经符号</w:t>
      </w:r>
      <w:r w:rsidR="00805DE6" w:rsidRPr="00660147">
        <w:rPr>
          <w:rFonts w:ascii="楷体" w:eastAsia="楷体" w:hAnsi="楷体" w:hint="eastAsia"/>
          <w:color w:val="000000" w:themeColor="text1"/>
        </w:rPr>
        <w:t>等将人类认知底层逻辑内化更深的</w:t>
      </w:r>
      <w:r w:rsidRPr="00660147">
        <w:rPr>
          <w:rFonts w:ascii="楷体" w:eastAsia="楷体" w:hAnsi="楷体" w:hint="eastAsia"/>
          <w:color w:val="000000" w:themeColor="text1"/>
        </w:rPr>
        <w:t>路线正在积蓄替代力量。</w:t>
      </w:r>
    </w:p>
    <w:p w14:paraId="4C83C11C" w14:textId="7E1D1DA7"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第二，Scaling Law的信仰面临三重裂痕。 优质文本数据即将耗尽，合成数据存在自我污染与分布坍缩风险；从GPT-3到GPT-4的跨越惊艳，但后续代际提升已现收敛态势；所谓的"能力涌现"可能只是评测基准的粒度效应，而非真正的智能跃迁。</w:t>
      </w:r>
      <w:r w:rsidR="0036035B" w:rsidRPr="00660147">
        <w:rPr>
          <w:rFonts w:ascii="楷体" w:eastAsia="楷体" w:hAnsi="楷体" w:hint="eastAsia"/>
          <w:color w:val="000000" w:themeColor="text1"/>
        </w:rPr>
        <w:t>近年来顶级大模型在一些简单形式逻辑计算问题上屡屡遭遇阻碍的现实已经体现</w:t>
      </w:r>
      <w:r w:rsidR="00135835" w:rsidRPr="00660147">
        <w:rPr>
          <w:rFonts w:ascii="楷体" w:eastAsia="楷体" w:hAnsi="楷体" w:hint="eastAsia"/>
          <w:color w:val="000000" w:themeColor="text1"/>
        </w:rPr>
        <w:t>这一观点的</w:t>
      </w:r>
      <w:r w:rsidR="00135835" w:rsidRPr="00660147">
        <w:rPr>
          <w:rFonts w:ascii="楷体" w:eastAsia="楷体" w:hAnsi="楷体" w:hint="eastAsia"/>
          <w:color w:val="000000" w:themeColor="text1"/>
        </w:rPr>
        <w:lastRenderedPageBreak/>
        <w:t>正确性。</w:t>
      </w:r>
      <w:proofErr w:type="gramStart"/>
      <w:r w:rsidRPr="00660147">
        <w:rPr>
          <w:rFonts w:ascii="楷体" w:eastAsia="楷体" w:hAnsi="楷体" w:hint="eastAsia"/>
          <w:color w:val="000000" w:themeColor="text1"/>
        </w:rPr>
        <w:t>若</w:t>
      </w:r>
      <w:r w:rsidR="00135835" w:rsidRPr="00660147">
        <w:rPr>
          <w:rFonts w:ascii="楷体" w:eastAsia="楷体" w:hAnsi="楷体" w:hint="eastAsia"/>
          <w:color w:val="000000" w:themeColor="text1"/>
        </w:rPr>
        <w:t>现有</w:t>
      </w:r>
      <w:proofErr w:type="gramEnd"/>
      <w:r w:rsidR="00135835" w:rsidRPr="00660147">
        <w:rPr>
          <w:rFonts w:ascii="楷体" w:eastAsia="楷体" w:hAnsi="楷体" w:hint="eastAsia"/>
          <w:color w:val="000000" w:themeColor="text1"/>
        </w:rPr>
        <w:t>的模型</w:t>
      </w:r>
      <w:r w:rsidRPr="00660147">
        <w:rPr>
          <w:rFonts w:ascii="楷体" w:eastAsia="楷体" w:hAnsi="楷体" w:hint="eastAsia"/>
          <w:color w:val="000000" w:themeColor="text1"/>
        </w:rPr>
        <w:t>智能本质是</w:t>
      </w:r>
      <w:proofErr w:type="gramStart"/>
      <w:r w:rsidR="0036035B" w:rsidRPr="00660147">
        <w:rPr>
          <w:rFonts w:ascii="楷体" w:eastAsia="楷体" w:hAnsi="楷体" w:hint="eastAsia"/>
          <w:color w:val="000000" w:themeColor="text1"/>
        </w:rPr>
        <w:t>高复杂</w:t>
      </w:r>
      <w:proofErr w:type="gramEnd"/>
      <w:r w:rsidR="0036035B" w:rsidRPr="00660147">
        <w:rPr>
          <w:rFonts w:ascii="楷体" w:eastAsia="楷体" w:hAnsi="楷体" w:hint="eastAsia"/>
          <w:color w:val="000000" w:themeColor="text1"/>
        </w:rPr>
        <w:t>度下的</w:t>
      </w:r>
      <w:r w:rsidRPr="00660147">
        <w:rPr>
          <w:rFonts w:ascii="楷体" w:eastAsia="楷体" w:hAnsi="楷体" w:hint="eastAsia"/>
          <w:color w:val="000000" w:themeColor="text1"/>
        </w:rPr>
        <w:t>因果建模而</w:t>
      </w:r>
      <w:proofErr w:type="gramStart"/>
      <w:r w:rsidRPr="00660147">
        <w:rPr>
          <w:rFonts w:ascii="楷体" w:eastAsia="楷体" w:hAnsi="楷体" w:hint="eastAsia"/>
          <w:color w:val="000000" w:themeColor="text1"/>
        </w:rPr>
        <w:t>非模式</w:t>
      </w:r>
      <w:proofErr w:type="gramEnd"/>
      <w:r w:rsidRPr="00660147">
        <w:rPr>
          <w:rFonts w:ascii="楷体" w:eastAsia="楷体" w:hAnsi="楷体" w:hint="eastAsia"/>
          <w:color w:val="000000" w:themeColor="text1"/>
        </w:rPr>
        <w:t>压缩，Scaling Law或只是在制造更大的鹦鹉。</w:t>
      </w:r>
    </w:p>
    <w:p w14:paraId="75942BB5" w14:textId="77777777"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第三，"</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 xml:space="preserve">+对齐"范式可能误解了智能的形成机制。 </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本质是对人类知识分布的记忆压缩与插值，而非因果发现与假设生成。RLHF对齐在提升安全性的同时，系统性地抑制了模型的探索性与创造性，可能难以产生真正的科学洞见。此外，当前路线是"语言中心主义"的，缺乏对世界物理因果的直接建模，可能本末倒置。</w:t>
      </w:r>
    </w:p>
    <w:p w14:paraId="505DA51B" w14:textId="1081ED20" w:rsidR="00A803F3" w:rsidRPr="00660147" w:rsidRDefault="00A803F3" w:rsidP="00A803F3">
      <w:pPr>
        <w:rPr>
          <w:rFonts w:ascii="楷体" w:eastAsia="楷体" w:hAnsi="楷体" w:hint="eastAsia"/>
          <w:color w:val="000000" w:themeColor="text1"/>
        </w:rPr>
      </w:pPr>
      <w:r w:rsidRPr="00660147">
        <w:rPr>
          <w:rFonts w:ascii="楷体" w:eastAsia="楷体" w:hAnsi="楷体" w:hint="eastAsia"/>
          <w:color w:val="000000" w:themeColor="text1"/>
        </w:rPr>
        <w:t>第四，算法效率革命可能瞬间</w:t>
      </w:r>
      <w:proofErr w:type="gramStart"/>
      <w:r w:rsidRPr="00660147">
        <w:rPr>
          <w:rFonts w:ascii="楷体" w:eastAsia="楷体" w:hAnsi="楷体" w:hint="eastAsia"/>
          <w:color w:val="000000" w:themeColor="text1"/>
        </w:rPr>
        <w:t>瓦解算力壁垒</w:t>
      </w:r>
      <w:proofErr w:type="gramEnd"/>
      <w:r w:rsidRPr="00660147">
        <w:rPr>
          <w:rFonts w:ascii="楷体" w:eastAsia="楷体" w:hAnsi="楷体" w:hint="eastAsia"/>
          <w:color w:val="000000" w:themeColor="text1"/>
        </w:rPr>
        <w:t>。 DeepSeek以极低成本达到第一梯队性能，表明当前性能差距很大程度上源于工程优化不足而</w:t>
      </w:r>
      <w:proofErr w:type="gramStart"/>
      <w:r w:rsidRPr="00660147">
        <w:rPr>
          <w:rFonts w:ascii="楷体" w:eastAsia="楷体" w:hAnsi="楷体" w:hint="eastAsia"/>
          <w:color w:val="000000" w:themeColor="text1"/>
        </w:rPr>
        <w:t>非算力投入</w:t>
      </w:r>
      <w:proofErr w:type="gramEnd"/>
      <w:r w:rsidRPr="00660147">
        <w:rPr>
          <w:rFonts w:ascii="楷体" w:eastAsia="楷体" w:hAnsi="楷体" w:hint="eastAsia"/>
          <w:color w:val="000000" w:themeColor="text1"/>
        </w:rPr>
        <w:t>不足。若算法效率存在十倍甚至百倍的提升空间，</w:t>
      </w:r>
      <w:proofErr w:type="gramStart"/>
      <w:r w:rsidRPr="00660147">
        <w:rPr>
          <w:rFonts w:ascii="楷体" w:eastAsia="楷体" w:hAnsi="楷体" w:hint="eastAsia"/>
          <w:color w:val="000000" w:themeColor="text1"/>
        </w:rPr>
        <w:t>基于"算力</w:t>
      </w:r>
      <w:proofErr w:type="gramEnd"/>
      <w:r w:rsidRPr="00660147">
        <w:rPr>
          <w:rFonts w:ascii="楷体" w:eastAsia="楷体" w:hAnsi="楷体" w:hint="eastAsia"/>
          <w:color w:val="000000" w:themeColor="text1"/>
        </w:rPr>
        <w:t>军备竞赛"的产业格局将面临需求崩塌风险，巨额资本开支的叙事逻辑也将被撕裂。</w:t>
      </w:r>
      <w:r w:rsidR="00AB21D0" w:rsidRPr="00660147">
        <w:rPr>
          <w:rFonts w:ascii="楷体" w:eastAsia="楷体" w:hAnsi="楷体" w:hint="eastAsia"/>
          <w:color w:val="000000" w:themeColor="text1"/>
        </w:rPr>
        <w:t>押注工程能力还是算法总量将是长期内一个不能不深思熟虑</w:t>
      </w:r>
      <w:r w:rsidR="006D3DF1" w:rsidRPr="00660147">
        <w:rPr>
          <w:rFonts w:ascii="楷体" w:eastAsia="楷体" w:hAnsi="楷体" w:hint="eastAsia"/>
          <w:color w:val="000000" w:themeColor="text1"/>
        </w:rPr>
        <w:t>重要抉择。</w:t>
      </w:r>
    </w:p>
    <w:p w14:paraId="45579076" w14:textId="0F13B016" w:rsidR="00A803F3" w:rsidRPr="00660147" w:rsidRDefault="00A803F3" w:rsidP="00323214">
      <w:pPr>
        <w:rPr>
          <w:rFonts w:ascii="楷体" w:eastAsia="楷体" w:hAnsi="楷体" w:hint="eastAsia"/>
          <w:color w:val="000000" w:themeColor="text1"/>
        </w:rPr>
      </w:pPr>
      <w:r w:rsidRPr="00660147">
        <w:rPr>
          <w:rFonts w:ascii="楷体" w:eastAsia="楷体" w:hAnsi="楷体" w:hint="eastAsia"/>
          <w:color w:val="000000" w:themeColor="text1"/>
        </w:rPr>
        <w:t>对投资而言，当前路线短期内仍具产业惯性，但若未来2-4年出现Scaling Law显著边际失效、替代架构代际超越或算法效率持续跃升等信号，行业将面临范式级别的重估。大模型投资的核心风险不是技术失败，而是"当前路线能走多远"的技术路线二元风险。</w:t>
      </w:r>
    </w:p>
    <w:p w14:paraId="179062D1" w14:textId="210ED67F" w:rsidR="002B152A" w:rsidRPr="00157396" w:rsidRDefault="006D3DF1" w:rsidP="00186848">
      <w:pPr>
        <w:pStyle w:val="3"/>
        <w:rPr>
          <w:rFonts w:ascii="楷体" w:eastAsia="楷体" w:hAnsi="楷体" w:hint="eastAsia"/>
          <w:color w:val="000000" w:themeColor="text1"/>
          <w:sz w:val="30"/>
          <w:szCs w:val="30"/>
        </w:rPr>
      </w:pPr>
      <w:bookmarkStart w:id="55" w:name="_Toc228374905"/>
      <w:r w:rsidRPr="00157396">
        <w:rPr>
          <w:rFonts w:ascii="楷体" w:eastAsia="楷体" w:hAnsi="楷体" w:hint="eastAsia"/>
          <w:color w:val="000000" w:themeColor="text1"/>
          <w:sz w:val="30"/>
          <w:szCs w:val="30"/>
        </w:rPr>
        <w:t>4.4.7</w:t>
      </w:r>
      <w:r w:rsidR="007677E5" w:rsidRPr="00157396">
        <w:rPr>
          <w:rFonts w:ascii="楷体" w:eastAsia="楷体" w:hAnsi="楷体" w:hint="eastAsia"/>
          <w:color w:val="000000" w:themeColor="text1"/>
          <w:sz w:val="30"/>
          <w:szCs w:val="30"/>
        </w:rPr>
        <w:t>特斯拉时刻和OGAS时刻的可能性</w:t>
      </w:r>
      <w:bookmarkEnd w:id="55"/>
      <w:r w:rsidR="00D6092B" w:rsidRPr="00157396">
        <w:rPr>
          <w:rFonts w:ascii="楷体" w:eastAsia="楷体" w:hAnsi="楷体" w:hint="eastAsia"/>
          <w:color w:val="000000" w:themeColor="text1"/>
          <w:sz w:val="30"/>
          <w:szCs w:val="30"/>
        </w:rPr>
        <w:t xml:space="preserve"> </w:t>
      </w:r>
    </w:p>
    <w:p w14:paraId="39A6BE62" w14:textId="4085D844"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历史经验表明，足以重构资源配置逻辑的技术革命，往往遭遇超越工程层面的不可抗力干预或限制。</w:t>
      </w:r>
    </w:p>
    <w:p w14:paraId="4CE2900A" w14:textId="16CD64F0"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二十世纪初，尼古拉·特斯拉提出的无线电力传输方案，其搁浅并非单纯源于技术瓶颈。更深层的制约在于，一个开放获取的能源网络，将直接瓦解基于物理电网的收费体系与既有商业格局，引发传统能源</w:t>
      </w:r>
      <w:proofErr w:type="gramStart"/>
      <w:r w:rsidRPr="00660147">
        <w:rPr>
          <w:rFonts w:ascii="楷体" w:eastAsia="楷体" w:hAnsi="楷体" w:hint="eastAsia"/>
          <w:color w:val="000000" w:themeColor="text1"/>
        </w:rPr>
        <w:t>资本资本</w:t>
      </w:r>
      <w:proofErr w:type="gramEnd"/>
      <w:r w:rsidRPr="00660147">
        <w:rPr>
          <w:rFonts w:ascii="楷体" w:eastAsia="楷体" w:hAnsi="楷体" w:hint="eastAsia"/>
          <w:color w:val="000000" w:themeColor="text1"/>
        </w:rPr>
        <w:t>的防御性退出。</w:t>
      </w:r>
    </w:p>
    <w:p w14:paraId="2ABCB2B1" w14:textId="303C05E7"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类似地，上世纪苏联设计的全国自动化信息系统（OGAS），旨在通过实时数据优化物资调度与危机响应。</w:t>
      </w:r>
      <w:proofErr w:type="gramStart"/>
      <w:r w:rsidR="00676291" w:rsidRPr="00660147">
        <w:rPr>
          <w:rFonts w:ascii="楷体" w:eastAsia="楷体" w:hAnsi="楷体" w:hint="eastAsia"/>
          <w:color w:val="000000" w:themeColor="text1"/>
        </w:rPr>
        <w:t>其愿景与</w:t>
      </w:r>
      <w:proofErr w:type="gramEnd"/>
      <w:r w:rsidR="00283F56" w:rsidRPr="00660147">
        <w:rPr>
          <w:rFonts w:ascii="楷体" w:eastAsia="楷体" w:hAnsi="楷体" w:hint="eastAsia"/>
          <w:color w:val="000000" w:themeColor="text1"/>
        </w:rPr>
        <w:t>今天的</w:t>
      </w:r>
      <w:r w:rsidR="00676291" w:rsidRPr="00660147">
        <w:rPr>
          <w:rFonts w:ascii="楷体" w:eastAsia="楷体" w:hAnsi="楷体" w:hint="eastAsia"/>
          <w:color w:val="000000" w:themeColor="text1"/>
        </w:rPr>
        <w:t>AGI十分相似。</w:t>
      </w:r>
      <w:r w:rsidRPr="00660147">
        <w:rPr>
          <w:rFonts w:ascii="楷体" w:eastAsia="楷体" w:hAnsi="楷体" w:hint="eastAsia"/>
          <w:color w:val="000000" w:themeColor="text1"/>
        </w:rPr>
        <w:t>然而，这一系统所要求的信息高度透明与决策自动化，同科层管理结构形成了张力</w:t>
      </w:r>
      <w:r w:rsidR="00676291" w:rsidRPr="00660147">
        <w:rPr>
          <w:rFonts w:ascii="楷体" w:eastAsia="楷体" w:hAnsi="楷体" w:hint="eastAsia"/>
          <w:color w:val="000000" w:themeColor="text1"/>
        </w:rPr>
        <w:t>：</w:t>
      </w:r>
      <w:r w:rsidRPr="00660147">
        <w:rPr>
          <w:rFonts w:ascii="楷体" w:eastAsia="楷体" w:hAnsi="楷体" w:hint="eastAsia"/>
          <w:color w:val="000000" w:themeColor="text1"/>
        </w:rPr>
        <w:t>当技术试图压缩信息闭环、重构决策链条时，遭遇了</w:t>
      </w:r>
      <w:r w:rsidR="00787DD9" w:rsidRPr="00660147">
        <w:rPr>
          <w:rFonts w:ascii="楷体" w:eastAsia="楷体" w:hAnsi="楷体" w:hint="eastAsia"/>
          <w:color w:val="000000" w:themeColor="text1"/>
        </w:rPr>
        <w:t>来自</w:t>
      </w:r>
      <w:r w:rsidR="00676291" w:rsidRPr="00660147">
        <w:rPr>
          <w:rFonts w:ascii="楷体" w:eastAsia="楷体" w:hAnsi="楷体" w:hint="eastAsia"/>
          <w:color w:val="000000" w:themeColor="text1"/>
        </w:rPr>
        <w:t>经济</w:t>
      </w:r>
      <w:r w:rsidR="00787DD9" w:rsidRPr="00660147">
        <w:rPr>
          <w:rFonts w:ascii="楷体" w:eastAsia="楷体" w:hAnsi="楷体" w:hint="eastAsia"/>
          <w:color w:val="000000" w:themeColor="text1"/>
        </w:rPr>
        <w:t>治理体系内部</w:t>
      </w:r>
      <w:r w:rsidRPr="00660147">
        <w:rPr>
          <w:rFonts w:ascii="楷体" w:eastAsia="楷体" w:hAnsi="楷体" w:hint="eastAsia"/>
          <w:color w:val="000000" w:themeColor="text1"/>
        </w:rPr>
        <w:t>的适应性阻力。</w:t>
      </w:r>
    </w:p>
    <w:p w14:paraId="70EF2BA2" w14:textId="0C4B9E06" w:rsidR="00186848" w:rsidRPr="00660147" w:rsidRDefault="00186848" w:rsidP="00186848">
      <w:pPr>
        <w:rPr>
          <w:rFonts w:ascii="楷体" w:eastAsia="楷体" w:hAnsi="楷体" w:hint="eastAsia"/>
          <w:color w:val="000000" w:themeColor="text1"/>
        </w:rPr>
      </w:pPr>
      <w:r w:rsidRPr="00660147">
        <w:rPr>
          <w:rFonts w:ascii="楷体" w:eastAsia="楷体" w:hAnsi="楷体" w:hint="eastAsia"/>
          <w:color w:val="000000" w:themeColor="text1"/>
        </w:rPr>
        <w:t>两个案例的共性在于：当技术不仅提升效率，更触及</w:t>
      </w:r>
      <w:r w:rsidR="00787DD9" w:rsidRPr="00660147">
        <w:rPr>
          <w:rFonts w:ascii="楷体" w:eastAsia="楷体" w:hAnsi="楷体" w:hint="eastAsia"/>
          <w:color w:val="000000" w:themeColor="text1"/>
        </w:rPr>
        <w:t>旧有经济范式</w:t>
      </w:r>
      <w:r w:rsidRPr="00660147">
        <w:rPr>
          <w:rFonts w:ascii="楷体" w:eastAsia="楷体" w:hAnsi="楷体" w:hint="eastAsia"/>
          <w:color w:val="000000" w:themeColor="text1"/>
        </w:rPr>
        <w:t>的核心逻辑时，新旧范式之间会产生结构性摩擦。对于人工智能而言，其生产力革命若深入到生产关系与治理结构的底层，同样可能触发来自既有经济范式的</w:t>
      </w:r>
      <w:proofErr w:type="gramStart"/>
      <w:r w:rsidRPr="00660147">
        <w:rPr>
          <w:rFonts w:ascii="楷体" w:eastAsia="楷体" w:hAnsi="楷体" w:hint="eastAsia"/>
          <w:color w:val="000000" w:themeColor="text1"/>
        </w:rPr>
        <w:t>制度性调适</w:t>
      </w:r>
      <w:proofErr w:type="gramEnd"/>
      <w:r w:rsidRPr="00660147">
        <w:rPr>
          <w:rFonts w:ascii="楷体" w:eastAsia="楷体" w:hAnsi="楷体" w:hint="eastAsia"/>
          <w:color w:val="000000" w:themeColor="text1"/>
        </w:rPr>
        <w:t>压力。判断AI能否穿越这一摩擦，需观察的不仅</w:t>
      </w:r>
      <w:proofErr w:type="gramStart"/>
      <w:r w:rsidRPr="00660147">
        <w:rPr>
          <w:rFonts w:ascii="楷体" w:eastAsia="楷体" w:hAnsi="楷体" w:hint="eastAsia"/>
          <w:color w:val="000000" w:themeColor="text1"/>
        </w:rPr>
        <w:t>是算力与</w:t>
      </w:r>
      <w:proofErr w:type="gramEnd"/>
      <w:r w:rsidRPr="00660147">
        <w:rPr>
          <w:rFonts w:ascii="楷体" w:eastAsia="楷体" w:hAnsi="楷体" w:hint="eastAsia"/>
          <w:color w:val="000000" w:themeColor="text1"/>
        </w:rPr>
        <w:t>算法的迭代，更是技术路径与</w:t>
      </w:r>
      <w:r w:rsidR="00392096" w:rsidRPr="00660147">
        <w:rPr>
          <w:rFonts w:ascii="楷体" w:eastAsia="楷体" w:hAnsi="楷体" w:hint="eastAsia"/>
          <w:color w:val="000000" w:themeColor="text1"/>
        </w:rPr>
        <w:t>治理</w:t>
      </w:r>
      <w:r w:rsidRPr="00660147">
        <w:rPr>
          <w:rFonts w:ascii="楷体" w:eastAsia="楷体" w:hAnsi="楷体" w:hint="eastAsia"/>
          <w:color w:val="000000" w:themeColor="text1"/>
        </w:rPr>
        <w:t>弹性之间的匹配度。</w:t>
      </w:r>
    </w:p>
    <w:p w14:paraId="24C907D6" w14:textId="77777777" w:rsidR="00D6092B" w:rsidRPr="00660147" w:rsidRDefault="00D6092B" w:rsidP="00186848">
      <w:pPr>
        <w:rPr>
          <w:rFonts w:ascii="楷体" w:eastAsia="楷体" w:hAnsi="楷体" w:hint="eastAsia"/>
          <w:color w:val="000000" w:themeColor="text1"/>
        </w:rPr>
      </w:pPr>
    </w:p>
    <w:p w14:paraId="3AB9F6A4" w14:textId="41196ACA" w:rsidR="002B152A" w:rsidRPr="00660147" w:rsidRDefault="006D3DF1" w:rsidP="002B152A">
      <w:pPr>
        <w:pStyle w:val="1"/>
        <w:rPr>
          <w:rFonts w:ascii="楷体" w:eastAsia="楷体" w:hAnsi="楷体" w:hint="eastAsia"/>
          <w:color w:val="000000" w:themeColor="text1"/>
          <w:sz w:val="36"/>
          <w:szCs w:val="36"/>
        </w:rPr>
      </w:pPr>
      <w:bookmarkStart w:id="56" w:name="_Toc228374906"/>
      <w:r w:rsidRPr="00660147">
        <w:rPr>
          <w:rFonts w:ascii="楷体" w:eastAsia="楷体" w:hAnsi="楷体" w:hint="eastAsia"/>
          <w:color w:val="000000" w:themeColor="text1"/>
          <w:sz w:val="36"/>
          <w:szCs w:val="36"/>
        </w:rPr>
        <w:lastRenderedPageBreak/>
        <w:t>5</w:t>
      </w:r>
      <w:r w:rsidR="002B152A" w:rsidRPr="00660147">
        <w:rPr>
          <w:rFonts w:ascii="楷体" w:eastAsia="楷体" w:hAnsi="楷体" w:hint="eastAsia"/>
          <w:color w:val="000000" w:themeColor="text1"/>
          <w:sz w:val="36"/>
          <w:szCs w:val="36"/>
        </w:rPr>
        <w:t>.附录</w:t>
      </w:r>
      <w:bookmarkEnd w:id="56"/>
    </w:p>
    <w:p w14:paraId="2E955F59" w14:textId="2C80E83F" w:rsidR="009B0704" w:rsidRPr="00157396" w:rsidRDefault="009B0704" w:rsidP="009B0704">
      <w:pPr>
        <w:pStyle w:val="2"/>
        <w:rPr>
          <w:rFonts w:ascii="楷体" w:eastAsia="楷体" w:hAnsi="楷体" w:hint="eastAsia"/>
          <w:color w:val="000000" w:themeColor="text1"/>
          <w:sz w:val="32"/>
          <w:szCs w:val="32"/>
        </w:rPr>
      </w:pPr>
      <w:bookmarkStart w:id="57" w:name="_Toc228374907"/>
      <w:r w:rsidRPr="00157396">
        <w:rPr>
          <w:rFonts w:ascii="楷体" w:eastAsia="楷体" w:hAnsi="楷体" w:hint="eastAsia"/>
          <w:color w:val="000000" w:themeColor="text1"/>
          <w:sz w:val="32"/>
          <w:szCs w:val="32"/>
        </w:rPr>
        <w:t>5.1 技术原理</w:t>
      </w:r>
      <w:bookmarkEnd w:id="57"/>
    </w:p>
    <w:p w14:paraId="337795A7" w14:textId="77777777" w:rsidR="009B0704" w:rsidRPr="00660147" w:rsidRDefault="009B0704" w:rsidP="009B0704">
      <w:pPr>
        <w:pStyle w:val="FirstParagraph"/>
        <w:rPr>
          <w:rFonts w:ascii="楷体" w:eastAsia="楷体" w:hAnsi="楷体"/>
          <w:color w:val="000000" w:themeColor="text1"/>
          <w:lang w:eastAsia="zh-CN"/>
        </w:rPr>
      </w:pPr>
      <w:r w:rsidRPr="00660147">
        <w:rPr>
          <w:rFonts w:ascii="楷体" w:eastAsia="楷体" w:hAnsi="楷体"/>
          <w:color w:val="000000" w:themeColor="text1"/>
          <w:szCs w:val="22"/>
          <w:lang w:eastAsia="zh-CN"/>
        </w:rPr>
        <w:t>起点（2017）其技术本质根植于</w:t>
      </w:r>
      <w:r w:rsidRPr="00660147">
        <w:rPr>
          <w:rFonts w:ascii="楷体" w:eastAsia="楷体" w:hAnsi="楷体"/>
          <w:color w:val="000000" w:themeColor="text1"/>
          <w:lang w:eastAsia="zh-CN"/>
        </w:rPr>
        <w:t>Transformer架构的自注意力机制</w:t>
      </w:r>
      <w:r w:rsidRPr="00660147">
        <w:rPr>
          <w:rFonts w:ascii="楷体" w:eastAsia="楷体" w:hAnsi="楷体"/>
          <w:color w:val="000000" w:themeColor="text1"/>
          <w:szCs w:val="22"/>
          <w:lang w:eastAsia="zh-CN"/>
        </w:rPr>
        <w:t>与</w:t>
      </w:r>
      <w:r w:rsidRPr="00660147">
        <w:rPr>
          <w:rFonts w:ascii="楷体" w:eastAsia="楷体" w:hAnsi="楷体"/>
          <w:color w:val="000000" w:themeColor="text1"/>
          <w:lang w:eastAsia="zh-CN"/>
        </w:rPr>
        <w:t>大规模</w:t>
      </w:r>
      <w:proofErr w:type="gramStart"/>
      <w:r w:rsidRPr="00660147">
        <w:rPr>
          <w:rFonts w:ascii="楷体" w:eastAsia="楷体" w:hAnsi="楷体"/>
          <w:color w:val="000000" w:themeColor="text1"/>
          <w:lang w:eastAsia="zh-CN"/>
        </w:rPr>
        <w:t>预训练</w:t>
      </w:r>
      <w:proofErr w:type="gramEnd"/>
      <w:r w:rsidRPr="00660147">
        <w:rPr>
          <w:rFonts w:ascii="楷体" w:eastAsia="楷体" w:hAnsi="楷体"/>
          <w:color w:val="000000" w:themeColor="text1"/>
          <w:lang w:eastAsia="zh-CN"/>
        </w:rPr>
        <w:t>范式</w:t>
      </w:r>
      <w:r w:rsidRPr="00660147">
        <w:rPr>
          <w:rFonts w:ascii="楷体" w:eastAsia="楷体" w:hAnsi="楷体"/>
          <w:color w:val="000000" w:themeColor="text1"/>
          <w:szCs w:val="22"/>
          <w:lang w:eastAsia="zh-CN"/>
        </w:rPr>
        <w:t>。Transformer架构由Vaswani等人于2017年提出，通过自注意力机制（Self-Attention）实现了序列数据的并行处理，彻底改变了自然语言处理的技术范式。</w:t>
      </w:r>
    </w:p>
    <w:p w14:paraId="0DB4E39D" w14:textId="77777777" w:rsidR="009B0704" w:rsidRPr="00660147" w:rsidRDefault="009B0704" w:rsidP="009B0704">
      <w:pPr>
        <w:pStyle w:val="FirstParagraph"/>
        <w:jc w:val="center"/>
        <w:rPr>
          <w:rFonts w:ascii="楷体" w:eastAsia="楷体" w:hAnsi="楷体"/>
          <w:color w:val="000000" w:themeColor="text1"/>
          <w:lang w:eastAsia="zh-CN"/>
        </w:rPr>
      </w:pPr>
      <w:r w:rsidRPr="00660147">
        <w:rPr>
          <w:rFonts w:ascii="楷体" w:eastAsia="楷体" w:hAnsi="楷体"/>
          <w:noProof/>
          <w:color w:val="000000" w:themeColor="text1"/>
          <w:lang w:eastAsia="zh-CN"/>
        </w:rPr>
        <w:drawing>
          <wp:inline distT="0" distB="0" distL="0" distR="0" wp14:anchorId="18295B6B" wp14:editId="05A4C4FB">
            <wp:extent cx="2425224" cy="3417361"/>
            <wp:effectExtent l="0" t="0" r="0" b="0"/>
            <wp:docPr id="172499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7166" cy="3448280"/>
                    </a:xfrm>
                    <a:prstGeom prst="rect">
                      <a:avLst/>
                    </a:prstGeom>
                    <a:noFill/>
                  </pic:spPr>
                </pic:pic>
              </a:graphicData>
            </a:graphic>
          </wp:inline>
        </w:drawing>
      </w:r>
    </w:p>
    <w:p w14:paraId="6F8CBD7F"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根节点与范式确立（2017-2020）：Transformer架构的提出是决定性起点，其自注意力机制实现了序列数据的并行处理，为模型规模</w:t>
      </w:r>
      <w:proofErr w:type="gramStart"/>
      <w:r w:rsidRPr="00660147">
        <w:rPr>
          <w:rFonts w:ascii="楷体" w:eastAsia="楷体" w:hAnsi="楷体" w:cs="Times New Roman (正文 CS 字体)" w:hint="eastAsia"/>
          <w:color w:val="000000" w:themeColor="text1"/>
          <w:sz w:val="24"/>
          <w:szCs w:val="22"/>
        </w:rPr>
        <w:t>指数级扩展</w:t>
      </w:r>
      <w:proofErr w:type="gramEnd"/>
      <w:r w:rsidRPr="00660147">
        <w:rPr>
          <w:rFonts w:ascii="楷体" w:eastAsia="楷体" w:hAnsi="楷体" w:cs="Times New Roman (正文 CS 字体)" w:hint="eastAsia"/>
          <w:color w:val="000000" w:themeColor="text1"/>
          <w:sz w:val="24"/>
          <w:szCs w:val="22"/>
        </w:rPr>
        <w:t>提供了基础，直接催生了Scaling Law（规模定律）。随后，BERT和GPT分别确立了“预训练+微调”的范式，证明了大规模</w:t>
      </w:r>
      <w:proofErr w:type="gramStart"/>
      <w:r w:rsidRPr="00660147">
        <w:rPr>
          <w:rFonts w:ascii="楷体" w:eastAsia="楷体" w:hAnsi="楷体" w:cs="Times New Roman (正文 CS 字体)" w:hint="eastAsia"/>
          <w:color w:val="000000" w:themeColor="text1"/>
          <w:sz w:val="24"/>
          <w:szCs w:val="22"/>
        </w:rPr>
        <w:t>预训练</w:t>
      </w:r>
      <w:proofErr w:type="gramEnd"/>
      <w:r w:rsidRPr="00660147">
        <w:rPr>
          <w:rFonts w:ascii="楷体" w:eastAsia="楷体" w:hAnsi="楷体" w:cs="Times New Roman (正文 CS 字体)" w:hint="eastAsia"/>
          <w:color w:val="000000" w:themeColor="text1"/>
          <w:sz w:val="24"/>
          <w:szCs w:val="22"/>
        </w:rPr>
        <w:t>模型的可迁移性，降低了下游任务的应用门槛。</w:t>
      </w:r>
    </w:p>
    <w:p w14:paraId="054EAB93"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应用爆发与对齐技术（2021-2022）：GPT-3展示了少样本学习的潜力，而ChatGPT的推出标志着大模型进入公众视野。这一阶段的核心进展是后训练对齐技术的成熟，特别是监督微调（SFT）和基于人类反馈的强化学习（RLHF）的广泛应用，解决了模型输出与人类意图、安全性对齐的关键问题，大幅提升了模型的可用性和可靠性。</w:t>
      </w:r>
    </w:p>
    <w:p w14:paraId="3618D263"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多模态与推理深化（2023年至今）：技术焦点转向多模态统一（文本、图像、</w:t>
      </w:r>
      <w:r w:rsidRPr="00660147">
        <w:rPr>
          <w:rFonts w:ascii="楷体" w:eastAsia="楷体" w:hAnsi="楷体" w:cs="Times New Roman (正文 CS 字体)" w:hint="eastAsia"/>
          <w:color w:val="000000" w:themeColor="text1"/>
          <w:sz w:val="24"/>
          <w:szCs w:val="22"/>
        </w:rPr>
        <w:lastRenderedPageBreak/>
        <w:t>音频、视频）和深度推理能力。模型从单一模态生成迈向跨模态理解与生成，并出现了专门强化逻辑推理的“慢思考”模型（如OpenAI o系列、DeepSeek R1）。同时，开源生态崛起，以DeepSeek为代表的开源模型通过MoE等架构创新，在实现高性能的同时显著降低了成本，推动了技术的民主化</w:t>
      </w:r>
    </w:p>
    <w:p w14:paraId="714BEB57" w14:textId="77777777" w:rsidR="009B0704" w:rsidRPr="00660147" w:rsidRDefault="009B0704" w:rsidP="009B0704">
      <w:pPr>
        <w:rPr>
          <w:rFonts w:ascii="楷体" w:eastAsia="楷体" w:hAnsi="楷体" w:cs="Times New Roman (正文 CS 字体)"/>
          <w:color w:val="000000" w:themeColor="text1"/>
          <w:kern w:val="0"/>
          <w:sz w:val="24"/>
          <w14:ligatures w14:val="none"/>
        </w:rPr>
      </w:pPr>
      <w:r w:rsidRPr="00660147">
        <w:rPr>
          <w:rFonts w:ascii="楷体" w:eastAsia="楷体" w:hAnsi="楷体" w:cs="Times New Roman (正文 CS 字体)" w:hint="eastAsia"/>
          <w:color w:val="000000" w:themeColor="text1"/>
          <w:sz w:val="24"/>
          <w:szCs w:val="22"/>
        </w:rPr>
        <w:t>从工程流程上，现代大模型的研发是一个高度工程化、分阶段的系统性过程，需要经历数据准备，架构设计，预训练，后训练，推理部署五个流程：</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4"/>
        <w:gridCol w:w="1359"/>
        <w:gridCol w:w="2673"/>
        <w:gridCol w:w="3740"/>
      </w:tblGrid>
      <w:tr w:rsidR="009B0704" w:rsidRPr="00660147" w14:paraId="125D600E" w14:textId="77777777" w:rsidTr="000746E9">
        <w:trPr>
          <w:tblHeader/>
        </w:trPr>
        <w:tc>
          <w:tcPr>
            <w:tcW w:w="1584" w:type="dxa"/>
            <w:shd w:val="clear" w:color="auto" w:fill="F5F5F5"/>
            <w:tcMar>
              <w:top w:w="135" w:type="dxa"/>
              <w:left w:w="180" w:type="dxa"/>
              <w:bottom w:w="135" w:type="dxa"/>
              <w:right w:w="180" w:type="dxa"/>
            </w:tcMar>
            <w:vAlign w:val="center"/>
            <w:hideMark/>
          </w:tcPr>
          <w:p w14:paraId="08905E79"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阶段</w:t>
            </w:r>
          </w:p>
        </w:tc>
        <w:tc>
          <w:tcPr>
            <w:tcW w:w="1357" w:type="auto"/>
            <w:shd w:val="clear" w:color="auto" w:fill="F5F5F5"/>
            <w:tcMar>
              <w:top w:w="135" w:type="dxa"/>
              <w:left w:w="180" w:type="dxa"/>
              <w:bottom w:w="135" w:type="dxa"/>
              <w:right w:w="180" w:type="dxa"/>
            </w:tcMar>
            <w:vAlign w:val="center"/>
            <w:hideMark/>
          </w:tcPr>
          <w:p w14:paraId="2584F0C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核心任务</w:t>
            </w:r>
          </w:p>
        </w:tc>
        <w:tc>
          <w:tcPr>
            <w:tcW w:w="2675" w:type="auto"/>
            <w:shd w:val="clear" w:color="auto" w:fill="F5F5F5"/>
            <w:tcMar>
              <w:top w:w="135" w:type="dxa"/>
              <w:left w:w="180" w:type="dxa"/>
              <w:bottom w:w="135" w:type="dxa"/>
              <w:right w:w="180" w:type="dxa"/>
            </w:tcMar>
            <w:vAlign w:val="center"/>
            <w:hideMark/>
          </w:tcPr>
          <w:p w14:paraId="7816755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关键输入</w:t>
            </w:r>
          </w:p>
        </w:tc>
        <w:tc>
          <w:tcPr>
            <w:tcW w:w="3740" w:type="dxa"/>
            <w:shd w:val="clear" w:color="auto" w:fill="F5F5F5"/>
            <w:tcMar>
              <w:top w:w="135" w:type="dxa"/>
              <w:left w:w="180" w:type="dxa"/>
              <w:bottom w:w="135" w:type="dxa"/>
              <w:right w:w="180" w:type="dxa"/>
            </w:tcMar>
            <w:vAlign w:val="center"/>
            <w:hideMark/>
          </w:tcPr>
          <w:p w14:paraId="10A12D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主要挑战与目标</w:t>
            </w:r>
          </w:p>
        </w:tc>
      </w:tr>
      <w:tr w:rsidR="009B0704" w:rsidRPr="00660147" w14:paraId="5A4858D9" w14:textId="77777777" w:rsidTr="000746E9">
        <w:tc>
          <w:tcPr>
            <w:tcW w:w="1584" w:type="dxa"/>
            <w:shd w:val="clear" w:color="auto" w:fill="FFFFFF"/>
            <w:tcMar>
              <w:top w:w="135" w:type="dxa"/>
              <w:left w:w="180" w:type="dxa"/>
              <w:bottom w:w="135" w:type="dxa"/>
              <w:right w:w="180" w:type="dxa"/>
            </w:tcMar>
            <w:vAlign w:val="center"/>
            <w:hideMark/>
          </w:tcPr>
          <w:p w14:paraId="233AA6C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数据准备</w:t>
            </w:r>
          </w:p>
        </w:tc>
        <w:tc>
          <w:tcPr>
            <w:tcW w:w="1357" w:type="auto"/>
            <w:shd w:val="clear" w:color="auto" w:fill="FFFFFF"/>
            <w:tcMar>
              <w:top w:w="135" w:type="dxa"/>
              <w:left w:w="180" w:type="dxa"/>
              <w:bottom w:w="135" w:type="dxa"/>
              <w:right w:w="180" w:type="dxa"/>
            </w:tcMar>
            <w:vAlign w:val="center"/>
            <w:hideMark/>
          </w:tcPr>
          <w:p w14:paraId="1C1D8BF2"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构建高质量训练数据集</w:t>
            </w:r>
          </w:p>
        </w:tc>
        <w:tc>
          <w:tcPr>
            <w:tcW w:w="2675" w:type="auto"/>
            <w:shd w:val="clear" w:color="auto" w:fill="FFFFFF"/>
            <w:tcMar>
              <w:top w:w="135" w:type="dxa"/>
              <w:left w:w="180" w:type="dxa"/>
              <w:bottom w:w="135" w:type="dxa"/>
              <w:right w:w="180" w:type="dxa"/>
            </w:tcMar>
            <w:vAlign w:val="center"/>
            <w:hideMark/>
          </w:tcPr>
          <w:p w14:paraId="348E805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多模态、多语言原始数据</w:t>
            </w:r>
          </w:p>
        </w:tc>
        <w:tc>
          <w:tcPr>
            <w:tcW w:w="3740" w:type="dxa"/>
            <w:shd w:val="clear" w:color="auto" w:fill="FFFFFF"/>
            <w:tcMar>
              <w:top w:w="135" w:type="dxa"/>
              <w:left w:w="180" w:type="dxa"/>
              <w:bottom w:w="135" w:type="dxa"/>
              <w:right w:w="180" w:type="dxa"/>
            </w:tcMar>
            <w:vAlign w:val="center"/>
            <w:hideMark/>
          </w:tcPr>
          <w:p w14:paraId="59DEFACC"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数据清洗、去噪、质量评估；确保数据代表性与多样性。</w:t>
            </w:r>
          </w:p>
        </w:tc>
      </w:tr>
      <w:tr w:rsidR="009B0704" w:rsidRPr="00660147" w14:paraId="554D9661" w14:textId="77777777" w:rsidTr="000746E9">
        <w:tc>
          <w:tcPr>
            <w:tcW w:w="1584" w:type="dxa"/>
            <w:shd w:val="clear" w:color="auto" w:fill="FFFFFF"/>
            <w:tcMar>
              <w:top w:w="135" w:type="dxa"/>
              <w:left w:w="180" w:type="dxa"/>
              <w:bottom w:w="135" w:type="dxa"/>
              <w:right w:w="180" w:type="dxa"/>
            </w:tcMar>
            <w:vAlign w:val="center"/>
            <w:hideMark/>
          </w:tcPr>
          <w:p w14:paraId="24855686"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架构设计</w:t>
            </w:r>
          </w:p>
        </w:tc>
        <w:tc>
          <w:tcPr>
            <w:tcW w:w="1357" w:type="auto"/>
            <w:shd w:val="clear" w:color="auto" w:fill="FFFFFF"/>
            <w:tcMar>
              <w:top w:w="135" w:type="dxa"/>
              <w:left w:w="180" w:type="dxa"/>
              <w:bottom w:w="135" w:type="dxa"/>
              <w:right w:w="180" w:type="dxa"/>
            </w:tcMar>
            <w:vAlign w:val="center"/>
            <w:hideMark/>
          </w:tcPr>
          <w:p w14:paraId="2A55166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确定模型基础结构</w:t>
            </w:r>
          </w:p>
        </w:tc>
        <w:tc>
          <w:tcPr>
            <w:tcW w:w="2675" w:type="auto"/>
            <w:shd w:val="clear" w:color="auto" w:fill="FFFFFF"/>
            <w:tcMar>
              <w:top w:w="135" w:type="dxa"/>
              <w:left w:w="180" w:type="dxa"/>
              <w:bottom w:w="135" w:type="dxa"/>
              <w:right w:w="180" w:type="dxa"/>
            </w:tcMar>
            <w:vAlign w:val="center"/>
            <w:hideMark/>
          </w:tcPr>
          <w:p w14:paraId="1D49C224"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Transformer及变体（MoE, 稀疏注意力）</w:t>
            </w:r>
          </w:p>
        </w:tc>
        <w:tc>
          <w:tcPr>
            <w:tcW w:w="3740" w:type="dxa"/>
            <w:shd w:val="clear" w:color="auto" w:fill="FFFFFF"/>
            <w:tcMar>
              <w:top w:w="135" w:type="dxa"/>
              <w:left w:w="180" w:type="dxa"/>
              <w:bottom w:w="135" w:type="dxa"/>
              <w:right w:w="180" w:type="dxa"/>
            </w:tcMar>
            <w:vAlign w:val="center"/>
            <w:hideMark/>
          </w:tcPr>
          <w:p w14:paraId="31A9AC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平衡参数规模、训练/推理效率与长期成本；支持长上下文与多模态。</w:t>
            </w:r>
          </w:p>
        </w:tc>
      </w:tr>
      <w:tr w:rsidR="009B0704" w:rsidRPr="00660147" w14:paraId="6D5C2DB5" w14:textId="77777777" w:rsidTr="000746E9">
        <w:tc>
          <w:tcPr>
            <w:tcW w:w="1584" w:type="dxa"/>
            <w:shd w:val="clear" w:color="auto" w:fill="FFFFFF"/>
            <w:tcMar>
              <w:top w:w="135" w:type="dxa"/>
              <w:left w:w="180" w:type="dxa"/>
              <w:bottom w:w="135" w:type="dxa"/>
              <w:right w:w="180" w:type="dxa"/>
            </w:tcMar>
            <w:vAlign w:val="center"/>
            <w:hideMark/>
          </w:tcPr>
          <w:p w14:paraId="1C8EFC6E" w14:textId="77777777" w:rsidR="009B0704" w:rsidRPr="00660147" w:rsidRDefault="009B0704" w:rsidP="000746E9">
            <w:pPr>
              <w:rPr>
                <w:rFonts w:ascii="楷体" w:eastAsia="楷体" w:hAnsi="楷体" w:hint="eastAsia"/>
                <w:color w:val="000000" w:themeColor="text1"/>
              </w:rPr>
            </w:pPr>
            <w:proofErr w:type="gramStart"/>
            <w:r w:rsidRPr="00660147">
              <w:rPr>
                <w:rFonts w:ascii="楷体" w:eastAsia="楷体" w:hAnsi="楷体" w:hint="eastAsia"/>
                <w:color w:val="000000" w:themeColor="text1"/>
                <w:szCs w:val="22"/>
              </w:rPr>
              <w:t>预训练</w:t>
            </w:r>
            <w:proofErr w:type="gramEnd"/>
          </w:p>
        </w:tc>
        <w:tc>
          <w:tcPr>
            <w:tcW w:w="1357" w:type="auto"/>
            <w:shd w:val="clear" w:color="auto" w:fill="FFFFFF"/>
            <w:tcMar>
              <w:top w:w="135" w:type="dxa"/>
              <w:left w:w="180" w:type="dxa"/>
              <w:bottom w:w="135" w:type="dxa"/>
              <w:right w:w="180" w:type="dxa"/>
            </w:tcMar>
            <w:vAlign w:val="center"/>
            <w:hideMark/>
          </w:tcPr>
          <w:p w14:paraId="3476BEBC"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学习通用统计规律</w:t>
            </w:r>
          </w:p>
        </w:tc>
        <w:tc>
          <w:tcPr>
            <w:tcW w:w="2675" w:type="auto"/>
            <w:shd w:val="clear" w:color="auto" w:fill="FFFFFF"/>
            <w:tcMar>
              <w:top w:w="135" w:type="dxa"/>
              <w:left w:w="180" w:type="dxa"/>
              <w:bottom w:w="135" w:type="dxa"/>
              <w:right w:w="180" w:type="dxa"/>
            </w:tcMar>
            <w:vAlign w:val="center"/>
            <w:hideMark/>
          </w:tcPr>
          <w:p w14:paraId="4A8003AB"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大规模无监督/</w:t>
            </w:r>
            <w:proofErr w:type="gramStart"/>
            <w:r w:rsidRPr="00660147">
              <w:rPr>
                <w:rFonts w:ascii="楷体" w:eastAsia="楷体" w:hAnsi="楷体" w:hint="eastAsia"/>
                <w:color w:val="000000" w:themeColor="text1"/>
                <w:szCs w:val="22"/>
              </w:rPr>
              <w:t>弱监督</w:t>
            </w:r>
            <w:proofErr w:type="gramEnd"/>
            <w:r w:rsidRPr="00660147">
              <w:rPr>
                <w:rFonts w:ascii="楷体" w:eastAsia="楷体" w:hAnsi="楷体" w:hint="eastAsia"/>
                <w:color w:val="000000" w:themeColor="text1"/>
                <w:szCs w:val="22"/>
              </w:rPr>
              <w:t>数据</w:t>
            </w:r>
          </w:p>
        </w:tc>
        <w:tc>
          <w:tcPr>
            <w:tcW w:w="3740" w:type="dxa"/>
            <w:shd w:val="clear" w:color="auto" w:fill="FFFFFF"/>
            <w:tcMar>
              <w:top w:w="135" w:type="dxa"/>
              <w:left w:w="180" w:type="dxa"/>
              <w:bottom w:w="135" w:type="dxa"/>
              <w:right w:w="180" w:type="dxa"/>
            </w:tcMar>
            <w:vAlign w:val="center"/>
            <w:hideMark/>
          </w:tcPr>
          <w:p w14:paraId="2C199B01"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极高</w:t>
            </w:r>
            <w:proofErr w:type="gramStart"/>
            <w:r w:rsidRPr="00660147">
              <w:rPr>
                <w:rFonts w:ascii="楷体" w:eastAsia="楷体" w:hAnsi="楷体" w:hint="eastAsia"/>
                <w:color w:val="000000" w:themeColor="text1"/>
                <w:szCs w:val="22"/>
              </w:rPr>
              <w:t>的算力消耗</w:t>
            </w:r>
            <w:proofErr w:type="gramEnd"/>
            <w:r w:rsidRPr="00660147">
              <w:rPr>
                <w:rFonts w:ascii="楷体" w:eastAsia="楷体" w:hAnsi="楷体" w:hint="eastAsia"/>
                <w:color w:val="000000" w:themeColor="text1"/>
                <w:szCs w:val="22"/>
              </w:rPr>
              <w:t>与时间成本；是模型知识的主要来源。</w:t>
            </w:r>
          </w:p>
        </w:tc>
      </w:tr>
      <w:tr w:rsidR="009B0704" w:rsidRPr="00660147" w14:paraId="0810F52C" w14:textId="77777777" w:rsidTr="000746E9">
        <w:tc>
          <w:tcPr>
            <w:tcW w:w="1584" w:type="dxa"/>
            <w:shd w:val="clear" w:color="auto" w:fill="FFFFFF"/>
            <w:tcMar>
              <w:top w:w="135" w:type="dxa"/>
              <w:left w:w="180" w:type="dxa"/>
              <w:bottom w:w="135" w:type="dxa"/>
              <w:right w:w="180" w:type="dxa"/>
            </w:tcMar>
            <w:vAlign w:val="center"/>
            <w:hideMark/>
          </w:tcPr>
          <w:p w14:paraId="04526960"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后训练与对齐</w:t>
            </w:r>
          </w:p>
        </w:tc>
        <w:tc>
          <w:tcPr>
            <w:tcW w:w="1357" w:type="auto"/>
            <w:shd w:val="clear" w:color="auto" w:fill="FFFFFF"/>
            <w:tcMar>
              <w:top w:w="135" w:type="dxa"/>
              <w:left w:w="180" w:type="dxa"/>
              <w:bottom w:w="135" w:type="dxa"/>
              <w:right w:w="180" w:type="dxa"/>
            </w:tcMar>
            <w:vAlign w:val="center"/>
            <w:hideMark/>
          </w:tcPr>
          <w:p w14:paraId="68A13BA6"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使模型符合人类意图</w:t>
            </w:r>
          </w:p>
        </w:tc>
        <w:tc>
          <w:tcPr>
            <w:tcW w:w="2675" w:type="auto"/>
            <w:shd w:val="clear" w:color="auto" w:fill="FFFFFF"/>
            <w:tcMar>
              <w:top w:w="135" w:type="dxa"/>
              <w:left w:w="180" w:type="dxa"/>
              <w:bottom w:w="135" w:type="dxa"/>
              <w:right w:w="180" w:type="dxa"/>
            </w:tcMar>
            <w:vAlign w:val="center"/>
            <w:hideMark/>
          </w:tcPr>
          <w:p w14:paraId="0C7A3CDA"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人工标注数据、人类偏好反馈</w:t>
            </w:r>
          </w:p>
        </w:tc>
        <w:tc>
          <w:tcPr>
            <w:tcW w:w="3740" w:type="dxa"/>
            <w:shd w:val="clear" w:color="auto" w:fill="FFFFFF"/>
            <w:tcMar>
              <w:top w:w="135" w:type="dxa"/>
              <w:left w:w="180" w:type="dxa"/>
              <w:bottom w:w="135" w:type="dxa"/>
              <w:right w:w="180" w:type="dxa"/>
            </w:tcMar>
            <w:vAlign w:val="center"/>
            <w:hideMark/>
          </w:tcPr>
          <w:p w14:paraId="487D401A"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提升模型的安全性、可靠性与可用性；实现价值观对齐。</w:t>
            </w:r>
          </w:p>
        </w:tc>
      </w:tr>
      <w:tr w:rsidR="009B0704" w:rsidRPr="00660147" w14:paraId="2F457F17" w14:textId="77777777" w:rsidTr="000746E9">
        <w:tc>
          <w:tcPr>
            <w:tcW w:w="1584" w:type="dxa"/>
            <w:shd w:val="clear" w:color="auto" w:fill="FFFFFF"/>
            <w:tcMar>
              <w:top w:w="135" w:type="dxa"/>
              <w:left w:w="180" w:type="dxa"/>
              <w:bottom w:w="135" w:type="dxa"/>
              <w:right w:w="180" w:type="dxa"/>
            </w:tcMar>
            <w:vAlign w:val="center"/>
            <w:hideMark/>
          </w:tcPr>
          <w:p w14:paraId="0D9A56A7"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推理部署</w:t>
            </w:r>
          </w:p>
        </w:tc>
        <w:tc>
          <w:tcPr>
            <w:tcW w:w="1357" w:type="auto"/>
            <w:shd w:val="clear" w:color="auto" w:fill="FFFFFF"/>
            <w:tcMar>
              <w:top w:w="135" w:type="dxa"/>
              <w:left w:w="180" w:type="dxa"/>
              <w:bottom w:w="135" w:type="dxa"/>
              <w:right w:w="180" w:type="dxa"/>
            </w:tcMar>
            <w:vAlign w:val="center"/>
            <w:hideMark/>
          </w:tcPr>
          <w:p w14:paraId="74FB0AF3"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提供实时模型服务</w:t>
            </w:r>
          </w:p>
        </w:tc>
        <w:tc>
          <w:tcPr>
            <w:tcW w:w="2675" w:type="auto"/>
            <w:shd w:val="clear" w:color="auto" w:fill="FFFFFF"/>
            <w:tcMar>
              <w:top w:w="135" w:type="dxa"/>
              <w:left w:w="180" w:type="dxa"/>
              <w:bottom w:w="135" w:type="dxa"/>
              <w:right w:w="180" w:type="dxa"/>
            </w:tcMar>
            <w:vAlign w:val="center"/>
            <w:hideMark/>
          </w:tcPr>
          <w:p w14:paraId="5DDFF4A7"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用户查询（Prompts）</w:t>
            </w:r>
          </w:p>
        </w:tc>
        <w:tc>
          <w:tcPr>
            <w:tcW w:w="3740" w:type="dxa"/>
            <w:shd w:val="clear" w:color="auto" w:fill="FFFFFF"/>
            <w:tcMar>
              <w:top w:w="135" w:type="dxa"/>
              <w:left w:w="180" w:type="dxa"/>
              <w:bottom w:w="135" w:type="dxa"/>
              <w:right w:w="180" w:type="dxa"/>
            </w:tcMar>
            <w:vAlign w:val="center"/>
            <w:hideMark/>
          </w:tcPr>
          <w:p w14:paraId="73B9858E" w14:textId="77777777" w:rsidR="009B0704" w:rsidRPr="00660147" w:rsidRDefault="009B0704" w:rsidP="000746E9">
            <w:pPr>
              <w:rPr>
                <w:rFonts w:ascii="楷体" w:eastAsia="楷体" w:hAnsi="楷体" w:hint="eastAsia"/>
                <w:color w:val="000000" w:themeColor="text1"/>
              </w:rPr>
            </w:pPr>
            <w:r w:rsidRPr="00660147">
              <w:rPr>
                <w:rFonts w:ascii="楷体" w:eastAsia="楷体" w:hAnsi="楷体" w:hint="eastAsia"/>
                <w:color w:val="000000" w:themeColor="text1"/>
                <w:szCs w:val="22"/>
              </w:rPr>
              <w:t>优化延迟、并发与成本效率；是价值转化的最终环节。</w:t>
            </w:r>
          </w:p>
        </w:tc>
      </w:tr>
    </w:tbl>
    <w:p w14:paraId="6479C55D" w14:textId="77777777" w:rsidR="009B0704" w:rsidRPr="00660147" w:rsidRDefault="009B0704" w:rsidP="009B0704">
      <w:pPr>
        <w:rPr>
          <w:rFonts w:ascii="楷体" w:eastAsia="楷体" w:hAnsi="楷体" w:hint="eastAsia"/>
          <w:color w:val="000000" w:themeColor="text1"/>
        </w:rPr>
      </w:pPr>
    </w:p>
    <w:p w14:paraId="05D58BDE" w14:textId="70EA92B8" w:rsidR="002B152A" w:rsidRPr="00A67E74" w:rsidRDefault="009B0704" w:rsidP="002B152A">
      <w:pPr>
        <w:pStyle w:val="2"/>
        <w:rPr>
          <w:rFonts w:ascii="楷体" w:eastAsia="楷体" w:hAnsi="楷体" w:hint="eastAsia"/>
          <w:color w:val="000000" w:themeColor="text1"/>
          <w:sz w:val="32"/>
          <w:szCs w:val="32"/>
        </w:rPr>
      </w:pPr>
      <w:bookmarkStart w:id="58" w:name="_Toc228374908"/>
      <w:r w:rsidRPr="00A67E74">
        <w:rPr>
          <w:rFonts w:ascii="楷体" w:eastAsia="楷体" w:hAnsi="楷体" w:hint="eastAsia"/>
          <w:color w:val="000000" w:themeColor="text1"/>
          <w:sz w:val="32"/>
          <w:szCs w:val="32"/>
        </w:rPr>
        <w:t xml:space="preserve">5.2 </w:t>
      </w:r>
      <w:r w:rsidR="002B152A" w:rsidRPr="00A67E74">
        <w:rPr>
          <w:rFonts w:ascii="楷体" w:eastAsia="楷体" w:hAnsi="楷体" w:hint="eastAsia"/>
          <w:color w:val="000000" w:themeColor="text1"/>
          <w:sz w:val="32"/>
          <w:szCs w:val="32"/>
        </w:rPr>
        <w:t>技术历史与突破过程</w:t>
      </w:r>
      <w:bookmarkEnd w:id="58"/>
      <w:r w:rsidR="002B152A" w:rsidRPr="00A67E74">
        <w:rPr>
          <w:rFonts w:ascii="楷体" w:eastAsia="楷体" w:hAnsi="楷体" w:hint="eastAsia"/>
          <w:color w:val="000000" w:themeColor="text1"/>
          <w:sz w:val="32"/>
          <w:szCs w:val="32"/>
        </w:rPr>
        <w:t xml:space="preserve"> </w:t>
      </w:r>
    </w:p>
    <w:p w14:paraId="6C6365F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架构的发展历程，本质上是一部围绕"如何突破序列计算的结构性约束，使模型具备全局信息感知能力，并在此基础上持续扩展能力边界"的技术演进史。以下按时间脉络梳理其关键节点与范式转移。</w:t>
      </w:r>
    </w:p>
    <w:p w14:paraId="3C4B95E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lastRenderedPageBreak/>
        <w:t>一、RNN 时代：循环结构的统治与内在瓶颈</w:t>
      </w:r>
    </w:p>
    <w:p w14:paraId="3AC2FC1D"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在深度学习介入自然语言处理的早期阶段，循环神经网络（RNN）及其改进变体长短期记忆网络（LSTM）与门控循环单元（GRU）构成了主流技术范式。其核心机制在于</w:t>
      </w:r>
      <w:proofErr w:type="gramStart"/>
      <w:r w:rsidRPr="00660147">
        <w:rPr>
          <w:rFonts w:ascii="楷体" w:eastAsia="楷体" w:hAnsi="楷体" w:hint="eastAsia"/>
          <w:color w:val="000000" w:themeColor="text1"/>
        </w:rPr>
        <w:t>按时间步逐个</w:t>
      </w:r>
      <w:proofErr w:type="gramEnd"/>
      <w:r w:rsidRPr="00660147">
        <w:rPr>
          <w:rFonts w:ascii="楷体" w:eastAsia="楷体" w:hAnsi="楷体" w:hint="eastAsia"/>
          <w:color w:val="000000" w:themeColor="text1"/>
        </w:rPr>
        <w:t>处理输入 token，通过隐藏状态向量传递历史信息。</w:t>
      </w:r>
    </w:p>
    <w:p w14:paraId="654EB0A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然而，该架构存在三个根本性约束。其一，长序列训练时梯度消失与梯度爆炸问题显著，模型难以有效捕捉超过五十个时间步的远距离依赖关系。其二，计算过程严格串行，当前时刻的处理必须等待前一时刻完成，导致 GPU 并行加速能力无法充分利用。其三，所有历史信息被压缩</w:t>
      </w:r>
      <w:proofErr w:type="gramStart"/>
      <w:r w:rsidRPr="00660147">
        <w:rPr>
          <w:rFonts w:ascii="楷体" w:eastAsia="楷体" w:hAnsi="楷体" w:hint="eastAsia"/>
          <w:color w:val="000000" w:themeColor="text1"/>
        </w:rPr>
        <w:t>至固定维</w:t>
      </w:r>
      <w:proofErr w:type="gramEnd"/>
      <w:r w:rsidRPr="00660147">
        <w:rPr>
          <w:rFonts w:ascii="楷体" w:eastAsia="楷体" w:hAnsi="楷体" w:hint="eastAsia"/>
          <w:color w:val="000000" w:themeColor="text1"/>
        </w:rPr>
        <w:t>度的隐藏向量中，远期信息的保真度随距离增加而</w:t>
      </w:r>
      <w:proofErr w:type="gramStart"/>
      <w:r w:rsidRPr="00660147">
        <w:rPr>
          <w:rFonts w:ascii="楷体" w:eastAsia="楷体" w:hAnsi="楷体" w:hint="eastAsia"/>
          <w:color w:val="000000" w:themeColor="text1"/>
        </w:rPr>
        <w:t>指数级</w:t>
      </w:r>
      <w:proofErr w:type="gramEnd"/>
      <w:r w:rsidRPr="00660147">
        <w:rPr>
          <w:rFonts w:ascii="楷体" w:eastAsia="楷体" w:hAnsi="楷体" w:hint="eastAsia"/>
          <w:color w:val="000000" w:themeColor="text1"/>
        </w:rPr>
        <w:t>衰减。</w:t>
      </w:r>
    </w:p>
    <w:p w14:paraId="16DC323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这一时期，Seq2Seq 模型结合注意力机制的方案已初步显示出突破潜力——让解码器直接访问编码器的全部输出，而非依赖单一上下文向量。这一思路为后续架构变革提供了关键铺垫。</w:t>
      </w:r>
    </w:p>
    <w:p w14:paraId="187F3443"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二、2017 年：Transformer 的诞生与注意力机制的确立</w:t>
      </w:r>
    </w:p>
    <w:p w14:paraId="63049E5E"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2017 年 6 月，Google 发表重要</w:t>
      </w:r>
      <w:proofErr w:type="gramStart"/>
      <w:r w:rsidRPr="00660147">
        <w:rPr>
          <w:rFonts w:ascii="楷体" w:eastAsia="楷体" w:hAnsi="楷体" w:hint="eastAsia"/>
          <w:color w:val="000000" w:themeColor="text1"/>
        </w:rPr>
        <w:t>论文论文</w:t>
      </w:r>
      <w:proofErr w:type="gramEnd"/>
      <w:r w:rsidRPr="00660147">
        <w:rPr>
          <w:rFonts w:ascii="楷体" w:eastAsia="楷体" w:hAnsi="楷体" w:hint="eastAsia"/>
          <w:color w:val="000000" w:themeColor="text1"/>
        </w:rPr>
        <w:t>Attention Is All You Need，正式提出 Transformer 架构，彻底摒弃了循环结构。</w:t>
      </w:r>
    </w:p>
    <w:p w14:paraId="433C668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该架构的核心创新在于自注意力机制（Self-Attention）。在这一机制下，序列中的每个 token 均可直接与所有其他 token 建立关联，关联强度通过</w:t>
      </w:r>
      <w:proofErr w:type="gramStart"/>
      <w:r w:rsidRPr="00660147">
        <w:rPr>
          <w:rFonts w:ascii="楷体" w:eastAsia="楷体" w:hAnsi="楷体" w:hint="eastAsia"/>
          <w:color w:val="000000" w:themeColor="text1"/>
        </w:rPr>
        <w:t>缩放点积注意力</w:t>
      </w:r>
      <w:proofErr w:type="gramEnd"/>
      <w:r w:rsidRPr="00660147">
        <w:rPr>
          <w:rFonts w:ascii="楷体" w:eastAsia="楷体" w:hAnsi="楷体" w:hint="eastAsia"/>
          <w:color w:val="000000" w:themeColor="text1"/>
        </w:rPr>
        <w:t>计算得出。这意味着无论两个 token 在序列中相距多远，其信息</w:t>
      </w:r>
      <w:proofErr w:type="gramStart"/>
      <w:r w:rsidRPr="00660147">
        <w:rPr>
          <w:rFonts w:ascii="楷体" w:eastAsia="楷体" w:hAnsi="楷体" w:hint="eastAsia"/>
          <w:color w:val="000000" w:themeColor="text1"/>
        </w:rPr>
        <w:t>交互都</w:t>
      </w:r>
      <w:proofErr w:type="gramEnd"/>
      <w:r w:rsidRPr="00660147">
        <w:rPr>
          <w:rFonts w:ascii="楷体" w:eastAsia="楷体" w:hAnsi="楷体" w:hint="eastAsia"/>
          <w:color w:val="000000" w:themeColor="text1"/>
        </w:rPr>
        <w:t>只需一步矩阵运算即可完成，从根本上解除了距离对信息传递的制约。</w:t>
      </w:r>
    </w:p>
    <w:p w14:paraId="7F36DFFF"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为支撑这一机制，Transformer 引入了多头注意力（Multi-Head Attention），通过多组并行的注意力头捕捉不同子空间中的关系模式，如语法结构、语义关联与指代消解。同时，由于注意力本身不具备位置感知能力，架构通过位置编码（Position Encoding）注入序列顺序信息。此外，前馈神经网络层、层归一化（Layer Normalization）与残差连接（Residual Connection）共同构成了稳定的非线性变换骨架。</w:t>
      </w:r>
    </w:p>
    <w:p w14:paraId="773C435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三、架构分化：三条</w:t>
      </w:r>
      <w:proofErr w:type="gramStart"/>
      <w:r w:rsidRPr="00A67E74">
        <w:rPr>
          <w:rFonts w:ascii="楷体" w:eastAsia="楷体" w:hAnsi="楷体" w:hint="eastAsia"/>
          <w:color w:val="000000" w:themeColor="text1"/>
          <w:sz w:val="30"/>
          <w:szCs w:val="30"/>
        </w:rPr>
        <w:t>预训练</w:t>
      </w:r>
      <w:proofErr w:type="gramEnd"/>
      <w:r w:rsidRPr="00A67E74">
        <w:rPr>
          <w:rFonts w:ascii="楷体" w:eastAsia="楷体" w:hAnsi="楷体" w:hint="eastAsia"/>
          <w:color w:val="000000" w:themeColor="text1"/>
          <w:sz w:val="30"/>
          <w:szCs w:val="30"/>
        </w:rPr>
        <w:t>范式的形成（2018–2019）</w:t>
      </w:r>
    </w:p>
    <w:p w14:paraId="5DF0CE8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Transformer问世后，其编码器-解码器结构被迅速拆解，演化出三种差异化的</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路线。</w:t>
      </w:r>
    </w:p>
    <w:p w14:paraId="7A2EF99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第一条路线为编码器-only 架构，以 BERT（2018）为代表。该路线采用掩码语言模型（Masked Language Modeling）作为</w:t>
      </w:r>
      <w:proofErr w:type="gramStart"/>
      <w:r w:rsidRPr="00660147">
        <w:rPr>
          <w:rFonts w:ascii="楷体" w:eastAsia="楷体" w:hAnsi="楷体" w:hint="eastAsia"/>
          <w:color w:val="000000" w:themeColor="text1"/>
        </w:rPr>
        <w:t>预训练</w:t>
      </w:r>
      <w:proofErr w:type="gramEnd"/>
      <w:r w:rsidRPr="00660147">
        <w:rPr>
          <w:rFonts w:ascii="楷体" w:eastAsia="楷体" w:hAnsi="楷体" w:hint="eastAsia"/>
          <w:color w:val="000000" w:themeColor="text1"/>
        </w:rPr>
        <w:t>目标，随机遮蔽输入序列中的部分 token，要求模型基于双向上下文进行预测。这一机制使模型在文本理解、分类与信息抽取任务上表现突出，但自回归生成能力相对受限。</w:t>
      </w:r>
    </w:p>
    <w:p w14:paraId="772AD23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lastRenderedPageBreak/>
        <w:t>第二条路线为解码器-only 架构，以 GPT 系列为代表。该路线采用因果掩码（Causal Masking），强制模型从左至右逐词预测。这种自回归机制使生成流畅</w:t>
      </w:r>
      <w:proofErr w:type="gramStart"/>
      <w:r w:rsidRPr="00660147">
        <w:rPr>
          <w:rFonts w:ascii="楷体" w:eastAsia="楷体" w:hAnsi="楷体" w:hint="eastAsia"/>
          <w:color w:val="000000" w:themeColor="text1"/>
        </w:rPr>
        <w:t>度显著</w:t>
      </w:r>
      <w:proofErr w:type="gramEnd"/>
      <w:r w:rsidRPr="00660147">
        <w:rPr>
          <w:rFonts w:ascii="楷体" w:eastAsia="楷体" w:hAnsi="楷体" w:hint="eastAsia"/>
          <w:color w:val="000000" w:themeColor="text1"/>
        </w:rPr>
        <w:t>提升，且后续被证明是 Scaling Law 表现最为显著的架构形态。此后的大模型浪潮，包括 GPT-4、Claude、Llama 及 DeepSeek 系列，均沿用了这一路线。</w:t>
      </w:r>
    </w:p>
    <w:p w14:paraId="40CEEA8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第三条路线为编码器-解码器统一架构，以 T5（2019）和 BART 为代表。该架构保留了完整的编码器与解码器结构，适用于机器翻译、文本摘要等序列到序列任务。尽管在通用大模型的竞争中，该路线逐渐被解码器-only 的"大一统"趋势边缘化，但在特定任务领域仍保持技术优势。</w:t>
      </w:r>
    </w:p>
    <w:p w14:paraId="5D0854EC"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四、规模革命：Scaling Law 与涌现能力（2020–2022）</w:t>
      </w:r>
    </w:p>
    <w:p w14:paraId="23AEC2B2"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OpenAI 发布的 GPT-3（1750 亿参数）验证了 Scaling Law 的有效性：当模型参数量、训练数据量</w:t>
      </w:r>
      <w:proofErr w:type="gramStart"/>
      <w:r w:rsidRPr="00660147">
        <w:rPr>
          <w:rFonts w:ascii="楷体" w:eastAsia="楷体" w:hAnsi="楷体" w:hint="eastAsia"/>
          <w:color w:val="000000" w:themeColor="text1"/>
        </w:rPr>
        <w:t>与算力投入同步指数级</w:t>
      </w:r>
      <w:proofErr w:type="gramEnd"/>
      <w:r w:rsidRPr="00660147">
        <w:rPr>
          <w:rFonts w:ascii="楷体" w:eastAsia="楷体" w:hAnsi="楷体" w:hint="eastAsia"/>
          <w:color w:val="000000" w:themeColor="text1"/>
        </w:rPr>
        <w:t>增长时，模型能力会出现非线性的"涌现"现象，即在某一规模阈值后突然具备小模型无法实现的复杂能力。</w:t>
      </w:r>
    </w:p>
    <w:p w14:paraId="026FDBCB"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这一阶段的技术基础设施也趋于成熟。NVIDIA A100 等专用加速器、Megatron-LM 与 DeepSpeed 等分布式训练框架，以及模型并行与流水线并行技术，使万亿参数级别的训练成为可能。上下文窗口从早期的 2K 逐步扩展，少样本学习（Few-shot Learning）能力使模型无需微调即可通过提示</w:t>
      </w:r>
      <w:proofErr w:type="gramStart"/>
      <w:r w:rsidRPr="00660147">
        <w:rPr>
          <w:rFonts w:ascii="楷体" w:eastAsia="楷体" w:hAnsi="楷体" w:hint="eastAsia"/>
          <w:color w:val="000000" w:themeColor="text1"/>
        </w:rPr>
        <w:t>词完成</w:t>
      </w:r>
      <w:proofErr w:type="gramEnd"/>
      <w:r w:rsidRPr="00660147">
        <w:rPr>
          <w:rFonts w:ascii="楷体" w:eastAsia="楷体" w:hAnsi="楷体" w:hint="eastAsia"/>
          <w:color w:val="000000" w:themeColor="text1"/>
        </w:rPr>
        <w:t>新任务。至此，大模型的性质发生根本转变：它不再仅是算法创新，而是算力、数据与系统工程的综合产物。</w:t>
      </w:r>
    </w:p>
    <w:p w14:paraId="184FA5E8"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五、对齐时代：从文本续写到意图遵循（2022–2023）</w:t>
      </w:r>
    </w:p>
    <w:p w14:paraId="429C80BD"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纯自回归模型存在生成有害内容、偏见言论及无效输出的倾向。2022 至 2023 年间，研究重心转向对齐技术（Alignment），旨在使模型输出符合人类意图与价值偏好。</w:t>
      </w:r>
    </w:p>
    <w:p w14:paraId="090399C5"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监督微调（SFT）通过高质量指令数据集训练模型遵循特定格式与任务要求。在此基础上，基于人类反馈的强化学习（RLHF）引入奖励模型（Reward Model），利用 PPO 算法优化生成结果的人类偏好排序。Anthropic 提出的 Constitutional AI 及 RLAIF 则尝试以预设规则替代昂贵的人工标注，降低对齐成本。</w:t>
      </w:r>
    </w:p>
    <w:p w14:paraId="6A2EDC8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2022 年 11 月 ChatGPT 的发布标志着 Transformer 从技术演示转向产品化应用，对话式交互成为主流形态。</w:t>
      </w:r>
    </w:p>
    <w:p w14:paraId="22CE14B6"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六、效率与长上下文：突破二次复杂度约束（2023–2024）</w:t>
      </w:r>
    </w:p>
    <w:p w14:paraId="56FD476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标准自注意力的计算复杂度为序列长度的</w:t>
      </w:r>
      <w:proofErr w:type="gramStart"/>
      <w:r w:rsidRPr="00660147">
        <w:rPr>
          <w:rFonts w:ascii="楷体" w:eastAsia="楷体" w:hAnsi="楷体" w:hint="eastAsia"/>
          <w:color w:val="000000" w:themeColor="text1"/>
        </w:rPr>
        <w:t>平方级</w:t>
      </w:r>
      <w:proofErr w:type="gramEnd"/>
      <w:r w:rsidRPr="00660147">
        <w:rPr>
          <w:rFonts w:ascii="楷体" w:eastAsia="楷体" w:hAnsi="楷体" w:hint="eastAsia"/>
          <w:color w:val="000000" w:themeColor="text1"/>
        </w:rPr>
        <w:t xml:space="preserve"> O(n^2)，即上下文窗口翻倍将</w:t>
      </w:r>
      <w:proofErr w:type="gramStart"/>
      <w:r w:rsidRPr="00660147">
        <w:rPr>
          <w:rFonts w:ascii="楷体" w:eastAsia="楷体" w:hAnsi="楷体" w:hint="eastAsia"/>
          <w:color w:val="000000" w:themeColor="text1"/>
        </w:rPr>
        <w:t>导致算力消耗</w:t>
      </w:r>
      <w:proofErr w:type="gramEnd"/>
      <w:r w:rsidRPr="00660147">
        <w:rPr>
          <w:rFonts w:ascii="楷体" w:eastAsia="楷体" w:hAnsi="楷体" w:hint="eastAsia"/>
          <w:color w:val="000000" w:themeColor="text1"/>
        </w:rPr>
        <w:t xml:space="preserve">增至四倍。这一特性构成 Transformer </w:t>
      </w:r>
      <w:proofErr w:type="gramStart"/>
      <w:r w:rsidRPr="00660147">
        <w:rPr>
          <w:rFonts w:ascii="楷体" w:eastAsia="楷体" w:hAnsi="楷体" w:hint="eastAsia"/>
          <w:color w:val="000000" w:themeColor="text1"/>
        </w:rPr>
        <w:t>最</w:t>
      </w:r>
      <w:proofErr w:type="gramEnd"/>
      <w:r w:rsidRPr="00660147">
        <w:rPr>
          <w:rFonts w:ascii="楷体" w:eastAsia="楷体" w:hAnsi="楷体" w:hint="eastAsia"/>
          <w:color w:val="000000" w:themeColor="text1"/>
        </w:rPr>
        <w:t>核心的工程瓶颈，催生了多条优化路线。</w:t>
      </w:r>
    </w:p>
    <w:p w14:paraId="4DA950F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稀疏注意力（Sparse Attention）通过限制每个 token 的交互范围，将复杂度降至线</w:t>
      </w:r>
      <w:r w:rsidRPr="00660147">
        <w:rPr>
          <w:rFonts w:ascii="楷体" w:eastAsia="楷体" w:hAnsi="楷体" w:hint="eastAsia"/>
          <w:color w:val="000000" w:themeColor="text1"/>
        </w:rPr>
        <w:lastRenderedPageBreak/>
        <w:t>性或次线性级别，代表性工作包括 Sparse Transformer、Longformer 与 BigBird，其代价是牺牲部分全局连接能力。Flash Attention 系列则从内存访问模式入手，通过 IO-Aware 优化显存读写效率，在不改变理论复杂度的前提下大幅提升实际训练与推理速度。</w:t>
      </w:r>
    </w:p>
    <w:p w14:paraId="739350E4"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位置编码层面，RoPE、ALiBi 与 xPos 等方案改善了模型对长距离相对位置的感知与外推能力。位置插值（Position Interpolation）、NTK-aware 扩展与 YaRN 等技术</w:t>
      </w:r>
      <w:proofErr w:type="gramStart"/>
      <w:r w:rsidRPr="00660147">
        <w:rPr>
          <w:rFonts w:ascii="楷体" w:eastAsia="楷体" w:hAnsi="楷体" w:hint="eastAsia"/>
          <w:color w:val="000000" w:themeColor="text1"/>
        </w:rPr>
        <w:t>使预训练</w:t>
      </w:r>
      <w:proofErr w:type="gramEnd"/>
      <w:r w:rsidRPr="00660147">
        <w:rPr>
          <w:rFonts w:ascii="楷体" w:eastAsia="楷体" w:hAnsi="楷体" w:hint="eastAsia"/>
          <w:color w:val="000000" w:themeColor="text1"/>
        </w:rPr>
        <w:t>阶段的 4K 或 8K 模型能够被扩展至 128K、1M 乃至 10M  token 的上下文窗口。</w:t>
      </w:r>
    </w:p>
    <w:p w14:paraId="75933A21"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2024 年成为长上下文应用的里程碑年份：Gemini 1.5 Pro 实现 1M token 上下文，Claude 3 达到 200K，开源社区如 Llama 3 与 Qwen2.5 系列亦普遍推进至 128K 至 1M 级别。</w:t>
      </w:r>
    </w:p>
    <w:p w14:paraId="2C29F535"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七、多模态统一：从文本模型到世界模型（2023–2025）</w:t>
      </w:r>
    </w:p>
    <w:p w14:paraId="76792A15" w14:textId="6FED57FF"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的通用性使其迅速超越自然语言处理领域，成为多模态大一统建模的骨架架构。</w:t>
      </w:r>
    </w:p>
    <w:p w14:paraId="215059E6"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在视觉领域，Vision Transformer（ViT）将图像切分为固定大小的 Patch 并作为 token 序列输入，证明了 Transformer 在图像识别任务上的有效性。CLIP 与 ALIGN 通过双塔对比学习架构实现了图像与文本表征的统一对齐。在生成领域，扩散模型（Diffusion Model）的噪声预测网络逐渐从 U-Net 转向 Transformer 骨架，DiT（Diffusion Transformer）的出现尤为关键，它验证了 Transformer 在生成任务中的普适性。Sora 在此基础上进一步引入时空联合注意力机制，将视频</w:t>
      </w:r>
      <w:proofErr w:type="gramStart"/>
      <w:r w:rsidRPr="00660147">
        <w:rPr>
          <w:rFonts w:ascii="楷体" w:eastAsia="楷体" w:hAnsi="楷体" w:hint="eastAsia"/>
          <w:color w:val="000000" w:themeColor="text1"/>
        </w:rPr>
        <w:t>帧</w:t>
      </w:r>
      <w:proofErr w:type="gramEnd"/>
      <w:r w:rsidRPr="00660147">
        <w:rPr>
          <w:rFonts w:ascii="楷体" w:eastAsia="楷体" w:hAnsi="楷体" w:hint="eastAsia"/>
          <w:color w:val="000000" w:themeColor="text1"/>
        </w:rPr>
        <w:t>作为时空 token 处理，实现了对物理世界动态的初步模拟。</w:t>
      </w:r>
    </w:p>
    <w:p w14:paraId="2295802F"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八、后 Transformer 探索：状态空间模型与混合架构（2023–2025）</w:t>
      </w:r>
    </w:p>
    <w:p w14:paraId="5C634451"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尽管 Transformer 保持主流地位，但其</w:t>
      </w:r>
      <w:proofErr w:type="gramStart"/>
      <w:r w:rsidRPr="00660147">
        <w:rPr>
          <w:rFonts w:ascii="楷体" w:eastAsia="楷体" w:hAnsi="楷体" w:hint="eastAsia"/>
          <w:color w:val="000000" w:themeColor="text1"/>
        </w:rPr>
        <w:t>平方级复杂</w:t>
      </w:r>
      <w:proofErr w:type="gramEnd"/>
      <w:r w:rsidRPr="00660147">
        <w:rPr>
          <w:rFonts w:ascii="楷体" w:eastAsia="楷体" w:hAnsi="楷体" w:hint="eastAsia"/>
          <w:color w:val="000000" w:themeColor="text1"/>
        </w:rPr>
        <w:t>度催生了替代架构的持续探索。Mamba（2023）基于状态空间模型（State Space Model, SSM），通过选择性状态压缩机制编码历史信息，将序列建模复杂度降至线性级别，在长文档、DNA 序列与音频处理等特定场景下效率显著优于标准 Transformer。后续 Mamba-2 与 Jamba 引入结构化矩阵与混合注意力层，试图在计算效率与表达能力之间取得平衡。RWKV 与 RetNet 则通过线性注意力或衰减机制保留部分全局感知能力，同时回归循环结构的</w:t>
      </w:r>
      <w:proofErr w:type="gramStart"/>
      <w:r w:rsidRPr="00660147">
        <w:rPr>
          <w:rFonts w:ascii="楷体" w:eastAsia="楷体" w:hAnsi="楷体" w:hint="eastAsia"/>
          <w:color w:val="000000" w:themeColor="text1"/>
        </w:rPr>
        <w:t>常数级</w:t>
      </w:r>
      <w:proofErr w:type="gramEnd"/>
      <w:r w:rsidRPr="00660147">
        <w:rPr>
          <w:rFonts w:ascii="楷体" w:eastAsia="楷体" w:hAnsi="楷体" w:hint="eastAsia"/>
          <w:color w:val="000000" w:themeColor="text1"/>
        </w:rPr>
        <w:t>内存占用特征。</w:t>
      </w:r>
    </w:p>
    <w:p w14:paraId="6740CEEF"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当前行业共识倾向于混合架构路线：在局部上下文采用 SSM 或线性注意力降低开销，在全局聚合阶段保留标准注意力机制，而非完全替代 Transformer。这一选择主要受</w:t>
      </w:r>
      <w:r w:rsidRPr="00660147">
        <w:rPr>
          <w:rFonts w:ascii="楷体" w:eastAsia="楷体" w:hAnsi="楷体" w:hint="eastAsia"/>
          <w:color w:val="000000" w:themeColor="text1"/>
        </w:rPr>
        <w:lastRenderedPageBreak/>
        <w:t>限于硬件生态（CUDA Kernel 优化）、训练框架成熟度及 Scaling 经验的积累。</w:t>
      </w:r>
    </w:p>
    <w:p w14:paraId="3C4F9C2A"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九、推理范式转移：从训练时规模到测试时计算（2024–2026）</w:t>
      </w:r>
    </w:p>
    <w:p w14:paraId="5526BBF7"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2024 年后，Transformer 的发展重心从"训练更大模型"转向"在推理阶段赋予模型更多计算资源"。</w:t>
      </w:r>
    </w:p>
    <w:p w14:paraId="4A05E239"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思维链（Chain-of-Thought, CoT）提示技术通过强制模型输出中间推理步骤，显著提升了复杂任务的求解准确率。在此基础上，OpenAI o1/o3 系列与 DeepSeek-R1（2025 年 1 月）代表了推理模型的成熟形态。这类模型通过强化学习训练生成更长的内部思考链，自发涌现出反思、验证与回溯等行为模式。</w:t>
      </w:r>
    </w:p>
    <w:p w14:paraId="5EC48956"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DeepSeek-R1 尤为值得关注：其采用 GRPO（Group Relative Policy Optimization）简化版强化学习算法，以极低的训练成本达到与 o1 相当的推理性能，直接引发了全球推理</w:t>
      </w:r>
      <w:proofErr w:type="gramStart"/>
      <w:r w:rsidRPr="00660147">
        <w:rPr>
          <w:rFonts w:ascii="楷体" w:eastAsia="楷体" w:hAnsi="楷体" w:hint="eastAsia"/>
          <w:color w:val="000000" w:themeColor="text1"/>
        </w:rPr>
        <w:t>算力需求</w:t>
      </w:r>
      <w:proofErr w:type="gramEnd"/>
      <w:r w:rsidRPr="00660147">
        <w:rPr>
          <w:rFonts w:ascii="楷体" w:eastAsia="楷体" w:hAnsi="楷体" w:hint="eastAsia"/>
          <w:color w:val="000000" w:themeColor="text1"/>
        </w:rPr>
        <w:t>的井喷式增长。与此同时，测试时计算扩展（Test-time Compute Scaling）通过增加推理阶段的采样步数、验证轮次或蒙特卡洛树搜索（MCTS），以时间换准确率，成为提升模型能力的新维度。</w:t>
      </w:r>
    </w:p>
    <w:p w14:paraId="34D57FE9" w14:textId="77777777" w:rsidR="002B152A" w:rsidRPr="00A67E74" w:rsidRDefault="002B152A" w:rsidP="002B152A">
      <w:pPr>
        <w:pStyle w:val="4"/>
        <w:rPr>
          <w:rFonts w:ascii="楷体" w:eastAsia="楷体" w:hAnsi="楷体" w:hint="eastAsia"/>
          <w:color w:val="000000" w:themeColor="text1"/>
          <w:sz w:val="30"/>
          <w:szCs w:val="30"/>
        </w:rPr>
      </w:pPr>
      <w:r w:rsidRPr="00A67E74">
        <w:rPr>
          <w:rFonts w:ascii="楷体" w:eastAsia="楷体" w:hAnsi="楷体" w:hint="eastAsia"/>
          <w:color w:val="000000" w:themeColor="text1"/>
          <w:sz w:val="30"/>
          <w:szCs w:val="30"/>
        </w:rPr>
        <w:t>十、当前前沿：Agent 架构、混合专家</w:t>
      </w:r>
      <w:proofErr w:type="gramStart"/>
      <w:r w:rsidRPr="00A67E74">
        <w:rPr>
          <w:rFonts w:ascii="楷体" w:eastAsia="楷体" w:hAnsi="楷体" w:hint="eastAsia"/>
          <w:color w:val="000000" w:themeColor="text1"/>
          <w:sz w:val="30"/>
          <w:szCs w:val="30"/>
        </w:rPr>
        <w:t>与端侧部署</w:t>
      </w:r>
      <w:proofErr w:type="gramEnd"/>
      <w:r w:rsidRPr="00A67E74">
        <w:rPr>
          <w:rFonts w:ascii="楷体" w:eastAsia="楷体" w:hAnsi="楷体" w:hint="eastAsia"/>
          <w:color w:val="000000" w:themeColor="text1"/>
          <w:sz w:val="30"/>
          <w:szCs w:val="30"/>
        </w:rPr>
        <w:t>（2025–2026）</w:t>
      </w:r>
    </w:p>
    <w:p w14:paraId="7D98D50C"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Transformer 的当代应用已远超对话机器人范畴，向三个方向深度延伸。</w:t>
      </w:r>
    </w:p>
    <w:p w14:paraId="6B32318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第一，Agent 架构。当前的前沿系统由基础模型、工具调用接口（如 MCP 协议）、外部记忆模块与规划循环共同构成，使模型能够执行多步骤自主任务，如 OpenClaw 与 Manus 等系统所展示的能力。</w:t>
      </w:r>
    </w:p>
    <w:p w14:paraId="7FA31820"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第二，混合专家模型（Mixture of Experts, MoE）。通过稀疏激活机制，模型在每次前向传播中仅调用部分参数子集，以三分之一</w:t>
      </w:r>
      <w:proofErr w:type="gramStart"/>
      <w:r w:rsidRPr="00660147">
        <w:rPr>
          <w:rFonts w:ascii="楷体" w:eastAsia="楷体" w:hAnsi="楷体" w:hint="eastAsia"/>
          <w:color w:val="000000" w:themeColor="text1"/>
        </w:rPr>
        <w:t>的算力消耗</w:t>
      </w:r>
      <w:proofErr w:type="gramEnd"/>
      <w:r w:rsidRPr="00660147">
        <w:rPr>
          <w:rFonts w:ascii="楷体" w:eastAsia="楷体" w:hAnsi="楷体" w:hint="eastAsia"/>
          <w:color w:val="000000" w:themeColor="text1"/>
        </w:rPr>
        <w:t>达到同等性能水平。DeepSeek-V3、Mixtral 与 Qwen3 等主流模型已广泛采用该架构。</w:t>
      </w:r>
    </w:p>
    <w:p w14:paraId="2EE18F38"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第三，</w:t>
      </w:r>
      <w:proofErr w:type="gramStart"/>
      <w:r w:rsidRPr="00660147">
        <w:rPr>
          <w:rFonts w:ascii="楷体" w:eastAsia="楷体" w:hAnsi="楷体" w:hint="eastAsia"/>
          <w:color w:val="000000" w:themeColor="text1"/>
        </w:rPr>
        <w:t>端侧与</w:t>
      </w:r>
      <w:proofErr w:type="gramEnd"/>
      <w:r w:rsidRPr="00660147">
        <w:rPr>
          <w:rFonts w:ascii="楷体" w:eastAsia="楷体" w:hAnsi="楷体" w:hint="eastAsia"/>
          <w:color w:val="000000" w:themeColor="text1"/>
        </w:rPr>
        <w:t>本地推理。通过模型量化、剪枝与蒸馏等压缩技术，结合 NPU 专用芯片，使数十亿至数百亿参数规模的模型能够在消费级设备上运行，手机</w:t>
      </w:r>
      <w:proofErr w:type="gramStart"/>
      <w:r w:rsidRPr="00660147">
        <w:rPr>
          <w:rFonts w:ascii="楷体" w:eastAsia="楷体" w:hAnsi="楷体" w:hint="eastAsia"/>
          <w:color w:val="000000" w:themeColor="text1"/>
        </w:rPr>
        <w:t>端部署</w:t>
      </w:r>
      <w:proofErr w:type="gramEnd"/>
      <w:r w:rsidRPr="00660147">
        <w:rPr>
          <w:rFonts w:ascii="楷体" w:eastAsia="楷体" w:hAnsi="楷体" w:hint="eastAsia"/>
          <w:color w:val="000000" w:themeColor="text1"/>
        </w:rPr>
        <w:t xml:space="preserve"> 7B 至 70B 参数模型已成为常态。</w:t>
      </w:r>
    </w:p>
    <w:p w14:paraId="1E401A1B"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 xml:space="preserve">在物理 AI 领域，Transformer 开始直接处理传感器 token </w:t>
      </w:r>
      <w:proofErr w:type="gramStart"/>
      <w:r w:rsidRPr="00660147">
        <w:rPr>
          <w:rFonts w:ascii="楷体" w:eastAsia="楷体" w:hAnsi="楷体" w:hint="eastAsia"/>
          <w:color w:val="000000" w:themeColor="text1"/>
        </w:rPr>
        <w:t>流并预测</w:t>
      </w:r>
      <w:proofErr w:type="gramEnd"/>
      <w:r w:rsidRPr="00660147">
        <w:rPr>
          <w:rFonts w:ascii="楷体" w:eastAsia="楷体" w:hAnsi="楷体" w:hint="eastAsia"/>
          <w:color w:val="000000" w:themeColor="text1"/>
        </w:rPr>
        <w:t>物理世界状态，应用于端到端自动驾驶（如 Tesla FSD V12）与机器人策略生成。配套基础设施层面，产业重心从训练集群转向推理集群，推动 1.6T 与 3.2T 光模块、CPO（共封装光学）与液冷散热等技术的迭代。</w:t>
      </w:r>
    </w:p>
    <w:p w14:paraId="1C365195"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lastRenderedPageBreak/>
        <w:t>Transformer 的发展可概括为三次范式跃迁。第一次为结构跃迁（2017），以注意力机制取代循环结构，解决了并行计算与长距离依赖问题。第二次为规模跃迁（2020–2023），通过算力、数据与参数规模的同步扩张催生涌现能力，并经对齐技术转化为可产品化的对话系统。第三次为范式跃迁（2024–2026），发展重心从训练时参数规模转向测试时计算扩展，模型形态从文本生成工具演进为具备推理、规划与工具调用能力的通用智能基础设施。</w:t>
      </w:r>
    </w:p>
    <w:p w14:paraId="6AE47773" w14:textId="77777777" w:rsidR="002B152A" w:rsidRPr="00660147" w:rsidRDefault="002B152A" w:rsidP="002B152A">
      <w:pPr>
        <w:rPr>
          <w:rFonts w:ascii="楷体" w:eastAsia="楷体" w:hAnsi="楷体" w:hint="eastAsia"/>
          <w:color w:val="000000" w:themeColor="text1"/>
        </w:rPr>
      </w:pPr>
      <w:r w:rsidRPr="00660147">
        <w:rPr>
          <w:rFonts w:ascii="楷体" w:eastAsia="楷体" w:hAnsi="楷体" w:hint="eastAsia"/>
          <w:color w:val="000000" w:themeColor="text1"/>
        </w:rPr>
        <w:t>当前 Transformer 已不仅是自然语言处理的算法创新，而是通用人工智能的默认技术底座。后续竞争的核心不在于是否采用 Transformer，而在于如何以更低能耗、更长记忆窗口与更强推理能力，使其可靠地连接并作用于物理世界。</w:t>
      </w:r>
    </w:p>
    <w:p w14:paraId="207BF132" w14:textId="77777777" w:rsidR="002B152A" w:rsidRPr="00660147" w:rsidRDefault="002B152A" w:rsidP="002B152A">
      <w:pPr>
        <w:rPr>
          <w:rFonts w:ascii="楷体" w:eastAsia="楷体" w:hAnsi="楷体" w:hint="eastAsia"/>
          <w:color w:val="000000" w:themeColor="text1"/>
        </w:rPr>
      </w:pPr>
    </w:p>
    <w:sectPr w:rsidR="002B152A" w:rsidRPr="00660147" w:rsidSect="00BE4BF4">
      <w:headerReference w:type="default" r:id="rId26"/>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E2F3" w14:textId="77777777" w:rsidR="00570C1D" w:rsidRDefault="00570C1D" w:rsidP="00ED5BD8">
      <w:pPr>
        <w:spacing w:after="0" w:line="240" w:lineRule="auto"/>
        <w:rPr>
          <w:rFonts w:hint="eastAsia"/>
        </w:rPr>
      </w:pPr>
      <w:r>
        <w:separator/>
      </w:r>
    </w:p>
  </w:endnote>
  <w:endnote w:type="continuationSeparator" w:id="0">
    <w:p w14:paraId="54F544DA" w14:textId="77777777" w:rsidR="00570C1D" w:rsidRDefault="00570C1D" w:rsidP="00ED5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正文 CS 字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381680"/>
      <w:docPartObj>
        <w:docPartGallery w:val="Page Numbers (Bottom of Page)"/>
        <w:docPartUnique/>
      </w:docPartObj>
    </w:sdtPr>
    <w:sdtContent>
      <w:p w14:paraId="04492BA5" w14:textId="34297995" w:rsidR="00C6712C" w:rsidRDefault="00C6712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0C8B661" w14:textId="77777777" w:rsidR="00AA19D2" w:rsidRDefault="00AA19D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D471" w14:textId="77777777" w:rsidR="00570C1D" w:rsidRDefault="00570C1D" w:rsidP="00ED5BD8">
      <w:pPr>
        <w:spacing w:after="0" w:line="240" w:lineRule="auto"/>
        <w:rPr>
          <w:rFonts w:hint="eastAsia"/>
        </w:rPr>
      </w:pPr>
      <w:r>
        <w:separator/>
      </w:r>
    </w:p>
  </w:footnote>
  <w:footnote w:type="continuationSeparator" w:id="0">
    <w:p w14:paraId="5CCA8DD7" w14:textId="77777777" w:rsidR="00570C1D" w:rsidRDefault="00570C1D" w:rsidP="00ED5B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AF7D" w14:textId="77777777" w:rsidR="00007D41" w:rsidRDefault="00007D41">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35F"/>
    <w:multiLevelType w:val="multilevel"/>
    <w:tmpl w:val="A20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9F"/>
    <w:multiLevelType w:val="hybridMultilevel"/>
    <w:tmpl w:val="8CAAFF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323A4C"/>
    <w:multiLevelType w:val="hybridMultilevel"/>
    <w:tmpl w:val="78C812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C9332D"/>
    <w:multiLevelType w:val="multilevel"/>
    <w:tmpl w:val="E57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3C59"/>
    <w:multiLevelType w:val="hybridMultilevel"/>
    <w:tmpl w:val="E2C2F0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5624A"/>
    <w:multiLevelType w:val="hybridMultilevel"/>
    <w:tmpl w:val="FB22F9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764B47"/>
    <w:multiLevelType w:val="hybridMultilevel"/>
    <w:tmpl w:val="646AAA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2F63B23"/>
    <w:multiLevelType w:val="hybridMultilevel"/>
    <w:tmpl w:val="EEDE53B2"/>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431F3355"/>
    <w:multiLevelType w:val="multilevel"/>
    <w:tmpl w:val="FE4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8249C"/>
    <w:multiLevelType w:val="hybridMultilevel"/>
    <w:tmpl w:val="E4785832"/>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650EB8"/>
    <w:multiLevelType w:val="hybridMultilevel"/>
    <w:tmpl w:val="B3A8BA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D1F65E0"/>
    <w:multiLevelType w:val="multilevel"/>
    <w:tmpl w:val="9080EF3E"/>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14EE4"/>
    <w:multiLevelType w:val="hybridMultilevel"/>
    <w:tmpl w:val="B13AB2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8F034AC"/>
    <w:multiLevelType w:val="multilevel"/>
    <w:tmpl w:val="F15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DF2"/>
    <w:multiLevelType w:val="multilevel"/>
    <w:tmpl w:val="4D7E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D326D"/>
    <w:multiLevelType w:val="hybridMultilevel"/>
    <w:tmpl w:val="919A55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9EC596A"/>
    <w:multiLevelType w:val="hybridMultilevel"/>
    <w:tmpl w:val="82DA68DC"/>
    <w:lvl w:ilvl="0" w:tplc="3780923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A492ED9"/>
    <w:multiLevelType w:val="hybridMultilevel"/>
    <w:tmpl w:val="D986759A"/>
    <w:lvl w:ilvl="0" w:tplc="BF26C0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0C4173"/>
    <w:multiLevelType w:val="hybridMultilevel"/>
    <w:tmpl w:val="E4B464EE"/>
    <w:lvl w:ilvl="0" w:tplc="5082F53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16724">
    <w:abstractNumId w:val="3"/>
  </w:num>
  <w:num w:numId="2" w16cid:durableId="1276331340">
    <w:abstractNumId w:val="13"/>
  </w:num>
  <w:num w:numId="3" w16cid:durableId="1749885008">
    <w:abstractNumId w:val="8"/>
  </w:num>
  <w:num w:numId="4" w16cid:durableId="1451164397">
    <w:abstractNumId w:val="0"/>
  </w:num>
  <w:num w:numId="5" w16cid:durableId="805704556">
    <w:abstractNumId w:val="10"/>
  </w:num>
  <w:num w:numId="6" w16cid:durableId="1243754326">
    <w:abstractNumId w:val="6"/>
  </w:num>
  <w:num w:numId="7" w16cid:durableId="631129675">
    <w:abstractNumId w:val="17"/>
  </w:num>
  <w:num w:numId="8" w16cid:durableId="1571427239">
    <w:abstractNumId w:val="5"/>
  </w:num>
  <w:num w:numId="9" w16cid:durableId="972246471">
    <w:abstractNumId w:val="1"/>
  </w:num>
  <w:num w:numId="10" w16cid:durableId="216018807">
    <w:abstractNumId w:val="2"/>
  </w:num>
  <w:num w:numId="11" w16cid:durableId="41171317">
    <w:abstractNumId w:val="15"/>
  </w:num>
  <w:num w:numId="12" w16cid:durableId="1879202220">
    <w:abstractNumId w:val="12"/>
  </w:num>
  <w:num w:numId="13" w16cid:durableId="1986738919">
    <w:abstractNumId w:val="11"/>
  </w:num>
  <w:num w:numId="14" w16cid:durableId="1160466914">
    <w:abstractNumId w:val="14"/>
  </w:num>
  <w:num w:numId="15" w16cid:durableId="1624457220">
    <w:abstractNumId w:val="16"/>
  </w:num>
  <w:num w:numId="16" w16cid:durableId="1747650394">
    <w:abstractNumId w:val="18"/>
  </w:num>
  <w:num w:numId="17" w16cid:durableId="1544056408">
    <w:abstractNumId w:val="9"/>
  </w:num>
  <w:num w:numId="18" w16cid:durableId="636836547">
    <w:abstractNumId w:val="7"/>
  </w:num>
  <w:num w:numId="19" w16cid:durableId="1836872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7F"/>
    <w:rsid w:val="00000513"/>
    <w:rsid w:val="00000867"/>
    <w:rsid w:val="00007D41"/>
    <w:rsid w:val="0002120E"/>
    <w:rsid w:val="00024FDB"/>
    <w:rsid w:val="00025672"/>
    <w:rsid w:val="000271F1"/>
    <w:rsid w:val="0003199B"/>
    <w:rsid w:val="00043F4A"/>
    <w:rsid w:val="00051E29"/>
    <w:rsid w:val="00056BAE"/>
    <w:rsid w:val="000604DE"/>
    <w:rsid w:val="00095A8E"/>
    <w:rsid w:val="000A0741"/>
    <w:rsid w:val="000A5EFB"/>
    <w:rsid w:val="000B1790"/>
    <w:rsid w:val="000B5284"/>
    <w:rsid w:val="000B5933"/>
    <w:rsid w:val="000C7B8B"/>
    <w:rsid w:val="000E1CBC"/>
    <w:rsid w:val="000E3FAC"/>
    <w:rsid w:val="000F01B5"/>
    <w:rsid w:val="000F03F7"/>
    <w:rsid w:val="000F43AA"/>
    <w:rsid w:val="00106375"/>
    <w:rsid w:val="001205E7"/>
    <w:rsid w:val="00121A13"/>
    <w:rsid w:val="00121D89"/>
    <w:rsid w:val="00123A11"/>
    <w:rsid w:val="00123EB4"/>
    <w:rsid w:val="00125EBC"/>
    <w:rsid w:val="00135835"/>
    <w:rsid w:val="001455D4"/>
    <w:rsid w:val="001506AE"/>
    <w:rsid w:val="0015187D"/>
    <w:rsid w:val="00152E11"/>
    <w:rsid w:val="001530C3"/>
    <w:rsid w:val="00157396"/>
    <w:rsid w:val="001577D2"/>
    <w:rsid w:val="00160C84"/>
    <w:rsid w:val="001630F9"/>
    <w:rsid w:val="001650E9"/>
    <w:rsid w:val="001668B0"/>
    <w:rsid w:val="00186848"/>
    <w:rsid w:val="00191FB0"/>
    <w:rsid w:val="001A5243"/>
    <w:rsid w:val="001B02E5"/>
    <w:rsid w:val="001B6851"/>
    <w:rsid w:val="001C0665"/>
    <w:rsid w:val="001C0E59"/>
    <w:rsid w:val="001C7828"/>
    <w:rsid w:val="001E5969"/>
    <w:rsid w:val="001F2331"/>
    <w:rsid w:val="001F4CD4"/>
    <w:rsid w:val="001F5B5D"/>
    <w:rsid w:val="00200C80"/>
    <w:rsid w:val="00201B38"/>
    <w:rsid w:val="00202714"/>
    <w:rsid w:val="0020273E"/>
    <w:rsid w:val="002037D2"/>
    <w:rsid w:val="00226F19"/>
    <w:rsid w:val="00230CC8"/>
    <w:rsid w:val="002576D6"/>
    <w:rsid w:val="00270210"/>
    <w:rsid w:val="00281984"/>
    <w:rsid w:val="00283F56"/>
    <w:rsid w:val="00284EEB"/>
    <w:rsid w:val="00285142"/>
    <w:rsid w:val="00285D82"/>
    <w:rsid w:val="00295861"/>
    <w:rsid w:val="002A00D4"/>
    <w:rsid w:val="002A55D2"/>
    <w:rsid w:val="002A6C7F"/>
    <w:rsid w:val="002A75FD"/>
    <w:rsid w:val="002A7ABA"/>
    <w:rsid w:val="002B152A"/>
    <w:rsid w:val="002B7155"/>
    <w:rsid w:val="002D10AB"/>
    <w:rsid w:val="002D174D"/>
    <w:rsid w:val="002D2712"/>
    <w:rsid w:val="002D42B4"/>
    <w:rsid w:val="002E2ADA"/>
    <w:rsid w:val="002F03E4"/>
    <w:rsid w:val="002F2E78"/>
    <w:rsid w:val="00300B7A"/>
    <w:rsid w:val="00302DA0"/>
    <w:rsid w:val="00303327"/>
    <w:rsid w:val="00305D10"/>
    <w:rsid w:val="00305EAD"/>
    <w:rsid w:val="0032078D"/>
    <w:rsid w:val="00321AA2"/>
    <w:rsid w:val="00323214"/>
    <w:rsid w:val="0032378F"/>
    <w:rsid w:val="0032523A"/>
    <w:rsid w:val="00327FD5"/>
    <w:rsid w:val="0033367F"/>
    <w:rsid w:val="00334673"/>
    <w:rsid w:val="003370CA"/>
    <w:rsid w:val="00342124"/>
    <w:rsid w:val="00350397"/>
    <w:rsid w:val="003518D6"/>
    <w:rsid w:val="00352BE2"/>
    <w:rsid w:val="0035324D"/>
    <w:rsid w:val="00353B1A"/>
    <w:rsid w:val="00355EB6"/>
    <w:rsid w:val="0036035B"/>
    <w:rsid w:val="00364B87"/>
    <w:rsid w:val="00374E1B"/>
    <w:rsid w:val="00387C17"/>
    <w:rsid w:val="00392096"/>
    <w:rsid w:val="00394936"/>
    <w:rsid w:val="003A6B8F"/>
    <w:rsid w:val="003C28D7"/>
    <w:rsid w:val="003C3D71"/>
    <w:rsid w:val="003C612B"/>
    <w:rsid w:val="003D13CA"/>
    <w:rsid w:val="003E3D4A"/>
    <w:rsid w:val="003F6332"/>
    <w:rsid w:val="00411C12"/>
    <w:rsid w:val="0041670E"/>
    <w:rsid w:val="00431645"/>
    <w:rsid w:val="00435E88"/>
    <w:rsid w:val="004447C8"/>
    <w:rsid w:val="004476CF"/>
    <w:rsid w:val="004726BD"/>
    <w:rsid w:val="004745AC"/>
    <w:rsid w:val="0049155E"/>
    <w:rsid w:val="004919A6"/>
    <w:rsid w:val="00497691"/>
    <w:rsid w:val="004A0C08"/>
    <w:rsid w:val="004B23DD"/>
    <w:rsid w:val="004C0C4B"/>
    <w:rsid w:val="004D3239"/>
    <w:rsid w:val="004D35EB"/>
    <w:rsid w:val="004D4EF4"/>
    <w:rsid w:val="004E0DBF"/>
    <w:rsid w:val="004E197F"/>
    <w:rsid w:val="004E2B3F"/>
    <w:rsid w:val="004E59A8"/>
    <w:rsid w:val="004E7111"/>
    <w:rsid w:val="004F5379"/>
    <w:rsid w:val="004F7E65"/>
    <w:rsid w:val="005021C0"/>
    <w:rsid w:val="00502A8D"/>
    <w:rsid w:val="00507D96"/>
    <w:rsid w:val="00517232"/>
    <w:rsid w:val="005207AD"/>
    <w:rsid w:val="00522A5F"/>
    <w:rsid w:val="0054546B"/>
    <w:rsid w:val="0054710A"/>
    <w:rsid w:val="0056114B"/>
    <w:rsid w:val="0056725F"/>
    <w:rsid w:val="00570231"/>
    <w:rsid w:val="00570C1D"/>
    <w:rsid w:val="00575254"/>
    <w:rsid w:val="00580D7A"/>
    <w:rsid w:val="00583DC5"/>
    <w:rsid w:val="005852F8"/>
    <w:rsid w:val="005870B1"/>
    <w:rsid w:val="00594F42"/>
    <w:rsid w:val="00595591"/>
    <w:rsid w:val="005B1233"/>
    <w:rsid w:val="005B66B5"/>
    <w:rsid w:val="005C20A7"/>
    <w:rsid w:val="005C37A9"/>
    <w:rsid w:val="005C5417"/>
    <w:rsid w:val="005C7CF0"/>
    <w:rsid w:val="005C7F4D"/>
    <w:rsid w:val="005D6D33"/>
    <w:rsid w:val="005E58C9"/>
    <w:rsid w:val="005F537F"/>
    <w:rsid w:val="005F60E0"/>
    <w:rsid w:val="00602FC8"/>
    <w:rsid w:val="006077D9"/>
    <w:rsid w:val="0061323D"/>
    <w:rsid w:val="00616A97"/>
    <w:rsid w:val="00616B09"/>
    <w:rsid w:val="00621C0E"/>
    <w:rsid w:val="00627615"/>
    <w:rsid w:val="00640657"/>
    <w:rsid w:val="00640E09"/>
    <w:rsid w:val="006458B1"/>
    <w:rsid w:val="00660147"/>
    <w:rsid w:val="00670567"/>
    <w:rsid w:val="00676291"/>
    <w:rsid w:val="00695D4E"/>
    <w:rsid w:val="00697D7C"/>
    <w:rsid w:val="006A1788"/>
    <w:rsid w:val="006A6901"/>
    <w:rsid w:val="006B17D5"/>
    <w:rsid w:val="006C08FF"/>
    <w:rsid w:val="006C2E81"/>
    <w:rsid w:val="006D3DF1"/>
    <w:rsid w:val="006D7A4C"/>
    <w:rsid w:val="006E3EE6"/>
    <w:rsid w:val="006E47D3"/>
    <w:rsid w:val="006F19A7"/>
    <w:rsid w:val="007017EE"/>
    <w:rsid w:val="0070608D"/>
    <w:rsid w:val="007066EE"/>
    <w:rsid w:val="00706CB6"/>
    <w:rsid w:val="00715D18"/>
    <w:rsid w:val="00717324"/>
    <w:rsid w:val="007331D0"/>
    <w:rsid w:val="007433F7"/>
    <w:rsid w:val="007437A2"/>
    <w:rsid w:val="007470EE"/>
    <w:rsid w:val="007529B1"/>
    <w:rsid w:val="007677E5"/>
    <w:rsid w:val="00772A2F"/>
    <w:rsid w:val="00776919"/>
    <w:rsid w:val="00786349"/>
    <w:rsid w:val="007877C6"/>
    <w:rsid w:val="00787DD9"/>
    <w:rsid w:val="007A5695"/>
    <w:rsid w:val="007A6F08"/>
    <w:rsid w:val="007B42F1"/>
    <w:rsid w:val="007B672F"/>
    <w:rsid w:val="007C2934"/>
    <w:rsid w:val="007C4D23"/>
    <w:rsid w:val="007C59C6"/>
    <w:rsid w:val="007C5F09"/>
    <w:rsid w:val="007D0D0D"/>
    <w:rsid w:val="007D73ED"/>
    <w:rsid w:val="007E3166"/>
    <w:rsid w:val="007E3262"/>
    <w:rsid w:val="007E5A00"/>
    <w:rsid w:val="007F032A"/>
    <w:rsid w:val="007F6AB9"/>
    <w:rsid w:val="00804767"/>
    <w:rsid w:val="00805DE6"/>
    <w:rsid w:val="00807A6A"/>
    <w:rsid w:val="00810AB6"/>
    <w:rsid w:val="00810DAC"/>
    <w:rsid w:val="008323C7"/>
    <w:rsid w:val="00834FE0"/>
    <w:rsid w:val="0084086B"/>
    <w:rsid w:val="00852E95"/>
    <w:rsid w:val="0086181D"/>
    <w:rsid w:val="008675F9"/>
    <w:rsid w:val="00875908"/>
    <w:rsid w:val="00880501"/>
    <w:rsid w:val="008A0847"/>
    <w:rsid w:val="008B727D"/>
    <w:rsid w:val="008C0151"/>
    <w:rsid w:val="008C081F"/>
    <w:rsid w:val="008C2032"/>
    <w:rsid w:val="008C207A"/>
    <w:rsid w:val="008C6C65"/>
    <w:rsid w:val="008D0FD5"/>
    <w:rsid w:val="008D416D"/>
    <w:rsid w:val="008D5F95"/>
    <w:rsid w:val="008D64F8"/>
    <w:rsid w:val="008D6F95"/>
    <w:rsid w:val="008E1DED"/>
    <w:rsid w:val="008F37E4"/>
    <w:rsid w:val="008F797B"/>
    <w:rsid w:val="00903F5B"/>
    <w:rsid w:val="00911C7E"/>
    <w:rsid w:val="00913B7F"/>
    <w:rsid w:val="00914D6F"/>
    <w:rsid w:val="00916A2C"/>
    <w:rsid w:val="0094272B"/>
    <w:rsid w:val="0094627B"/>
    <w:rsid w:val="00952AAA"/>
    <w:rsid w:val="009609A0"/>
    <w:rsid w:val="00963E1A"/>
    <w:rsid w:val="00967728"/>
    <w:rsid w:val="00976034"/>
    <w:rsid w:val="0098006A"/>
    <w:rsid w:val="009824F1"/>
    <w:rsid w:val="00983206"/>
    <w:rsid w:val="009851AD"/>
    <w:rsid w:val="00985A4E"/>
    <w:rsid w:val="009876D7"/>
    <w:rsid w:val="009933AA"/>
    <w:rsid w:val="009959AC"/>
    <w:rsid w:val="009A28A3"/>
    <w:rsid w:val="009B0704"/>
    <w:rsid w:val="009B1F6D"/>
    <w:rsid w:val="009B4A67"/>
    <w:rsid w:val="009C17F5"/>
    <w:rsid w:val="009C2B03"/>
    <w:rsid w:val="009C2CE9"/>
    <w:rsid w:val="009C4AF1"/>
    <w:rsid w:val="009C74CB"/>
    <w:rsid w:val="009D545F"/>
    <w:rsid w:val="009E6ACD"/>
    <w:rsid w:val="009F0B3E"/>
    <w:rsid w:val="00A054F9"/>
    <w:rsid w:val="00A175AC"/>
    <w:rsid w:val="00A2761B"/>
    <w:rsid w:val="00A27798"/>
    <w:rsid w:val="00A30AF7"/>
    <w:rsid w:val="00A33732"/>
    <w:rsid w:val="00A410A7"/>
    <w:rsid w:val="00A42112"/>
    <w:rsid w:val="00A45C46"/>
    <w:rsid w:val="00A65C56"/>
    <w:rsid w:val="00A670C9"/>
    <w:rsid w:val="00A67E74"/>
    <w:rsid w:val="00A803F3"/>
    <w:rsid w:val="00A90954"/>
    <w:rsid w:val="00A91E4D"/>
    <w:rsid w:val="00A964AB"/>
    <w:rsid w:val="00A973A2"/>
    <w:rsid w:val="00AA19D2"/>
    <w:rsid w:val="00AB0E71"/>
    <w:rsid w:val="00AB1CFB"/>
    <w:rsid w:val="00AB21D0"/>
    <w:rsid w:val="00AB7A53"/>
    <w:rsid w:val="00AC20A2"/>
    <w:rsid w:val="00AC2670"/>
    <w:rsid w:val="00AC39E4"/>
    <w:rsid w:val="00AC637A"/>
    <w:rsid w:val="00AD42E7"/>
    <w:rsid w:val="00AD5736"/>
    <w:rsid w:val="00AD5738"/>
    <w:rsid w:val="00AD7077"/>
    <w:rsid w:val="00AE61E5"/>
    <w:rsid w:val="00B01A0A"/>
    <w:rsid w:val="00B04FB9"/>
    <w:rsid w:val="00B104F9"/>
    <w:rsid w:val="00B123F7"/>
    <w:rsid w:val="00B179FD"/>
    <w:rsid w:val="00B23F1D"/>
    <w:rsid w:val="00B2437D"/>
    <w:rsid w:val="00B358D3"/>
    <w:rsid w:val="00B417DC"/>
    <w:rsid w:val="00B471C8"/>
    <w:rsid w:val="00B4783E"/>
    <w:rsid w:val="00B47AA5"/>
    <w:rsid w:val="00B54E1E"/>
    <w:rsid w:val="00B563C8"/>
    <w:rsid w:val="00B65A6A"/>
    <w:rsid w:val="00B660DB"/>
    <w:rsid w:val="00B72D93"/>
    <w:rsid w:val="00B81B1A"/>
    <w:rsid w:val="00B82F03"/>
    <w:rsid w:val="00B9788C"/>
    <w:rsid w:val="00BA3AFA"/>
    <w:rsid w:val="00BA5607"/>
    <w:rsid w:val="00BB477E"/>
    <w:rsid w:val="00BC107F"/>
    <w:rsid w:val="00BC62F5"/>
    <w:rsid w:val="00BD1B9F"/>
    <w:rsid w:val="00BD42A1"/>
    <w:rsid w:val="00BD680F"/>
    <w:rsid w:val="00BE4BF4"/>
    <w:rsid w:val="00BE5EC9"/>
    <w:rsid w:val="00BF1C60"/>
    <w:rsid w:val="00BF2A01"/>
    <w:rsid w:val="00BF345B"/>
    <w:rsid w:val="00BF4974"/>
    <w:rsid w:val="00BF76FA"/>
    <w:rsid w:val="00C03062"/>
    <w:rsid w:val="00C04682"/>
    <w:rsid w:val="00C06109"/>
    <w:rsid w:val="00C10975"/>
    <w:rsid w:val="00C14DC4"/>
    <w:rsid w:val="00C162B2"/>
    <w:rsid w:val="00C16BA7"/>
    <w:rsid w:val="00C2236D"/>
    <w:rsid w:val="00C22F0C"/>
    <w:rsid w:val="00C27806"/>
    <w:rsid w:val="00C3021C"/>
    <w:rsid w:val="00C3234E"/>
    <w:rsid w:val="00C343A8"/>
    <w:rsid w:val="00C35FE9"/>
    <w:rsid w:val="00C363A7"/>
    <w:rsid w:val="00C42458"/>
    <w:rsid w:val="00C51BBE"/>
    <w:rsid w:val="00C546AE"/>
    <w:rsid w:val="00C6712C"/>
    <w:rsid w:val="00C7160C"/>
    <w:rsid w:val="00C74216"/>
    <w:rsid w:val="00C756A5"/>
    <w:rsid w:val="00C958CC"/>
    <w:rsid w:val="00CA008E"/>
    <w:rsid w:val="00CB4E84"/>
    <w:rsid w:val="00CC04E8"/>
    <w:rsid w:val="00CD1D70"/>
    <w:rsid w:val="00CD458E"/>
    <w:rsid w:val="00CD58EE"/>
    <w:rsid w:val="00CD79AB"/>
    <w:rsid w:val="00CE3A56"/>
    <w:rsid w:val="00CE7213"/>
    <w:rsid w:val="00CF0BD1"/>
    <w:rsid w:val="00CF1798"/>
    <w:rsid w:val="00CF4646"/>
    <w:rsid w:val="00CF5688"/>
    <w:rsid w:val="00D0013B"/>
    <w:rsid w:val="00D030E0"/>
    <w:rsid w:val="00D102A8"/>
    <w:rsid w:val="00D1336A"/>
    <w:rsid w:val="00D161A8"/>
    <w:rsid w:val="00D22639"/>
    <w:rsid w:val="00D357CC"/>
    <w:rsid w:val="00D4361A"/>
    <w:rsid w:val="00D4502A"/>
    <w:rsid w:val="00D579FB"/>
    <w:rsid w:val="00D6092B"/>
    <w:rsid w:val="00D616A2"/>
    <w:rsid w:val="00D6582C"/>
    <w:rsid w:val="00D711DA"/>
    <w:rsid w:val="00D72D41"/>
    <w:rsid w:val="00D72F3D"/>
    <w:rsid w:val="00D7544C"/>
    <w:rsid w:val="00D7733C"/>
    <w:rsid w:val="00D807B9"/>
    <w:rsid w:val="00D85A4D"/>
    <w:rsid w:val="00D878BB"/>
    <w:rsid w:val="00D941B8"/>
    <w:rsid w:val="00D94C6B"/>
    <w:rsid w:val="00D968D6"/>
    <w:rsid w:val="00DB5844"/>
    <w:rsid w:val="00DC3515"/>
    <w:rsid w:val="00DC38C7"/>
    <w:rsid w:val="00DD3AD6"/>
    <w:rsid w:val="00DD5A00"/>
    <w:rsid w:val="00DE1C29"/>
    <w:rsid w:val="00DF7794"/>
    <w:rsid w:val="00E0149C"/>
    <w:rsid w:val="00E112F2"/>
    <w:rsid w:val="00E15B8F"/>
    <w:rsid w:val="00E250DA"/>
    <w:rsid w:val="00E2535F"/>
    <w:rsid w:val="00E26856"/>
    <w:rsid w:val="00E33054"/>
    <w:rsid w:val="00E33CB9"/>
    <w:rsid w:val="00E376BD"/>
    <w:rsid w:val="00E40B2D"/>
    <w:rsid w:val="00E42215"/>
    <w:rsid w:val="00E46432"/>
    <w:rsid w:val="00E5628C"/>
    <w:rsid w:val="00E62AF6"/>
    <w:rsid w:val="00E72EC0"/>
    <w:rsid w:val="00E7542E"/>
    <w:rsid w:val="00E77E17"/>
    <w:rsid w:val="00E82244"/>
    <w:rsid w:val="00E83A40"/>
    <w:rsid w:val="00E92071"/>
    <w:rsid w:val="00E97DA7"/>
    <w:rsid w:val="00EA085A"/>
    <w:rsid w:val="00EA19A3"/>
    <w:rsid w:val="00EB1A24"/>
    <w:rsid w:val="00EB261C"/>
    <w:rsid w:val="00EB5EA6"/>
    <w:rsid w:val="00EC0A6E"/>
    <w:rsid w:val="00EC4FE3"/>
    <w:rsid w:val="00ED3460"/>
    <w:rsid w:val="00ED491D"/>
    <w:rsid w:val="00ED5BD8"/>
    <w:rsid w:val="00ED7D24"/>
    <w:rsid w:val="00EE4224"/>
    <w:rsid w:val="00EE7B17"/>
    <w:rsid w:val="00EF2F07"/>
    <w:rsid w:val="00EF571A"/>
    <w:rsid w:val="00F02816"/>
    <w:rsid w:val="00F03515"/>
    <w:rsid w:val="00F06280"/>
    <w:rsid w:val="00F06836"/>
    <w:rsid w:val="00F07763"/>
    <w:rsid w:val="00F078F9"/>
    <w:rsid w:val="00F1171C"/>
    <w:rsid w:val="00F14E9B"/>
    <w:rsid w:val="00F23CFB"/>
    <w:rsid w:val="00F3119A"/>
    <w:rsid w:val="00F405DF"/>
    <w:rsid w:val="00F414BF"/>
    <w:rsid w:val="00F45977"/>
    <w:rsid w:val="00F4738C"/>
    <w:rsid w:val="00F528A0"/>
    <w:rsid w:val="00F52A30"/>
    <w:rsid w:val="00F5688C"/>
    <w:rsid w:val="00F632BD"/>
    <w:rsid w:val="00F65D79"/>
    <w:rsid w:val="00F72912"/>
    <w:rsid w:val="00F7444A"/>
    <w:rsid w:val="00F8698F"/>
    <w:rsid w:val="00FA494B"/>
    <w:rsid w:val="00FB02AD"/>
    <w:rsid w:val="00FB2BF4"/>
    <w:rsid w:val="00FB78B9"/>
    <w:rsid w:val="00FC19EA"/>
    <w:rsid w:val="00FC5A3D"/>
    <w:rsid w:val="00FD2C9B"/>
    <w:rsid w:val="00FF54E9"/>
    <w:rsid w:val="00FF5C51"/>
    <w:rsid w:val="00FF5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E24B2"/>
  <w15:chartTrackingRefBased/>
  <w15:docId w15:val="{6D8F260F-F15E-41A1-9F35-212C16AA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A6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A6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A6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2A6C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6C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6C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C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C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A6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A6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A6C7F"/>
    <w:rPr>
      <w:rFonts w:cstheme="majorBidi"/>
      <w:color w:val="2F5496" w:themeColor="accent1" w:themeShade="BF"/>
      <w:sz w:val="28"/>
      <w:szCs w:val="28"/>
    </w:rPr>
  </w:style>
  <w:style w:type="character" w:customStyle="1" w:styleId="50">
    <w:name w:val="标题 5 字符"/>
    <w:basedOn w:val="a0"/>
    <w:link w:val="5"/>
    <w:uiPriority w:val="9"/>
    <w:rsid w:val="002A6C7F"/>
    <w:rPr>
      <w:rFonts w:cstheme="majorBidi"/>
      <w:color w:val="2F5496" w:themeColor="accent1" w:themeShade="BF"/>
      <w:sz w:val="24"/>
    </w:rPr>
  </w:style>
  <w:style w:type="character" w:customStyle="1" w:styleId="60">
    <w:name w:val="标题 6 字符"/>
    <w:basedOn w:val="a0"/>
    <w:link w:val="6"/>
    <w:uiPriority w:val="9"/>
    <w:semiHidden/>
    <w:rsid w:val="002A6C7F"/>
    <w:rPr>
      <w:rFonts w:cstheme="majorBidi"/>
      <w:b/>
      <w:bCs/>
      <w:color w:val="2F5496" w:themeColor="accent1" w:themeShade="BF"/>
    </w:rPr>
  </w:style>
  <w:style w:type="character" w:customStyle="1" w:styleId="70">
    <w:name w:val="标题 7 字符"/>
    <w:basedOn w:val="a0"/>
    <w:link w:val="7"/>
    <w:uiPriority w:val="9"/>
    <w:semiHidden/>
    <w:rsid w:val="002A6C7F"/>
    <w:rPr>
      <w:rFonts w:cstheme="majorBidi"/>
      <w:b/>
      <w:bCs/>
      <w:color w:val="595959" w:themeColor="text1" w:themeTint="A6"/>
    </w:rPr>
  </w:style>
  <w:style w:type="character" w:customStyle="1" w:styleId="80">
    <w:name w:val="标题 8 字符"/>
    <w:basedOn w:val="a0"/>
    <w:link w:val="8"/>
    <w:uiPriority w:val="9"/>
    <w:semiHidden/>
    <w:rsid w:val="002A6C7F"/>
    <w:rPr>
      <w:rFonts w:cstheme="majorBidi"/>
      <w:color w:val="595959" w:themeColor="text1" w:themeTint="A6"/>
    </w:rPr>
  </w:style>
  <w:style w:type="character" w:customStyle="1" w:styleId="90">
    <w:name w:val="标题 9 字符"/>
    <w:basedOn w:val="a0"/>
    <w:link w:val="9"/>
    <w:uiPriority w:val="9"/>
    <w:semiHidden/>
    <w:rsid w:val="002A6C7F"/>
    <w:rPr>
      <w:rFonts w:eastAsiaTheme="majorEastAsia" w:cstheme="majorBidi"/>
      <w:color w:val="595959" w:themeColor="text1" w:themeTint="A6"/>
    </w:rPr>
  </w:style>
  <w:style w:type="paragraph" w:styleId="a3">
    <w:name w:val="Title"/>
    <w:basedOn w:val="a"/>
    <w:next w:val="a"/>
    <w:link w:val="a4"/>
    <w:uiPriority w:val="10"/>
    <w:qFormat/>
    <w:rsid w:val="002A6C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7F"/>
    <w:pPr>
      <w:spacing w:before="160"/>
      <w:jc w:val="center"/>
    </w:pPr>
    <w:rPr>
      <w:i/>
      <w:iCs/>
      <w:color w:val="404040" w:themeColor="text1" w:themeTint="BF"/>
    </w:rPr>
  </w:style>
  <w:style w:type="character" w:customStyle="1" w:styleId="a8">
    <w:name w:val="引用 字符"/>
    <w:basedOn w:val="a0"/>
    <w:link w:val="a7"/>
    <w:uiPriority w:val="29"/>
    <w:rsid w:val="002A6C7F"/>
    <w:rPr>
      <w:i/>
      <w:iCs/>
      <w:color w:val="404040" w:themeColor="text1" w:themeTint="BF"/>
    </w:rPr>
  </w:style>
  <w:style w:type="paragraph" w:styleId="a9">
    <w:name w:val="List Paragraph"/>
    <w:basedOn w:val="a"/>
    <w:uiPriority w:val="34"/>
    <w:qFormat/>
    <w:rsid w:val="002A6C7F"/>
    <w:pPr>
      <w:ind w:left="720"/>
      <w:contextualSpacing/>
    </w:pPr>
  </w:style>
  <w:style w:type="character" w:styleId="aa">
    <w:name w:val="Intense Emphasis"/>
    <w:basedOn w:val="a0"/>
    <w:uiPriority w:val="21"/>
    <w:qFormat/>
    <w:rsid w:val="002A6C7F"/>
    <w:rPr>
      <w:i/>
      <w:iCs/>
      <w:color w:val="2F5496" w:themeColor="accent1" w:themeShade="BF"/>
    </w:rPr>
  </w:style>
  <w:style w:type="paragraph" w:styleId="ab">
    <w:name w:val="Intense Quote"/>
    <w:basedOn w:val="a"/>
    <w:next w:val="a"/>
    <w:link w:val="ac"/>
    <w:uiPriority w:val="30"/>
    <w:qFormat/>
    <w:rsid w:val="002A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6C7F"/>
    <w:rPr>
      <w:i/>
      <w:iCs/>
      <w:color w:val="2F5496" w:themeColor="accent1" w:themeShade="BF"/>
    </w:rPr>
  </w:style>
  <w:style w:type="character" w:styleId="ad">
    <w:name w:val="Intense Reference"/>
    <w:basedOn w:val="a0"/>
    <w:uiPriority w:val="32"/>
    <w:qFormat/>
    <w:rsid w:val="002A6C7F"/>
    <w:rPr>
      <w:b/>
      <w:bCs/>
      <w:smallCaps/>
      <w:color w:val="2F5496" w:themeColor="accent1" w:themeShade="BF"/>
      <w:spacing w:val="5"/>
    </w:rPr>
  </w:style>
  <w:style w:type="paragraph" w:styleId="ae">
    <w:name w:val="header"/>
    <w:basedOn w:val="a"/>
    <w:link w:val="af"/>
    <w:uiPriority w:val="99"/>
    <w:unhideWhenUsed/>
    <w:rsid w:val="00ED5B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D5BD8"/>
    <w:rPr>
      <w:sz w:val="18"/>
      <w:szCs w:val="18"/>
    </w:rPr>
  </w:style>
  <w:style w:type="paragraph" w:styleId="af0">
    <w:name w:val="footer"/>
    <w:basedOn w:val="a"/>
    <w:link w:val="af1"/>
    <w:uiPriority w:val="99"/>
    <w:unhideWhenUsed/>
    <w:rsid w:val="00ED5B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D5BD8"/>
    <w:rPr>
      <w:sz w:val="18"/>
      <w:szCs w:val="18"/>
    </w:rPr>
  </w:style>
  <w:style w:type="table" w:styleId="af2">
    <w:name w:val="Table Grid"/>
    <w:basedOn w:val="a1"/>
    <w:uiPriority w:val="39"/>
    <w:rsid w:val="00834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B4783E"/>
    <w:rPr>
      <w:color w:val="0563C1" w:themeColor="hyperlink"/>
      <w:u w:val="single"/>
    </w:rPr>
  </w:style>
  <w:style w:type="character" w:styleId="af4">
    <w:name w:val="Unresolved Mention"/>
    <w:basedOn w:val="a0"/>
    <w:uiPriority w:val="99"/>
    <w:semiHidden/>
    <w:unhideWhenUsed/>
    <w:rsid w:val="00B4783E"/>
    <w:rPr>
      <w:color w:val="605E5C"/>
      <w:shd w:val="clear" w:color="auto" w:fill="E1DFDD"/>
    </w:rPr>
  </w:style>
  <w:style w:type="paragraph" w:styleId="af5">
    <w:name w:val="Body Text"/>
    <w:basedOn w:val="a"/>
    <w:link w:val="af6"/>
    <w:qFormat/>
    <w:rsid w:val="00200C80"/>
    <w:pPr>
      <w:widowControl/>
      <w:spacing w:after="0" w:line="360" w:lineRule="auto"/>
    </w:pPr>
    <w:rPr>
      <w:rFonts w:ascii="Arial" w:eastAsia="宋体" w:hAnsi="Arial" w:cs="Times New Roman (正文 CS 字体)"/>
      <w:kern w:val="0"/>
      <w:sz w:val="24"/>
      <w:lang w:eastAsia="en-US"/>
      <w14:ligatures w14:val="none"/>
    </w:rPr>
  </w:style>
  <w:style w:type="character" w:customStyle="1" w:styleId="af6">
    <w:name w:val="正文文本 字符"/>
    <w:basedOn w:val="a0"/>
    <w:link w:val="af5"/>
    <w:rsid w:val="00200C80"/>
    <w:rPr>
      <w:rFonts w:ascii="Arial" w:eastAsia="宋体" w:hAnsi="Arial" w:cs="Times New Roman (正文 CS 字体)"/>
      <w:kern w:val="0"/>
      <w:sz w:val="24"/>
      <w:lang w:eastAsia="en-US"/>
      <w14:ligatures w14:val="none"/>
    </w:rPr>
  </w:style>
  <w:style w:type="paragraph" w:customStyle="1" w:styleId="FirstParagraph">
    <w:name w:val="First Paragraph"/>
    <w:basedOn w:val="af5"/>
    <w:next w:val="af5"/>
    <w:qFormat/>
    <w:rsid w:val="00200C80"/>
  </w:style>
  <w:style w:type="paragraph" w:customStyle="1" w:styleId="Compact">
    <w:name w:val="Compact"/>
    <w:basedOn w:val="af5"/>
    <w:qFormat/>
    <w:rsid w:val="008D64F8"/>
    <w:pPr>
      <w:spacing w:before="36" w:after="36"/>
    </w:pPr>
  </w:style>
  <w:style w:type="table" w:customStyle="1" w:styleId="Table">
    <w:name w:val="Table"/>
    <w:semiHidden/>
    <w:unhideWhenUsed/>
    <w:qFormat/>
    <w:rsid w:val="008D64F8"/>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7">
    <w:name w:val="annotation reference"/>
    <w:basedOn w:val="a0"/>
    <w:uiPriority w:val="99"/>
    <w:semiHidden/>
    <w:unhideWhenUsed/>
    <w:rsid w:val="001C0E59"/>
    <w:rPr>
      <w:sz w:val="21"/>
      <w:szCs w:val="21"/>
    </w:rPr>
  </w:style>
  <w:style w:type="paragraph" w:styleId="af8">
    <w:name w:val="annotation text"/>
    <w:basedOn w:val="a"/>
    <w:link w:val="af9"/>
    <w:uiPriority w:val="99"/>
    <w:unhideWhenUsed/>
    <w:rsid w:val="001C0E59"/>
  </w:style>
  <w:style w:type="character" w:customStyle="1" w:styleId="af9">
    <w:name w:val="批注文字 字符"/>
    <w:basedOn w:val="a0"/>
    <w:link w:val="af8"/>
    <w:uiPriority w:val="99"/>
    <w:rsid w:val="001C0E59"/>
  </w:style>
  <w:style w:type="paragraph" w:styleId="afa">
    <w:name w:val="annotation subject"/>
    <w:basedOn w:val="af8"/>
    <w:next w:val="af8"/>
    <w:link w:val="afb"/>
    <w:uiPriority w:val="99"/>
    <w:semiHidden/>
    <w:unhideWhenUsed/>
    <w:rsid w:val="001C0E59"/>
    <w:rPr>
      <w:b/>
      <w:bCs/>
    </w:rPr>
  </w:style>
  <w:style w:type="character" w:customStyle="1" w:styleId="afb">
    <w:name w:val="批注主题 字符"/>
    <w:basedOn w:val="af9"/>
    <w:link w:val="afa"/>
    <w:uiPriority w:val="99"/>
    <w:semiHidden/>
    <w:rsid w:val="001C0E59"/>
    <w:rPr>
      <w:b/>
      <w:bCs/>
    </w:rPr>
  </w:style>
  <w:style w:type="paragraph" w:styleId="afc">
    <w:name w:val="Revision"/>
    <w:hidden/>
    <w:uiPriority w:val="99"/>
    <w:semiHidden/>
    <w:rsid w:val="00353B1A"/>
    <w:pPr>
      <w:spacing w:after="0" w:line="240" w:lineRule="auto"/>
    </w:pPr>
  </w:style>
  <w:style w:type="paragraph" w:styleId="TOC">
    <w:name w:val="TOC Heading"/>
    <w:basedOn w:val="1"/>
    <w:next w:val="a"/>
    <w:uiPriority w:val="39"/>
    <w:unhideWhenUsed/>
    <w:qFormat/>
    <w:rsid w:val="00BF345B"/>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BF345B"/>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BF345B"/>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BF345B"/>
    <w:pPr>
      <w:widowControl/>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03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56</Pages>
  <Words>7420</Words>
  <Characters>42295</Characters>
  <Application>Microsoft Office Word</Application>
  <DocSecurity>0</DocSecurity>
  <Lines>352</Lines>
  <Paragraphs>99</Paragraphs>
  <ScaleCrop>false</ScaleCrop>
  <Company/>
  <LinksUpToDate>false</LinksUpToDate>
  <CharactersWithSpaces>49616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13</cp:revision>
  <dcterms:created xsi:type="dcterms:W3CDTF">2026-04-29T05:44:00Z</dcterms:created>
  <dcterms:modified xsi:type="dcterms:W3CDTF">2026-04-29T09:20:00Z</dcterms:modified>
</cp:coreProperties>
</file>