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3FA7" w14:textId="0B366115" w:rsidR="004F7E65" w:rsidRDefault="009A28A3">
      <w:pPr>
        <w:pStyle w:val="1"/>
        <w:rPr>
          <w:rFonts w:hint="eastAsia"/>
        </w:rPr>
      </w:pPr>
      <w:r>
        <w:rPr>
          <w:rFonts w:hint="eastAsia"/>
        </w:rPr>
        <w:t>1</w:t>
      </w:r>
      <w:r w:rsidR="0003199B">
        <w:rPr>
          <w:rFonts w:hint="eastAsia"/>
        </w:rPr>
        <w:t>.行业概览</w:t>
      </w:r>
    </w:p>
    <w:p w14:paraId="5445B605" w14:textId="4037120F" w:rsidR="004F7E65" w:rsidRDefault="009A28A3">
      <w:pPr>
        <w:pStyle w:val="2"/>
        <w:rPr>
          <w:rFonts w:hint="eastAsia"/>
        </w:rPr>
      </w:pPr>
      <w:r>
        <w:rPr>
          <w:rFonts w:hint="eastAsia"/>
        </w:rPr>
        <w:t>1</w:t>
      </w:r>
      <w:r w:rsidR="00C22F0C">
        <w:rPr>
          <w:rFonts w:hint="eastAsia"/>
        </w:rPr>
        <w:t>.1定义与分类</w:t>
      </w:r>
    </w:p>
    <w:p w14:paraId="1164BB2E" w14:textId="605F230D" w:rsidR="004F7E65" w:rsidRDefault="009A28A3">
      <w:pPr>
        <w:pStyle w:val="3"/>
        <w:rPr>
          <w:rFonts w:hint="eastAsia"/>
        </w:rPr>
      </w:pPr>
      <w:r>
        <w:rPr>
          <w:rFonts w:hint="eastAsia"/>
        </w:rPr>
        <w:t>1.1.1</w:t>
      </w:r>
      <w:r w:rsidR="005870B1">
        <w:rPr>
          <w:rFonts w:hint="eastAsia"/>
        </w:rPr>
        <w:t>定义</w:t>
      </w:r>
    </w:p>
    <w:p w14:paraId="606D93A0" w14:textId="77777777" w:rsidR="004F7E65" w:rsidRDefault="00000000">
      <w:pPr>
        <w:rPr>
          <w:rFonts w:hint="eastAsia"/>
        </w:rPr>
      </w:pPr>
      <w:r w:rsidRPr="001577D2">
        <w:rPr>
          <w:rFonts w:hint="eastAsia"/>
          <w:szCs w:val="22"/>
        </w:rPr>
        <w:t>基础大模型，通常指通过海量多源数据训练、具备强大泛化能力的预训练模型（Pre-trained Models）。其核心特征在于参数规模巨大（通常达千亿乃至万亿级别），并能够理解和生成文本、图像、音频、视频等多种模态的内容。与传统针对特定任务的AI模型不同，基础大模型通过“预训练+微调”范式，展现出强大的通用任务处理能力和零样本/少样本学习能力，成为驱动当前人工智能浪潮的核心引擎。从技术架构演进看，行业已从早期专注于文本处理的大语言模型（LLM），快速迭代至能够原生处理并关联文本、图像、音频、视频等信息的多模态大语言模型（MLLM）</w:t>
      </w:r>
    </w:p>
    <w:p w14:paraId="66C538A4" w14:textId="77777777" w:rsidR="004F7E65" w:rsidRDefault="00000000">
      <w:pPr>
        <w:rPr>
          <w:rFonts w:hint="eastAsia"/>
        </w:rPr>
      </w:pPr>
      <w:r>
        <w:rPr>
          <w:rFonts w:hint="eastAsia"/>
          <w:szCs w:val="22"/>
        </w:rPr>
        <w:t>大模型的核心创新在于将模型参数规模扩展至数十亿（B级）甚至万亿（TB）级别，配合海量无标注文本数据的预训练，使模型能够捕捉语言中的深层统计规律与语义关联。这种规模化的预训练方法使得模型展现出“涌现能力”（Emergent Abilities），即当模型规模突破特定阈值后，会突然表现出小模型不具备的复杂推理与泛化能力。当前主流大模型均采用decoder-only或encoder-decoder架构，通过下一个token预测任务进行自监督学习，在海量互联网文本、书籍、代码等多样化语料上完成预训练，形成通用的语言理解与生成能力基础。大模型的发展已深嵌国家战略安全、经济转型与社会治理全局，其技术突破不仅关乎科技创新，更成为国际竞争的核心焦点。</w:t>
      </w:r>
    </w:p>
    <w:p w14:paraId="371ACB6A" w14:textId="77777777" w:rsidR="004F7E65" w:rsidRDefault="00000000">
      <w:pPr>
        <w:pStyle w:val="FirstParagraph"/>
        <w:rPr>
          <w:rFonts w:asciiTheme="minorHAnsi" w:eastAsiaTheme="minorHAnsi" w:hAnsiTheme="minorHAnsi" w:hint="eastAsia"/>
          <w:sz w:val="22"/>
          <w:szCs w:val="22"/>
          <w:lang w:eastAsia="zh-CN"/>
        </w:rPr>
      </w:pPr>
      <w:r>
        <w:rPr>
          <w:rFonts w:asciiTheme="minorHAnsi" w:eastAsiaTheme="minorHAnsi" w:hAnsiTheme="minorHAnsi" w:hint="eastAsia"/>
          <w:sz w:val="22"/>
          <w:szCs w:val="22"/>
          <w:lang w:eastAsia="zh-CN"/>
        </w:rPr>
        <w:t>大模型的核心能力体系包含四个相互关联的维度，共同构成了其强大的通用智能表现：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74"/>
        <w:gridCol w:w="2074"/>
        <w:gridCol w:w="2074"/>
        <w:gridCol w:w="2074"/>
      </w:tblGrid>
      <w:tr w:rsidR="004F7E65" w14:paraId="03CE3595" w14:textId="77777777" w:rsidTr="004F7E65">
        <w:trPr>
          <w:cnfStyle w:val="100000000000" w:firstRow="1" w:lastRow="0" w:firstColumn="0" w:lastColumn="0" w:oddVBand="0" w:evenVBand="0" w:oddHBand="0" w:evenHBand="0" w:firstRowFirstColumn="0" w:firstRowLastColumn="0" w:lastRowFirstColumn="0" w:lastRowLastColumn="0"/>
          <w:tblHeader/>
        </w:trPr>
        <w:tc>
          <w:tcPr>
            <w:tcW w:w="2074" w:type="dxa"/>
            <w:tcBorders>
              <w:bottom w:val="nil"/>
            </w:tcBorders>
          </w:tcPr>
          <w:p w14:paraId="19FA6133" w14:textId="77777777" w:rsidR="004F7E65" w:rsidRDefault="00000000">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4"/>
              </w:rPr>
              <w:t>核心能力</w:t>
            </w:r>
          </w:p>
        </w:tc>
        <w:tc>
          <w:tcPr>
            <w:tcW w:w="2074" w:type="dxa"/>
            <w:tcBorders>
              <w:bottom w:val="nil"/>
            </w:tcBorders>
          </w:tcPr>
          <w:p w14:paraId="356FA424" w14:textId="77777777" w:rsidR="004F7E65" w:rsidRDefault="00000000">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4"/>
              </w:rPr>
              <w:t>技术内涵</w:t>
            </w:r>
          </w:p>
        </w:tc>
        <w:tc>
          <w:tcPr>
            <w:tcW w:w="2074" w:type="dxa"/>
            <w:tcBorders>
              <w:bottom w:val="nil"/>
            </w:tcBorders>
          </w:tcPr>
          <w:p w14:paraId="16F8BEEA" w14:textId="77777777" w:rsidR="004F7E65" w:rsidRDefault="00000000">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4"/>
              </w:rPr>
              <w:t>典型表现</w:t>
            </w:r>
          </w:p>
        </w:tc>
        <w:tc>
          <w:tcPr>
            <w:tcW w:w="2074" w:type="dxa"/>
            <w:tcBorders>
              <w:bottom w:val="nil"/>
            </w:tcBorders>
          </w:tcPr>
          <w:p w14:paraId="5FC0D592" w14:textId="77777777" w:rsidR="004F7E65" w:rsidRDefault="00000000">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4"/>
              </w:rPr>
              <w:t>关键突破节点</w:t>
            </w:r>
          </w:p>
        </w:tc>
      </w:tr>
      <w:tr w:rsidR="004F7E65" w14:paraId="54998516" w14:textId="77777777" w:rsidTr="004F7E65">
        <w:tc>
          <w:tcPr>
            <w:tcW w:w="2074" w:type="dxa"/>
          </w:tcPr>
          <w:p w14:paraId="18EA4C0E" w14:textId="77777777" w:rsidR="004F7E65" w:rsidRDefault="00000000">
            <w:pPr>
              <w:pStyle w:val="Compact"/>
              <w:rPr>
                <w:rFonts w:asciiTheme="minorHAnsi" w:eastAsiaTheme="minorHAnsi" w:hAnsiTheme="minorHAnsi" w:hint="eastAsia"/>
                <w:sz w:val="22"/>
                <w:szCs w:val="22"/>
              </w:rPr>
            </w:pPr>
            <w:r w:rsidRPr="00CF4646">
              <w:rPr>
                <w:rFonts w:asciiTheme="minorHAnsi" w:eastAsiaTheme="minorHAnsi" w:hAnsiTheme="minorHAnsi"/>
                <w:b/>
                <w:sz w:val="22"/>
                <w:szCs w:val="22"/>
              </w:rPr>
              <w:t>涌现能力</w:t>
            </w:r>
          </w:p>
        </w:tc>
        <w:tc>
          <w:tcPr>
            <w:tcW w:w="2074" w:type="dxa"/>
          </w:tcPr>
          <w:p w14:paraId="6F746E07" w14:textId="77777777" w:rsidR="004F7E65" w:rsidRDefault="00000000">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规模达到临界点后自发出现的新能力</w:t>
            </w:r>
          </w:p>
        </w:tc>
        <w:tc>
          <w:tcPr>
            <w:tcW w:w="2074" w:type="dxa"/>
          </w:tcPr>
          <w:p w14:paraId="60AE048B" w14:textId="77777777" w:rsidR="004F7E65" w:rsidRDefault="00000000">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链式思维推理、少样本学习、复杂规划</w:t>
            </w:r>
          </w:p>
        </w:tc>
        <w:tc>
          <w:tcPr>
            <w:tcW w:w="2074" w:type="dxa"/>
          </w:tcPr>
          <w:p w14:paraId="0EF12808" w14:textId="77777777" w:rsidR="004F7E65" w:rsidRDefault="00000000">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GPT-3（1750亿参数）首次显著展现</w:t>
            </w:r>
          </w:p>
        </w:tc>
      </w:tr>
      <w:tr w:rsidR="004F7E65" w14:paraId="761C4E61" w14:textId="77777777" w:rsidTr="004F7E65">
        <w:tc>
          <w:tcPr>
            <w:tcW w:w="2074" w:type="dxa"/>
          </w:tcPr>
          <w:p w14:paraId="20937017" w14:textId="77777777" w:rsidR="004F7E65" w:rsidRDefault="00000000">
            <w:pPr>
              <w:pStyle w:val="Compact"/>
              <w:rPr>
                <w:rFonts w:asciiTheme="minorHAnsi" w:eastAsiaTheme="minorHAnsi" w:hAnsiTheme="minorHAnsi" w:hint="eastAsia"/>
                <w:sz w:val="22"/>
                <w:szCs w:val="22"/>
              </w:rPr>
            </w:pPr>
            <w:r w:rsidRPr="00CF4646">
              <w:rPr>
                <w:rFonts w:asciiTheme="minorHAnsi" w:eastAsiaTheme="minorHAnsi" w:hAnsiTheme="minorHAnsi"/>
                <w:b/>
                <w:sz w:val="22"/>
                <w:szCs w:val="22"/>
              </w:rPr>
              <w:t>上下文学习</w:t>
            </w:r>
          </w:p>
        </w:tc>
        <w:tc>
          <w:tcPr>
            <w:tcW w:w="2074" w:type="dxa"/>
          </w:tcPr>
          <w:p w14:paraId="533FE6B0" w14:textId="77777777" w:rsidR="004F7E65" w:rsidRDefault="00000000">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无需参数更新，通过提示示例快速适应新任务</w:t>
            </w:r>
          </w:p>
        </w:tc>
        <w:tc>
          <w:tcPr>
            <w:tcW w:w="2074" w:type="dxa"/>
          </w:tcPr>
          <w:p w14:paraId="5581E0F4" w14:textId="77777777" w:rsidR="004F7E65" w:rsidRDefault="00000000">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给定几个示例即可完成分类、翻译、摘要等</w:t>
            </w:r>
          </w:p>
        </w:tc>
        <w:tc>
          <w:tcPr>
            <w:tcW w:w="2074" w:type="dxa"/>
          </w:tcPr>
          <w:p w14:paraId="729FC382" w14:textId="77777777" w:rsidR="004F7E65" w:rsidRDefault="00000000">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4"/>
              </w:rPr>
              <w:t>GPT-3的In-Context Learning机制</w:t>
            </w:r>
          </w:p>
        </w:tc>
      </w:tr>
      <w:tr w:rsidR="004F7E65" w14:paraId="3B3C1777" w14:textId="77777777" w:rsidTr="004F7E65">
        <w:tc>
          <w:tcPr>
            <w:tcW w:w="2074" w:type="dxa"/>
          </w:tcPr>
          <w:p w14:paraId="36F7DEB1" w14:textId="77777777" w:rsidR="004F7E65" w:rsidRDefault="00000000">
            <w:pPr>
              <w:pStyle w:val="Compact"/>
              <w:rPr>
                <w:rFonts w:asciiTheme="minorHAnsi" w:eastAsiaTheme="minorHAnsi" w:hAnsiTheme="minorHAnsi" w:hint="eastAsia"/>
                <w:sz w:val="22"/>
                <w:szCs w:val="22"/>
              </w:rPr>
            </w:pPr>
            <w:r w:rsidRPr="00CF4646">
              <w:rPr>
                <w:rFonts w:asciiTheme="minorHAnsi" w:eastAsiaTheme="minorHAnsi" w:hAnsiTheme="minorHAnsi"/>
                <w:b/>
                <w:sz w:val="22"/>
                <w:szCs w:val="22"/>
              </w:rPr>
              <w:lastRenderedPageBreak/>
              <w:t>指令遵循</w:t>
            </w:r>
          </w:p>
        </w:tc>
        <w:tc>
          <w:tcPr>
            <w:tcW w:w="2074" w:type="dxa"/>
          </w:tcPr>
          <w:p w14:paraId="5E270517" w14:textId="77777777" w:rsidR="004F7E65" w:rsidRDefault="00000000">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准确理解自然语言指令并按期望格式输出</w:t>
            </w:r>
          </w:p>
        </w:tc>
        <w:tc>
          <w:tcPr>
            <w:tcW w:w="2074" w:type="dxa"/>
          </w:tcPr>
          <w:p w14:paraId="19FB2690" w14:textId="77777777" w:rsidR="004F7E65" w:rsidRDefault="00000000">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多轮对话、复杂任务分解、格式控制</w:t>
            </w:r>
          </w:p>
        </w:tc>
        <w:tc>
          <w:tcPr>
            <w:tcW w:w="2074" w:type="dxa"/>
          </w:tcPr>
          <w:p w14:paraId="530328AB" w14:textId="77777777" w:rsidR="004F7E65" w:rsidRDefault="00000000">
            <w:pPr>
              <w:pStyle w:val="Compact"/>
              <w:rPr>
                <w:rFonts w:asciiTheme="minorHAnsi" w:eastAsiaTheme="minorHAnsi" w:hAnsiTheme="minorHAnsi" w:hint="eastAsia"/>
                <w:sz w:val="22"/>
                <w:szCs w:val="22"/>
              </w:rPr>
            </w:pPr>
            <w:r w:rsidRPr="00CF4646">
              <w:rPr>
                <w:rFonts w:asciiTheme="minorHAnsi" w:eastAsiaTheme="minorHAnsi" w:hAnsiTheme="minorHAnsi"/>
                <w:sz w:val="22"/>
                <w:szCs w:val="24"/>
              </w:rPr>
              <w:t>ChatGPT的RLHF对齐技术</w:t>
            </w:r>
          </w:p>
        </w:tc>
      </w:tr>
      <w:tr w:rsidR="004F7E65" w14:paraId="3B336FE5" w14:textId="77777777" w:rsidTr="004F7E65">
        <w:tc>
          <w:tcPr>
            <w:tcW w:w="2074" w:type="dxa"/>
          </w:tcPr>
          <w:p w14:paraId="0B5D06ED" w14:textId="77777777" w:rsidR="004F7E65" w:rsidRDefault="00000000">
            <w:pPr>
              <w:pStyle w:val="Compact"/>
              <w:rPr>
                <w:rFonts w:asciiTheme="minorHAnsi" w:eastAsiaTheme="minorHAnsi" w:hAnsiTheme="minorHAnsi" w:hint="eastAsia"/>
                <w:sz w:val="22"/>
                <w:szCs w:val="22"/>
              </w:rPr>
            </w:pPr>
            <w:r w:rsidRPr="00CF4646">
              <w:rPr>
                <w:rFonts w:asciiTheme="minorHAnsi" w:eastAsiaTheme="minorHAnsi" w:hAnsiTheme="minorHAnsi"/>
                <w:b/>
                <w:sz w:val="22"/>
                <w:szCs w:val="22"/>
              </w:rPr>
              <w:t>多任务泛化</w:t>
            </w:r>
          </w:p>
        </w:tc>
        <w:tc>
          <w:tcPr>
            <w:tcW w:w="2074" w:type="dxa"/>
          </w:tcPr>
          <w:p w14:paraId="0ADF6BA5" w14:textId="77777777" w:rsidR="004F7E65" w:rsidRDefault="00000000">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单一模型处理多样化任务的能力</w:t>
            </w:r>
          </w:p>
        </w:tc>
        <w:tc>
          <w:tcPr>
            <w:tcW w:w="2074" w:type="dxa"/>
          </w:tcPr>
          <w:p w14:paraId="38315F99" w14:textId="77777777" w:rsidR="004F7E65" w:rsidRDefault="00000000">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文本生成、代码编写、逻辑推理、创意写作</w:t>
            </w:r>
          </w:p>
        </w:tc>
        <w:tc>
          <w:tcPr>
            <w:tcW w:w="2074" w:type="dxa"/>
          </w:tcPr>
          <w:p w14:paraId="592D556F" w14:textId="77777777" w:rsidR="004F7E65" w:rsidRDefault="00000000">
            <w:pPr>
              <w:pStyle w:val="Compact"/>
              <w:rPr>
                <w:rFonts w:asciiTheme="minorHAnsi" w:eastAsiaTheme="minorHAnsi" w:hAnsiTheme="minorHAnsi" w:hint="eastAsia"/>
                <w:sz w:val="22"/>
                <w:szCs w:val="22"/>
                <w:lang w:eastAsia="zh-CN"/>
              </w:rPr>
            </w:pPr>
            <w:r w:rsidRPr="00CF4646">
              <w:rPr>
                <w:rFonts w:asciiTheme="minorHAnsi" w:eastAsiaTheme="minorHAnsi" w:hAnsiTheme="minorHAnsi"/>
                <w:sz w:val="22"/>
                <w:szCs w:val="22"/>
                <w:lang w:eastAsia="zh-CN"/>
              </w:rPr>
              <w:t>GPT-4的专业考试人类水平表现</w:t>
            </w:r>
          </w:p>
        </w:tc>
      </w:tr>
    </w:tbl>
    <w:p w14:paraId="3F588599" w14:textId="77777777" w:rsidR="004F7E65" w:rsidRDefault="00000000">
      <w:pPr>
        <w:rPr>
          <w:rFonts w:eastAsiaTheme="minorHAnsi" w:hint="eastAsia"/>
          <w:szCs w:val="22"/>
        </w:rPr>
      </w:pPr>
      <w:r w:rsidRPr="00334673">
        <w:rPr>
          <w:rFonts w:eastAsiaTheme="minorHAnsi" w:hint="eastAsia"/>
          <w:szCs w:val="22"/>
        </w:rPr>
        <w:t>涌现能力是大模型最显著的特征之一。研究表明，当模型参数量突破1000亿级别时，会出现诸如链式思维推理（Chain-of-Thought Reasoning）、少样本学习（Few-Shot Learning）等高级能力，这些能力并非显式编程获得，而是从海量训练数据中"涌现"出的统计规律。2024年底至2026年初，LLM领域经历了从规模扩展到多维度深化的范式转变，MoE架构主流化解决了参数规模与计算成本的矛盾，测试时推理扩展为专业任务提供了新的能力上限。</w:t>
      </w:r>
    </w:p>
    <w:p w14:paraId="420A1D84" w14:textId="77777777" w:rsidR="004F7E65" w:rsidRDefault="00000000">
      <w:pPr>
        <w:rPr>
          <w:rFonts w:eastAsiaTheme="minorHAnsi" w:hint="eastAsia"/>
          <w:szCs w:val="22"/>
        </w:rPr>
      </w:pPr>
      <w:r w:rsidRPr="00334673">
        <w:rPr>
          <w:rFonts w:eastAsiaTheme="minorHAnsi" w:hint="eastAsia"/>
          <w:szCs w:val="22"/>
        </w:rPr>
        <w:t>上下文学习能力尤其值得关注，因为它极大地降低了模型适应新任务的门槛。用户无需具备深度学习专业知识，即可通过自然语言指令引导模型完成特定任务。这一能力的基础在于预训练过程中模型对海量文本中隐含模式的学习——互联网文本中天然包含了大量”问题-答案”、“指令-响应”等形式的配对数据。</w:t>
      </w:r>
    </w:p>
    <w:p w14:paraId="191B301D" w14:textId="77777777" w:rsidR="004F7E65" w:rsidRDefault="00000000">
      <w:pPr>
        <w:rPr>
          <w:rFonts w:eastAsiaTheme="minorHAnsi" w:hint="eastAsia"/>
          <w:szCs w:val="22"/>
        </w:rPr>
      </w:pPr>
      <w:r w:rsidRPr="00CF4646">
        <w:rPr>
          <w:rFonts w:eastAsiaTheme="minorHAnsi"/>
          <w:szCs w:val="22"/>
        </w:rPr>
        <w:t>指令遵循能力的提升则得益于有监督微调（SFT）和基于人类反馈的强化学习（RLHF）等对齐技术。这一系列技术显著提升了大模型的实用性和安全性，使其从”文本补全工具”转变为”有用、诚实、无害”的智能助手</w:t>
      </w:r>
    </w:p>
    <w:p w14:paraId="4311963C" w14:textId="77777777" w:rsidR="004F7E65" w:rsidRDefault="00000000">
      <w:pPr>
        <w:rPr>
          <w:rFonts w:eastAsiaTheme="minorHAnsi" w:hint="eastAsia"/>
          <w:szCs w:val="22"/>
        </w:rPr>
      </w:pPr>
      <w:r w:rsidRPr="00695D4E">
        <w:rPr>
          <w:rFonts w:eastAsiaTheme="minorHAnsi"/>
          <w:szCs w:val="22"/>
        </w:rPr>
        <w:t>多任务泛化能力尤其值得关注，因为它打破了“一任务一模型”的传统壁垒，使单一模型得以同时处理分类、生成、推理、翻译与代码等异构任务。这一能力的基础在于预训练阶段对海量异构数据中跨域统计规律的学习——互联网文本天然融合了代码、对话、论文与表格等多种任务形式，模型在压缩这些复杂分布的过程中习得可迁移的抽象表征与通用推理框架。其显性化则得益于统一的 next-token prediction 预训练目标与大规模多任务指令微调的结合，后者通过显式的任务描述与输入-输出配对，将异构指令映射到同一语义操作空间。这一系列技术使大模型从“特定领域的专用工具”转变为“跨领域、跨模态的通用任务求解器”，为后续 Agent 架构与工具调用奠定了认知基础。</w:t>
      </w:r>
    </w:p>
    <w:p w14:paraId="3FEA29AE" w14:textId="77777777" w:rsidR="004F7E65" w:rsidRDefault="004F7E65">
      <w:pPr>
        <w:rPr>
          <w:rFonts w:hint="eastAsia"/>
        </w:rPr>
      </w:pPr>
    </w:p>
    <w:p w14:paraId="154DCFE1" w14:textId="1E072436" w:rsidR="004F7E65" w:rsidRDefault="009A28A3">
      <w:pPr>
        <w:pStyle w:val="3"/>
        <w:rPr>
          <w:rFonts w:hint="eastAsia"/>
        </w:rPr>
      </w:pPr>
      <w:r>
        <w:rPr>
          <w:rFonts w:hint="eastAsia"/>
        </w:rPr>
        <w:t>1.1</w:t>
      </w:r>
      <w:r w:rsidR="009B0704">
        <w:rPr>
          <w:rFonts w:hint="eastAsia"/>
        </w:rPr>
        <w:t>.2</w:t>
      </w:r>
      <w:r w:rsidR="00000000">
        <w:rPr>
          <w:rFonts w:hint="eastAsia"/>
        </w:rPr>
        <w:t>产业特性</w:t>
      </w:r>
    </w:p>
    <w:p w14:paraId="652CB225" w14:textId="77777777" w:rsidR="004F7E65" w:rsidRDefault="00000000">
      <w:pPr>
        <w:rPr>
          <w:rFonts w:hint="eastAsia"/>
        </w:rPr>
      </w:pPr>
      <w:r>
        <w:rPr>
          <w:rFonts w:hint="eastAsia"/>
          <w:szCs w:val="22"/>
        </w:rPr>
        <w:t>基础大模型具备明确的数据-算力-模型飞轮特性。这一飞轮的启动，依赖于电力向智</w:t>
      </w:r>
      <w:r>
        <w:rPr>
          <w:rFonts w:hint="eastAsia"/>
          <w:szCs w:val="22"/>
        </w:rPr>
        <w:lastRenderedPageBreak/>
        <w:t>能的全球转化：国家以电力指标支撑算力网络，基础大模型将算力转化为可全球贸易的认知服务，而全球市场的每一次调用，又反向为飞轮注入新的数据燃料与商业能量。</w:t>
      </w:r>
    </w:p>
    <w:p w14:paraId="7EBB1340" w14:textId="77777777" w:rsidR="004F7E65" w:rsidRDefault="00000000">
      <w:pPr>
        <w:rPr>
          <w:rFonts w:hint="eastAsia"/>
        </w:rPr>
      </w:pPr>
      <w:r>
        <w:rPr>
          <w:rFonts w:hint="eastAsia"/>
          <w:szCs w:val="22"/>
        </w:rPr>
        <w:t>飞轮的结构首先建立在AI"使用即生产"的底层属性上。传统软件的用户增长与产品改进相互分离——用户越多，收入越高，但代码本身不因使用而自动优化。基础大模型则完全不同：每一次API调用、每一轮对话交互、每一个Agent任务执行，都在产生可用于后续训练或微调的真实世界数据。这些数据回流至模型迭代管线，通过RLHF、DPO、在线学习等机制，持续提升模型的对齐度与泛化能力。结果是，用户基数的扩张不仅带来收入，更直接转化为模型质量的提升；而模型质量的提升，又降低获客成本、提高用户粘性，吸引更多调用。用户增长与模型进化由此形成正反馈回路，而非简单的供需交易。</w:t>
      </w:r>
    </w:p>
    <w:p w14:paraId="69DE67F9" w14:textId="77777777" w:rsidR="004F7E65" w:rsidRDefault="00000000">
      <w:pPr>
        <w:jc w:val="center"/>
        <w:rPr>
          <w:rFonts w:hint="eastAsia"/>
        </w:rPr>
      </w:pPr>
      <w:r>
        <w:rPr>
          <w:rFonts w:hint="eastAsia"/>
          <w:noProof/>
        </w:rPr>
        <w:drawing>
          <wp:inline distT="0" distB="0" distL="0" distR="0" wp14:anchorId="44B628BC" wp14:editId="1B459375">
            <wp:extent cx="4413250" cy="3313099"/>
            <wp:effectExtent l="0" t="0" r="6350" b="1905"/>
            <wp:docPr id="201918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2230" cy="3319841"/>
                    </a:xfrm>
                    <a:prstGeom prst="rect">
                      <a:avLst/>
                    </a:prstGeom>
                    <a:noFill/>
                  </pic:spPr>
                </pic:pic>
              </a:graphicData>
            </a:graphic>
          </wp:inline>
        </w:drawing>
      </w:r>
    </w:p>
    <w:p w14:paraId="1447A0B0" w14:textId="77777777" w:rsidR="004F7E65" w:rsidRDefault="00000000">
      <w:pPr>
        <w:rPr>
          <w:rFonts w:hint="eastAsia"/>
        </w:rPr>
      </w:pPr>
      <w:r>
        <w:rPr>
          <w:rFonts w:hint="eastAsia"/>
          <w:szCs w:val="22"/>
        </w:rPr>
        <w:t>这一回路的强化机制，在于模型能力跃迁对需求价值的非线性拉动。当模型参数从百亿级向万亿级扩展，上下文窗口从4K向1M token延伸，模态从文本向图像-视频-3D融合，Agent从单步响应向多轮自主规划演进时，单次任务所需的算力投入确实在上升，但模型能够解决的问题复杂度与商业价值呈指数级跳升。这意味着基础大模型的单位算力成本虽然在增加，但其输出的认知服务的单位经济价值增长得更快。飞轮因此不会陷入"越转越慢"的产出边际递减，而是呈现"越转越快"的效能边际递增态势——每一代新模型的发布，不是对旧模型的替代，而是对应用场景的叠加：旧场景持续产生稳定推理收入，新场景（如长文档分析、多模态生成、自主Agent）打开增量定价空间。</w:t>
      </w:r>
    </w:p>
    <w:p w14:paraId="1AEC42A0" w14:textId="10773F95" w:rsidR="004F7E65" w:rsidRDefault="00000000">
      <w:pPr>
        <w:rPr>
          <w:rFonts w:hint="eastAsia"/>
        </w:rPr>
      </w:pPr>
      <w:r>
        <w:rPr>
          <w:rFonts w:hint="eastAsia"/>
          <w:szCs w:val="22"/>
        </w:rPr>
        <w:t>更为关键的是，这一飞轮并非封闭于单一企业或单一市场的内部循环，而是开环于全球API经济。中国廉价的电力与集约化的算力网络构成飞轮的输入端，基础大模型的</w:t>
      </w:r>
      <w:r>
        <w:rPr>
          <w:rFonts w:hint="eastAsia"/>
          <w:szCs w:val="22"/>
        </w:rPr>
        <w:lastRenderedPageBreak/>
        <w:t>算法创新与工程优化构成转化端，而全球范围内的SaaS厂商、金融机构、制造企业、内容平台的AI化需求构成输出端。每一次海外API调用不仅带来美元收入，更带来跨语言、跨文化、跨行业的</w:t>
      </w:r>
      <w:r w:rsidRPr="00F632BD">
        <w:rPr>
          <w:rFonts w:ascii="Arial" w:eastAsia="宋体" w:hAnsi="Arial" w:cs="Times New Roman (正文 CS 字体)" w:hint="eastAsia"/>
          <w:b/>
        </w:rPr>
        <w:t>异构数据</w:t>
      </w:r>
      <w:r>
        <w:rPr>
          <w:rFonts w:hint="eastAsia"/>
          <w:szCs w:val="22"/>
        </w:rPr>
        <w:t>，这些数据回流后训练出的模型，其全球适用性远超仅依赖中文语料的版本。飞轮因此脱离了本地市场规模的硬约束，其转速取决于全球智能服务贸易的扩张速度。</w:t>
      </w:r>
    </w:p>
    <w:p w14:paraId="74C4C0EC" w14:textId="77777777" w:rsidR="004F7E65" w:rsidRDefault="00000000">
      <w:pPr>
        <w:rPr>
          <w:rFonts w:hint="eastAsia"/>
        </w:rPr>
      </w:pPr>
      <w:r>
        <w:rPr>
          <w:rFonts w:hint="eastAsia"/>
          <w:szCs w:val="22"/>
        </w:rPr>
        <w:t>在这一坐标系中，基础大模型的重要定位得以确立。算力可以由国家基建规模化供给，数据可以由行业场景分散产生，但将原始算力与碎片化数据转化为可泛化、可迭代、可全球分发的通用认知能力，需要预训练架构、对齐技术、工程优化、多模态融合的长期积累。这本质上是将存量转化为增量，将全球信息技术革命的成果转换为AI技术革命的基石。</w:t>
      </w:r>
    </w:p>
    <w:p w14:paraId="3B2A24E8" w14:textId="77777777" w:rsidR="004F7E65" w:rsidRDefault="00000000">
      <w:pPr>
        <w:rPr>
          <w:rFonts w:hint="eastAsia"/>
        </w:rPr>
      </w:pPr>
      <w:r>
        <w:rPr>
          <w:rFonts w:hint="eastAsia"/>
          <w:szCs w:val="22"/>
        </w:rPr>
        <w:t>基础大模型不是算力的囤积者，也不是数据的仓库管理员，而是飞轮的中枢转换器——它决定了输入端的能源与无序信息有多少能被转化为可贸易，可查询，可匹配，结构化的智能，决定了输出端的Token能在多大程度，多块速度上加速人类的认知与劳动。</w:t>
      </w:r>
    </w:p>
    <w:p w14:paraId="5AD6A5D5" w14:textId="77777777" w:rsidR="004F7E65" w:rsidRDefault="004F7E65">
      <w:pPr>
        <w:rPr>
          <w:rFonts w:hint="eastAsia"/>
        </w:rPr>
      </w:pPr>
    </w:p>
    <w:p w14:paraId="77A4B624" w14:textId="77777777" w:rsidR="004F7E65" w:rsidRDefault="004F7E65">
      <w:pPr>
        <w:rPr>
          <w:rFonts w:hint="eastAsia"/>
        </w:rPr>
      </w:pPr>
    </w:p>
    <w:p w14:paraId="7292BC98" w14:textId="1579A8E6" w:rsidR="004F7E65" w:rsidRDefault="009A28A3">
      <w:pPr>
        <w:pStyle w:val="2"/>
        <w:rPr>
          <w:rFonts w:hint="eastAsia"/>
        </w:rPr>
      </w:pPr>
      <w:r>
        <w:rPr>
          <w:rFonts w:hint="eastAsia"/>
        </w:rPr>
        <w:t>1</w:t>
      </w:r>
      <w:r w:rsidR="001C0E59">
        <w:rPr>
          <w:rFonts w:hint="eastAsia"/>
        </w:rPr>
        <w:t>.2发展背景</w:t>
      </w:r>
    </w:p>
    <w:p w14:paraId="025A0C9B" w14:textId="751B701B" w:rsidR="004F7E65" w:rsidRDefault="009A28A3">
      <w:pPr>
        <w:pStyle w:val="3"/>
        <w:rPr>
          <w:rFonts w:hint="eastAsia"/>
        </w:rPr>
      </w:pPr>
      <w:r>
        <w:rPr>
          <w:rFonts w:hint="eastAsia"/>
        </w:rPr>
        <w:t>1.2.1</w:t>
      </w:r>
      <w:r w:rsidR="009C4AF1">
        <w:rPr>
          <w:rFonts w:hint="eastAsia"/>
        </w:rPr>
        <w:t>政策环境</w:t>
      </w:r>
    </w:p>
    <w:p w14:paraId="53A253AD" w14:textId="77777777" w:rsidR="004F7E65" w:rsidRDefault="00000000">
      <w:pPr>
        <w:rPr>
          <w:rFonts w:hint="eastAsia"/>
        </w:rPr>
      </w:pPr>
      <w:r>
        <w:rPr>
          <w:rFonts w:hint="eastAsia"/>
          <w:szCs w:val="22"/>
        </w:rPr>
        <w:t>人工智能的基础设施化，不是产业界的自我标榜，而是国家顶层设计的主动确认。从"新基建"到"新质生产力"，从"东数西算"到"十五五"规划单独成篇，算力基础设施的战略地位经历了三级跳：它最初数字经济的支撑要素，继而成为科技竞争的必争之地，如今已被定义为重塑生产方式的底座工程。这一升格过程，为基础大模型的投资逻辑提供了坚硬的政策锚——当国家将AI算力视为与铁路、电网同等重要的公共品时，基础大模型作为算力转化为认知，推理能力的核心环节，其发展不再是市场自发的商业冒险，而是国家战略的延伸。</w:t>
      </w:r>
    </w:p>
    <w:p w14:paraId="1570E4A0" w14:textId="77777777" w:rsidR="004F7E65" w:rsidRDefault="00000000">
      <w:pPr>
        <w:rPr>
          <w:rFonts w:hint="eastAsia"/>
        </w:rPr>
      </w:pPr>
      <w:r>
        <w:rPr>
          <w:rFonts w:hint="eastAsia"/>
          <w:szCs w:val="22"/>
        </w:rPr>
        <w:t>顶层规划的连续性构成了政策可信度的第一支柱。 2021年，"东数西算"工程启动，在京津冀、长三角、粤港澳大湾区、成渝、内蒙古、贵州、甘肃、宁夏布局八大国家算力枢纽，规划十大数据中心集群，旨在解决东西部算力供需失衡与能源错配。2023年，六部门联合印发《算力基础设施高质量发展行动计划》，提出到2025年算力规模超300 EFLOPS、智能算力占比达35%的量化目标。2025年，国务院印发《关于深入实施"人工智能+"行动的意见》，明确"强化智能算力统筹"。至2026年3月发布的"十五五"规划纲要，"提升数智化发展水平"已单独成篇，聚焦算力、算法、数据高效供给，提出"论证建设超大规模智算集群""支持通过政府购买算力服务、算力租赁等多种方式满</w:t>
      </w:r>
      <w:r>
        <w:rPr>
          <w:rFonts w:hint="eastAsia"/>
          <w:szCs w:val="22"/>
        </w:rPr>
        <w:lastRenderedPageBreak/>
        <w:t>足算力需求"。这一政策脉络的密度与连续性，在近年产业规划中极为罕见，表明AI基础设施已从"部门议题"升级为"国家意志"。</w:t>
      </w:r>
    </w:p>
    <w:p w14:paraId="26FF9143" w14:textId="77777777" w:rsidR="004F7E65" w:rsidRDefault="00000000">
      <w:pPr>
        <w:rPr>
          <w:rFonts w:hint="eastAsia"/>
        </w:rPr>
      </w:pPr>
      <w:r>
        <w:rPr>
          <w:rFonts w:hint="eastAsia"/>
          <w:szCs w:val="22"/>
        </w:rPr>
        <w:t>部委层面的工具箱正在全维度打开。 2025年5月，工信部印发《算力互联互通行动计划》，明确2026年建立算力标识、标准、规则体系，2028年实现全国公共算力标准化互联，形成"智能感知、实时发现、随需获取"的算力互联网。2026年3月，"算电协同"首次写入《政府工作报告》，标志着算力与电力系统的深度融合上升至国家战略——按中速增长预测，2030年全国数据中心用电量将突破4000亿千瓦时，高速增长趋势下或突破7000亿千瓦时。同期，工信部启动"普惠算力赋能中小企业发展专项行动"，通过算力券、补贴等方式降低中小企业用算成本。从枢纽布局到网络互联，从能源配套到普惠服务，政策设计覆盖了AI基础设施的全生命周期，而非单一环节的刺激性投入。</w:t>
      </w:r>
    </w:p>
    <w:p w14:paraId="35748797" w14:textId="77777777" w:rsidR="004F7E65" w:rsidRDefault="00000000">
      <w:pPr>
        <w:rPr>
          <w:rFonts w:hint="eastAsia"/>
        </w:rPr>
      </w:pPr>
      <w:r>
        <w:rPr>
          <w:rFonts w:hint="eastAsia"/>
          <w:szCs w:val="22"/>
        </w:rPr>
        <w:t>资本跟进的速度与结构，验证了政策向市场的传导效率。 三大运营商2026年资本开支向算力赛道急剧倾斜：中国电信算力基础设施投资255亿元，同比增长26%，占总投资的35%；中国移动算力网络投资增长62.4%，智能网络投资增长19.8%，两者合计占比超37%；中国联通算力投资占比亦超35%。中国移动更明确提出，力争"十五五"期末算力服务收入翻番。地方层面，深圳2025年多渠道募集45亿元资金专项用于算力、模型、语料、场景补贴，为初创企业提供最高60%的算力资助，并实施"算力飞地"战略，构建1ms城市算力网、3ms韶关算力网、10ms贵安算力网的梯度布局。甘肃庆阳2025年智算规模突破10万P，成为全国算力增速最快的标杆集群</w:t>
      </w:r>
    </w:p>
    <w:tbl>
      <w:tblPr>
        <w:tblW w:w="92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21212"/>
        <w:tblCellMar>
          <w:left w:w="0" w:type="dxa"/>
          <w:right w:w="0" w:type="dxa"/>
        </w:tblCellMar>
        <w:tblLook w:val="04A0" w:firstRow="1" w:lastRow="0" w:firstColumn="1" w:lastColumn="0" w:noHBand="0" w:noVBand="1"/>
      </w:tblPr>
      <w:tblGrid>
        <w:gridCol w:w="1217"/>
        <w:gridCol w:w="2040"/>
        <w:gridCol w:w="4342"/>
        <w:gridCol w:w="1616"/>
      </w:tblGrid>
      <w:tr w:rsidR="004F7E65" w14:paraId="1D06B092" w14:textId="77777777" w:rsidTr="00A441D0">
        <w:trPr>
          <w:tblHeader/>
        </w:trPr>
        <w:tc>
          <w:tcPr>
            <w:tcW w:w="1217" w:type="dxa"/>
            <w:tcMar>
              <w:top w:w="150" w:type="dxa"/>
              <w:left w:w="150" w:type="dxa"/>
              <w:bottom w:w="150" w:type="dxa"/>
              <w:right w:w="150" w:type="dxa"/>
            </w:tcMar>
            <w:hideMark/>
          </w:tcPr>
          <w:p w14:paraId="528273F0" w14:textId="77777777" w:rsidR="004F7E65" w:rsidRDefault="00000000">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spacing w:val="8"/>
                <w:sz w:val="21"/>
                <w:szCs w:val="21"/>
              </w:rPr>
              <w:t>政策层级</w:t>
            </w:r>
          </w:p>
        </w:tc>
        <w:tc>
          <w:tcPr>
            <w:tcW w:w="0" w:type="auto"/>
            <w:tcMar>
              <w:top w:w="150" w:type="dxa"/>
              <w:left w:w="150" w:type="dxa"/>
              <w:bottom w:w="150" w:type="dxa"/>
              <w:right w:w="150" w:type="dxa"/>
            </w:tcMar>
            <w:hideMark/>
          </w:tcPr>
          <w:p w14:paraId="71A68DFC" w14:textId="77777777" w:rsidR="004F7E65" w:rsidRDefault="00000000">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spacing w:val="8"/>
                <w:sz w:val="21"/>
                <w:szCs w:val="21"/>
              </w:rPr>
              <w:t>关键文件</w:t>
            </w:r>
            <w:r w:rsidRPr="00F02816">
              <w:rPr>
                <w:rFonts w:ascii="inherit" w:eastAsia="宋体" w:hAnsi="inherit" w:cs="Segoe UI"/>
                <w:b/>
                <w:spacing w:val="8"/>
                <w:sz w:val="21"/>
                <w:szCs w:val="21"/>
              </w:rPr>
              <w:t>/</w:t>
            </w:r>
            <w:r w:rsidRPr="00F02816">
              <w:rPr>
                <w:rFonts w:ascii="inherit" w:eastAsia="宋体" w:hAnsi="inherit" w:cs="Segoe UI"/>
                <w:b/>
                <w:spacing w:val="8"/>
                <w:sz w:val="21"/>
                <w:szCs w:val="21"/>
              </w:rPr>
              <w:t>行动</w:t>
            </w:r>
          </w:p>
        </w:tc>
        <w:tc>
          <w:tcPr>
            <w:tcW w:w="0" w:type="auto"/>
            <w:tcMar>
              <w:top w:w="150" w:type="dxa"/>
              <w:left w:w="150" w:type="dxa"/>
              <w:bottom w:w="150" w:type="dxa"/>
              <w:right w:w="150" w:type="dxa"/>
            </w:tcMar>
            <w:hideMark/>
          </w:tcPr>
          <w:p w14:paraId="1DA1E78C" w14:textId="77777777" w:rsidR="004F7E65" w:rsidRDefault="00000000">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spacing w:val="8"/>
                <w:sz w:val="21"/>
                <w:szCs w:val="21"/>
              </w:rPr>
              <w:t>核心要点</w:t>
            </w:r>
          </w:p>
        </w:tc>
        <w:tc>
          <w:tcPr>
            <w:tcW w:w="1616" w:type="dxa"/>
            <w:tcMar>
              <w:top w:w="150" w:type="dxa"/>
              <w:left w:w="150" w:type="dxa"/>
              <w:bottom w:w="150" w:type="dxa"/>
              <w:right w:w="150" w:type="dxa"/>
            </w:tcMar>
            <w:hideMark/>
          </w:tcPr>
          <w:p w14:paraId="673CA805" w14:textId="77777777" w:rsidR="004F7E65" w:rsidRDefault="00000000">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spacing w:val="8"/>
                <w:sz w:val="21"/>
                <w:szCs w:val="21"/>
              </w:rPr>
              <w:t>时间</w:t>
            </w:r>
          </w:p>
        </w:tc>
      </w:tr>
      <w:tr w:rsidR="004F7E65" w14:paraId="6AE4FFEA" w14:textId="77777777" w:rsidTr="00A441D0">
        <w:tc>
          <w:tcPr>
            <w:tcW w:w="1217" w:type="dxa"/>
            <w:tcMar>
              <w:top w:w="150" w:type="dxa"/>
              <w:left w:w="150" w:type="dxa"/>
              <w:bottom w:w="150" w:type="dxa"/>
              <w:right w:w="150" w:type="dxa"/>
            </w:tcMar>
            <w:hideMark/>
          </w:tcPr>
          <w:p w14:paraId="24B081F8"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pacing w:val="8"/>
                <w:sz w:val="21"/>
                <w:szCs w:val="21"/>
              </w:rPr>
              <w:t>国家战略</w:t>
            </w:r>
          </w:p>
        </w:tc>
        <w:tc>
          <w:tcPr>
            <w:tcW w:w="0" w:type="auto"/>
            <w:tcMar>
              <w:top w:w="150" w:type="dxa"/>
              <w:left w:w="150" w:type="dxa"/>
              <w:bottom w:w="150" w:type="dxa"/>
              <w:right w:w="150" w:type="dxa"/>
            </w:tcMar>
            <w:hideMark/>
          </w:tcPr>
          <w:p w14:paraId="2276D206"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w:t>
            </w:r>
            <w:r w:rsidRPr="00F02816">
              <w:rPr>
                <w:rFonts w:ascii="inherit" w:eastAsia="宋体" w:hAnsi="inherit" w:cs="Segoe UI"/>
                <w:spacing w:val="8"/>
                <w:sz w:val="21"/>
                <w:szCs w:val="21"/>
              </w:rPr>
              <w:t>十五五</w:t>
            </w:r>
            <w:r w:rsidRPr="00F02816">
              <w:rPr>
                <w:rFonts w:ascii="inherit" w:eastAsia="宋体" w:hAnsi="inherit" w:cs="Segoe UI"/>
                <w:spacing w:val="8"/>
                <w:sz w:val="21"/>
                <w:szCs w:val="21"/>
              </w:rPr>
              <w:t>"</w:t>
            </w:r>
            <w:r w:rsidRPr="00F02816">
              <w:rPr>
                <w:rFonts w:ascii="inherit" w:eastAsia="宋体" w:hAnsi="inherit" w:cs="Segoe UI"/>
                <w:spacing w:val="8"/>
                <w:sz w:val="21"/>
                <w:szCs w:val="21"/>
              </w:rPr>
              <w:t>规划纲要</w:t>
            </w:r>
          </w:p>
        </w:tc>
        <w:tc>
          <w:tcPr>
            <w:tcW w:w="0" w:type="auto"/>
            <w:tcMar>
              <w:top w:w="150" w:type="dxa"/>
              <w:left w:w="150" w:type="dxa"/>
              <w:bottom w:w="150" w:type="dxa"/>
              <w:right w:w="150" w:type="dxa"/>
            </w:tcMar>
            <w:hideMark/>
          </w:tcPr>
          <w:p w14:paraId="4363FC3B"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w:t>
            </w:r>
            <w:r w:rsidRPr="00F02816">
              <w:rPr>
                <w:rFonts w:ascii="inherit" w:eastAsia="宋体" w:hAnsi="inherit" w:cs="Segoe UI"/>
                <w:spacing w:val="8"/>
                <w:sz w:val="21"/>
                <w:szCs w:val="21"/>
              </w:rPr>
              <w:t>提升数智化发展水平</w:t>
            </w:r>
            <w:r w:rsidRPr="00F02816">
              <w:rPr>
                <w:rFonts w:ascii="inherit" w:eastAsia="宋体" w:hAnsi="inherit" w:cs="Segoe UI"/>
                <w:spacing w:val="8"/>
                <w:sz w:val="21"/>
                <w:szCs w:val="21"/>
              </w:rPr>
              <w:t>"</w:t>
            </w:r>
            <w:r w:rsidRPr="00F02816">
              <w:rPr>
                <w:rFonts w:ascii="inherit" w:eastAsia="宋体" w:hAnsi="inherit" w:cs="Segoe UI"/>
                <w:spacing w:val="8"/>
                <w:sz w:val="21"/>
                <w:szCs w:val="21"/>
              </w:rPr>
              <w:t>单独成篇；论证建设超大规模智算集群；政府购买算力服务</w:t>
            </w:r>
          </w:p>
        </w:tc>
        <w:tc>
          <w:tcPr>
            <w:tcW w:w="1616" w:type="dxa"/>
            <w:tcMar>
              <w:top w:w="150" w:type="dxa"/>
              <w:left w:w="150" w:type="dxa"/>
              <w:bottom w:w="150" w:type="dxa"/>
              <w:right w:w="150" w:type="dxa"/>
            </w:tcMar>
            <w:hideMark/>
          </w:tcPr>
          <w:p w14:paraId="6DD04B48"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2026</w:t>
            </w:r>
            <w:r w:rsidRPr="00F02816">
              <w:rPr>
                <w:rFonts w:ascii="inherit" w:eastAsia="宋体" w:hAnsi="inherit" w:cs="Segoe UI"/>
                <w:spacing w:val="8"/>
                <w:sz w:val="21"/>
                <w:szCs w:val="21"/>
              </w:rPr>
              <w:t>年</w:t>
            </w:r>
            <w:r w:rsidRPr="00F02816">
              <w:rPr>
                <w:rFonts w:ascii="inherit" w:eastAsia="宋体" w:hAnsi="inherit" w:cs="Segoe UI"/>
                <w:spacing w:val="8"/>
                <w:sz w:val="21"/>
                <w:szCs w:val="21"/>
              </w:rPr>
              <w:t>3</w:t>
            </w:r>
            <w:r w:rsidRPr="00F02816">
              <w:rPr>
                <w:rFonts w:ascii="inherit" w:eastAsia="宋体" w:hAnsi="inherit" w:cs="Segoe UI"/>
                <w:spacing w:val="8"/>
                <w:sz w:val="21"/>
                <w:szCs w:val="21"/>
              </w:rPr>
              <w:t>月</w:t>
            </w:r>
          </w:p>
        </w:tc>
      </w:tr>
      <w:tr w:rsidR="004F7E65" w14:paraId="14ABD26E" w14:textId="77777777" w:rsidTr="00A441D0">
        <w:tc>
          <w:tcPr>
            <w:tcW w:w="1217" w:type="dxa"/>
            <w:tcMar>
              <w:top w:w="150" w:type="dxa"/>
              <w:left w:w="150" w:type="dxa"/>
              <w:bottom w:w="150" w:type="dxa"/>
              <w:right w:w="150" w:type="dxa"/>
            </w:tcMar>
            <w:hideMark/>
          </w:tcPr>
          <w:p w14:paraId="6E3AB076"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pacing w:val="8"/>
                <w:sz w:val="21"/>
                <w:szCs w:val="21"/>
              </w:rPr>
              <w:t>专项工程</w:t>
            </w:r>
          </w:p>
        </w:tc>
        <w:tc>
          <w:tcPr>
            <w:tcW w:w="0" w:type="auto"/>
            <w:tcMar>
              <w:top w:w="150" w:type="dxa"/>
              <w:left w:w="150" w:type="dxa"/>
              <w:bottom w:w="150" w:type="dxa"/>
              <w:right w:w="150" w:type="dxa"/>
            </w:tcMar>
            <w:hideMark/>
          </w:tcPr>
          <w:p w14:paraId="5C9093D4"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w:t>
            </w:r>
            <w:r w:rsidRPr="00F02816">
              <w:rPr>
                <w:rFonts w:ascii="inherit" w:eastAsia="宋体" w:hAnsi="inherit" w:cs="Segoe UI"/>
                <w:spacing w:val="8"/>
                <w:sz w:val="21"/>
                <w:szCs w:val="21"/>
              </w:rPr>
              <w:t>东数西算</w:t>
            </w:r>
            <w:r w:rsidRPr="00F02816">
              <w:rPr>
                <w:rFonts w:ascii="inherit" w:eastAsia="宋体" w:hAnsi="inherit" w:cs="Segoe UI"/>
                <w:spacing w:val="8"/>
                <w:sz w:val="21"/>
                <w:szCs w:val="21"/>
              </w:rPr>
              <w:t>"</w:t>
            </w:r>
            <w:r w:rsidRPr="00F02816">
              <w:rPr>
                <w:rFonts w:ascii="inherit" w:eastAsia="宋体" w:hAnsi="inherit" w:cs="Segoe UI"/>
                <w:spacing w:val="8"/>
                <w:sz w:val="21"/>
                <w:szCs w:val="21"/>
              </w:rPr>
              <w:t>工程</w:t>
            </w:r>
          </w:p>
        </w:tc>
        <w:tc>
          <w:tcPr>
            <w:tcW w:w="0" w:type="auto"/>
            <w:tcMar>
              <w:top w:w="150" w:type="dxa"/>
              <w:left w:w="150" w:type="dxa"/>
              <w:bottom w:w="150" w:type="dxa"/>
              <w:right w:w="150" w:type="dxa"/>
            </w:tcMar>
            <w:hideMark/>
          </w:tcPr>
          <w:p w14:paraId="31841AB0"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八大枢纽、十大集群；引导数据中心集约化、绿色化发展</w:t>
            </w:r>
          </w:p>
        </w:tc>
        <w:tc>
          <w:tcPr>
            <w:tcW w:w="1616" w:type="dxa"/>
            <w:tcMar>
              <w:top w:w="150" w:type="dxa"/>
              <w:left w:w="150" w:type="dxa"/>
              <w:bottom w:w="150" w:type="dxa"/>
              <w:right w:w="150" w:type="dxa"/>
            </w:tcMar>
            <w:hideMark/>
          </w:tcPr>
          <w:p w14:paraId="34009047"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2021</w:t>
            </w:r>
            <w:r w:rsidRPr="00F02816">
              <w:rPr>
                <w:rFonts w:ascii="inherit" w:eastAsia="宋体" w:hAnsi="inherit" w:cs="Segoe UI"/>
                <w:spacing w:val="8"/>
                <w:sz w:val="21"/>
                <w:szCs w:val="21"/>
              </w:rPr>
              <w:t>年启动</w:t>
            </w:r>
          </w:p>
        </w:tc>
      </w:tr>
      <w:tr w:rsidR="004F7E65" w14:paraId="2B1905FF" w14:textId="77777777" w:rsidTr="00A441D0">
        <w:tc>
          <w:tcPr>
            <w:tcW w:w="1217" w:type="dxa"/>
            <w:tcMar>
              <w:top w:w="150" w:type="dxa"/>
              <w:left w:w="150" w:type="dxa"/>
              <w:bottom w:w="150" w:type="dxa"/>
              <w:right w:w="150" w:type="dxa"/>
            </w:tcMar>
            <w:hideMark/>
          </w:tcPr>
          <w:p w14:paraId="1EB48940"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pacing w:val="8"/>
                <w:sz w:val="21"/>
                <w:szCs w:val="21"/>
              </w:rPr>
              <w:t>行动计划</w:t>
            </w:r>
          </w:p>
        </w:tc>
        <w:tc>
          <w:tcPr>
            <w:tcW w:w="0" w:type="auto"/>
            <w:tcMar>
              <w:top w:w="150" w:type="dxa"/>
              <w:left w:w="150" w:type="dxa"/>
              <w:bottom w:w="150" w:type="dxa"/>
              <w:right w:w="150" w:type="dxa"/>
            </w:tcMar>
            <w:hideMark/>
          </w:tcPr>
          <w:p w14:paraId="0F021413"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《算力基础设施高质量发展行动计划》</w:t>
            </w:r>
          </w:p>
        </w:tc>
        <w:tc>
          <w:tcPr>
            <w:tcW w:w="0" w:type="auto"/>
            <w:tcMar>
              <w:top w:w="150" w:type="dxa"/>
              <w:left w:w="150" w:type="dxa"/>
              <w:bottom w:w="150" w:type="dxa"/>
              <w:right w:w="150" w:type="dxa"/>
            </w:tcMar>
            <w:hideMark/>
          </w:tcPr>
          <w:p w14:paraId="5DC8DCBD"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2025</w:t>
            </w:r>
            <w:r w:rsidRPr="00F02816">
              <w:rPr>
                <w:rFonts w:ascii="inherit" w:eastAsia="宋体" w:hAnsi="inherit" w:cs="Segoe UI"/>
                <w:spacing w:val="8"/>
                <w:sz w:val="21"/>
                <w:szCs w:val="21"/>
              </w:rPr>
              <w:t>年算力规模超</w:t>
            </w:r>
            <w:r w:rsidRPr="00F02816">
              <w:rPr>
                <w:rFonts w:ascii="inherit" w:eastAsia="宋体" w:hAnsi="inherit" w:cs="Segoe UI"/>
                <w:spacing w:val="8"/>
                <w:sz w:val="21"/>
                <w:szCs w:val="21"/>
              </w:rPr>
              <w:t>300 EFLOPS</w:t>
            </w:r>
            <w:r w:rsidRPr="00F02816">
              <w:rPr>
                <w:rFonts w:ascii="inherit" w:eastAsia="宋体" w:hAnsi="inherit" w:cs="Segoe UI"/>
                <w:spacing w:val="8"/>
                <w:sz w:val="21"/>
                <w:szCs w:val="21"/>
              </w:rPr>
              <w:t>，智能算力占比</w:t>
            </w:r>
            <w:r w:rsidRPr="00F02816">
              <w:rPr>
                <w:rFonts w:ascii="inherit" w:eastAsia="宋体" w:hAnsi="inherit" w:cs="Segoe UI"/>
                <w:spacing w:val="8"/>
                <w:sz w:val="21"/>
                <w:szCs w:val="21"/>
              </w:rPr>
              <w:t>35%</w:t>
            </w:r>
          </w:p>
        </w:tc>
        <w:tc>
          <w:tcPr>
            <w:tcW w:w="1616" w:type="dxa"/>
            <w:tcMar>
              <w:top w:w="150" w:type="dxa"/>
              <w:left w:w="150" w:type="dxa"/>
              <w:bottom w:w="150" w:type="dxa"/>
              <w:right w:w="150" w:type="dxa"/>
            </w:tcMar>
            <w:hideMark/>
          </w:tcPr>
          <w:p w14:paraId="7DC93591"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2023</w:t>
            </w:r>
            <w:r w:rsidRPr="00F02816">
              <w:rPr>
                <w:rFonts w:ascii="inherit" w:eastAsia="宋体" w:hAnsi="inherit" w:cs="Segoe UI"/>
                <w:spacing w:val="8"/>
                <w:sz w:val="21"/>
                <w:szCs w:val="21"/>
              </w:rPr>
              <w:t>年</w:t>
            </w:r>
            <w:r w:rsidRPr="00F02816">
              <w:rPr>
                <w:rFonts w:ascii="inherit" w:eastAsia="宋体" w:hAnsi="inherit" w:cs="Segoe UI"/>
                <w:spacing w:val="8"/>
                <w:sz w:val="21"/>
                <w:szCs w:val="21"/>
              </w:rPr>
              <w:t>10</w:t>
            </w:r>
            <w:r w:rsidRPr="00F02816">
              <w:rPr>
                <w:rFonts w:ascii="inherit" w:eastAsia="宋体" w:hAnsi="inherit" w:cs="Segoe UI"/>
                <w:spacing w:val="8"/>
                <w:sz w:val="21"/>
                <w:szCs w:val="21"/>
              </w:rPr>
              <w:t>月</w:t>
            </w:r>
          </w:p>
        </w:tc>
      </w:tr>
      <w:tr w:rsidR="004F7E65" w14:paraId="08202B59" w14:textId="77777777" w:rsidTr="00A441D0">
        <w:tc>
          <w:tcPr>
            <w:tcW w:w="1217" w:type="dxa"/>
            <w:tcMar>
              <w:top w:w="150" w:type="dxa"/>
              <w:left w:w="150" w:type="dxa"/>
              <w:bottom w:w="150" w:type="dxa"/>
              <w:right w:w="150" w:type="dxa"/>
            </w:tcMar>
            <w:hideMark/>
          </w:tcPr>
          <w:p w14:paraId="7A07C719"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pacing w:val="8"/>
                <w:sz w:val="21"/>
                <w:szCs w:val="21"/>
              </w:rPr>
              <w:t>互联互通</w:t>
            </w:r>
          </w:p>
        </w:tc>
        <w:tc>
          <w:tcPr>
            <w:tcW w:w="0" w:type="auto"/>
            <w:tcMar>
              <w:top w:w="150" w:type="dxa"/>
              <w:left w:w="150" w:type="dxa"/>
              <w:bottom w:w="150" w:type="dxa"/>
              <w:right w:w="150" w:type="dxa"/>
            </w:tcMar>
            <w:hideMark/>
          </w:tcPr>
          <w:p w14:paraId="176E0485"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《算力互联互通行动计划》</w:t>
            </w:r>
          </w:p>
        </w:tc>
        <w:tc>
          <w:tcPr>
            <w:tcW w:w="0" w:type="auto"/>
            <w:tcMar>
              <w:top w:w="150" w:type="dxa"/>
              <w:left w:w="150" w:type="dxa"/>
              <w:bottom w:w="150" w:type="dxa"/>
              <w:right w:w="150" w:type="dxa"/>
            </w:tcMar>
            <w:hideMark/>
          </w:tcPr>
          <w:p w14:paraId="72B00E4C"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2026</w:t>
            </w:r>
            <w:r w:rsidRPr="00F02816">
              <w:rPr>
                <w:rFonts w:ascii="inherit" w:eastAsia="宋体" w:hAnsi="inherit" w:cs="Segoe UI"/>
                <w:spacing w:val="8"/>
                <w:sz w:val="21"/>
                <w:szCs w:val="21"/>
              </w:rPr>
              <w:t>年建立标准体系，</w:t>
            </w:r>
            <w:r w:rsidRPr="00F02816">
              <w:rPr>
                <w:rFonts w:ascii="inherit" w:eastAsia="宋体" w:hAnsi="inherit" w:cs="Segoe UI"/>
                <w:spacing w:val="8"/>
                <w:sz w:val="21"/>
                <w:szCs w:val="21"/>
              </w:rPr>
              <w:t>2028</w:t>
            </w:r>
            <w:r w:rsidRPr="00F02816">
              <w:rPr>
                <w:rFonts w:ascii="inherit" w:eastAsia="宋体" w:hAnsi="inherit" w:cs="Segoe UI"/>
                <w:spacing w:val="8"/>
                <w:sz w:val="21"/>
                <w:szCs w:val="21"/>
              </w:rPr>
              <w:t>年实现全国公共算力标准化互联</w:t>
            </w:r>
          </w:p>
        </w:tc>
        <w:tc>
          <w:tcPr>
            <w:tcW w:w="1616" w:type="dxa"/>
            <w:tcMar>
              <w:top w:w="150" w:type="dxa"/>
              <w:left w:w="150" w:type="dxa"/>
              <w:bottom w:w="150" w:type="dxa"/>
              <w:right w:w="150" w:type="dxa"/>
            </w:tcMar>
            <w:hideMark/>
          </w:tcPr>
          <w:p w14:paraId="67216B59"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2025</w:t>
            </w:r>
            <w:r w:rsidRPr="00F02816">
              <w:rPr>
                <w:rFonts w:ascii="inherit" w:eastAsia="宋体" w:hAnsi="inherit" w:cs="Segoe UI"/>
                <w:spacing w:val="8"/>
                <w:sz w:val="21"/>
                <w:szCs w:val="21"/>
              </w:rPr>
              <w:t>年</w:t>
            </w:r>
            <w:r w:rsidRPr="00F02816">
              <w:rPr>
                <w:rFonts w:ascii="inherit" w:eastAsia="宋体" w:hAnsi="inherit" w:cs="Segoe UI"/>
                <w:spacing w:val="8"/>
                <w:sz w:val="21"/>
                <w:szCs w:val="21"/>
              </w:rPr>
              <w:t>5</w:t>
            </w:r>
            <w:r w:rsidRPr="00F02816">
              <w:rPr>
                <w:rFonts w:ascii="inherit" w:eastAsia="宋体" w:hAnsi="inherit" w:cs="Segoe UI"/>
                <w:spacing w:val="8"/>
                <w:sz w:val="21"/>
                <w:szCs w:val="21"/>
              </w:rPr>
              <w:t>月</w:t>
            </w:r>
          </w:p>
        </w:tc>
      </w:tr>
      <w:tr w:rsidR="004F7E65" w14:paraId="404895A3" w14:textId="77777777" w:rsidTr="00A441D0">
        <w:tc>
          <w:tcPr>
            <w:tcW w:w="1217" w:type="dxa"/>
            <w:tcMar>
              <w:top w:w="150" w:type="dxa"/>
              <w:left w:w="150" w:type="dxa"/>
              <w:bottom w:w="150" w:type="dxa"/>
              <w:right w:w="150" w:type="dxa"/>
            </w:tcMar>
            <w:hideMark/>
          </w:tcPr>
          <w:p w14:paraId="552BAC07"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pacing w:val="8"/>
                <w:sz w:val="21"/>
                <w:szCs w:val="21"/>
              </w:rPr>
              <w:t>能源协同</w:t>
            </w:r>
          </w:p>
        </w:tc>
        <w:tc>
          <w:tcPr>
            <w:tcW w:w="0" w:type="auto"/>
            <w:tcMar>
              <w:top w:w="150" w:type="dxa"/>
              <w:left w:w="150" w:type="dxa"/>
              <w:bottom w:w="150" w:type="dxa"/>
              <w:right w:w="150" w:type="dxa"/>
            </w:tcMar>
            <w:hideMark/>
          </w:tcPr>
          <w:p w14:paraId="07737950"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w:t>
            </w:r>
            <w:r w:rsidRPr="00F02816">
              <w:rPr>
                <w:rFonts w:ascii="inherit" w:eastAsia="宋体" w:hAnsi="inherit" w:cs="Segoe UI"/>
                <w:spacing w:val="8"/>
                <w:sz w:val="21"/>
                <w:szCs w:val="21"/>
              </w:rPr>
              <w:t>算电协同</w:t>
            </w:r>
            <w:r w:rsidRPr="00F02816">
              <w:rPr>
                <w:rFonts w:ascii="inherit" w:eastAsia="宋体" w:hAnsi="inherit" w:cs="Segoe UI"/>
                <w:spacing w:val="8"/>
                <w:sz w:val="21"/>
                <w:szCs w:val="21"/>
              </w:rPr>
              <w:t>"</w:t>
            </w:r>
            <w:r w:rsidRPr="00F02816">
              <w:rPr>
                <w:rFonts w:ascii="inherit" w:eastAsia="宋体" w:hAnsi="inherit" w:cs="Segoe UI"/>
                <w:spacing w:val="8"/>
                <w:sz w:val="21"/>
                <w:szCs w:val="21"/>
              </w:rPr>
              <w:t>写入政府工作报告</w:t>
            </w:r>
          </w:p>
        </w:tc>
        <w:tc>
          <w:tcPr>
            <w:tcW w:w="0" w:type="auto"/>
            <w:tcMar>
              <w:top w:w="150" w:type="dxa"/>
              <w:left w:w="150" w:type="dxa"/>
              <w:bottom w:w="150" w:type="dxa"/>
              <w:right w:w="150" w:type="dxa"/>
            </w:tcMar>
            <w:hideMark/>
          </w:tcPr>
          <w:p w14:paraId="7401B3B2"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算力与电力系统深度融合；应对</w:t>
            </w:r>
            <w:r w:rsidRPr="00F02816">
              <w:rPr>
                <w:rFonts w:ascii="inherit" w:eastAsia="宋体" w:hAnsi="inherit" w:cs="Segoe UI"/>
                <w:spacing w:val="8"/>
                <w:sz w:val="21"/>
                <w:szCs w:val="21"/>
              </w:rPr>
              <w:t>AI</w:t>
            </w:r>
            <w:r w:rsidRPr="00F02816">
              <w:rPr>
                <w:rFonts w:ascii="inherit" w:eastAsia="宋体" w:hAnsi="inherit" w:cs="Segoe UI"/>
                <w:spacing w:val="8"/>
                <w:sz w:val="21"/>
                <w:szCs w:val="21"/>
              </w:rPr>
              <w:t>算力能耗挑战</w:t>
            </w:r>
          </w:p>
        </w:tc>
        <w:tc>
          <w:tcPr>
            <w:tcW w:w="1616" w:type="dxa"/>
            <w:tcMar>
              <w:top w:w="150" w:type="dxa"/>
              <w:left w:w="150" w:type="dxa"/>
              <w:bottom w:w="150" w:type="dxa"/>
              <w:right w:w="150" w:type="dxa"/>
            </w:tcMar>
            <w:hideMark/>
          </w:tcPr>
          <w:p w14:paraId="0057B85E"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2026</w:t>
            </w:r>
            <w:r w:rsidRPr="00F02816">
              <w:rPr>
                <w:rFonts w:ascii="inherit" w:eastAsia="宋体" w:hAnsi="inherit" w:cs="Segoe UI"/>
                <w:spacing w:val="8"/>
                <w:sz w:val="21"/>
                <w:szCs w:val="21"/>
              </w:rPr>
              <w:t>年</w:t>
            </w:r>
            <w:r w:rsidRPr="00F02816">
              <w:rPr>
                <w:rFonts w:ascii="inherit" w:eastAsia="宋体" w:hAnsi="inherit" w:cs="Segoe UI"/>
                <w:spacing w:val="8"/>
                <w:sz w:val="21"/>
                <w:szCs w:val="21"/>
              </w:rPr>
              <w:t>3</w:t>
            </w:r>
            <w:r w:rsidRPr="00F02816">
              <w:rPr>
                <w:rFonts w:ascii="inherit" w:eastAsia="宋体" w:hAnsi="inherit" w:cs="Segoe UI"/>
                <w:spacing w:val="8"/>
                <w:sz w:val="21"/>
                <w:szCs w:val="21"/>
              </w:rPr>
              <w:t>月</w:t>
            </w:r>
          </w:p>
        </w:tc>
      </w:tr>
      <w:tr w:rsidR="004F7E65" w14:paraId="6B5D6C1A" w14:textId="77777777" w:rsidTr="00A441D0">
        <w:tc>
          <w:tcPr>
            <w:tcW w:w="1217" w:type="dxa"/>
            <w:tcMar>
              <w:top w:w="150" w:type="dxa"/>
              <w:left w:w="150" w:type="dxa"/>
              <w:bottom w:w="150" w:type="dxa"/>
              <w:right w:w="150" w:type="dxa"/>
            </w:tcMar>
            <w:hideMark/>
          </w:tcPr>
          <w:p w14:paraId="3BA15D7E"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pacing w:val="8"/>
                <w:sz w:val="21"/>
                <w:szCs w:val="21"/>
              </w:rPr>
              <w:lastRenderedPageBreak/>
              <w:t>普惠服务</w:t>
            </w:r>
          </w:p>
        </w:tc>
        <w:tc>
          <w:tcPr>
            <w:tcW w:w="0" w:type="auto"/>
            <w:tcMar>
              <w:top w:w="150" w:type="dxa"/>
              <w:left w:w="150" w:type="dxa"/>
              <w:bottom w:w="150" w:type="dxa"/>
              <w:right w:w="150" w:type="dxa"/>
            </w:tcMar>
            <w:hideMark/>
          </w:tcPr>
          <w:p w14:paraId="388C7361"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普惠算力赋能中小企业专项行动</w:t>
            </w:r>
          </w:p>
        </w:tc>
        <w:tc>
          <w:tcPr>
            <w:tcW w:w="0" w:type="auto"/>
            <w:tcMar>
              <w:top w:w="150" w:type="dxa"/>
              <w:left w:w="150" w:type="dxa"/>
              <w:bottom w:w="150" w:type="dxa"/>
              <w:right w:w="150" w:type="dxa"/>
            </w:tcMar>
            <w:hideMark/>
          </w:tcPr>
          <w:p w14:paraId="7F332A73"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降低中小企业用算成本，推动算力即取即用</w:t>
            </w:r>
          </w:p>
        </w:tc>
        <w:tc>
          <w:tcPr>
            <w:tcW w:w="1616" w:type="dxa"/>
            <w:tcMar>
              <w:top w:w="150" w:type="dxa"/>
              <w:left w:w="150" w:type="dxa"/>
              <w:bottom w:w="150" w:type="dxa"/>
              <w:right w:w="150" w:type="dxa"/>
            </w:tcMar>
            <w:hideMark/>
          </w:tcPr>
          <w:p w14:paraId="68F0724A"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2026</w:t>
            </w:r>
            <w:r w:rsidRPr="00F02816">
              <w:rPr>
                <w:rFonts w:ascii="inherit" w:eastAsia="宋体" w:hAnsi="inherit" w:cs="Segoe UI"/>
                <w:spacing w:val="8"/>
                <w:sz w:val="21"/>
                <w:szCs w:val="21"/>
              </w:rPr>
              <w:t>年</w:t>
            </w:r>
          </w:p>
        </w:tc>
      </w:tr>
      <w:tr w:rsidR="004F7E65" w14:paraId="05B27ADE" w14:textId="77777777" w:rsidTr="00A441D0">
        <w:tc>
          <w:tcPr>
            <w:tcW w:w="1217" w:type="dxa"/>
            <w:tcMar>
              <w:top w:w="150" w:type="dxa"/>
              <w:left w:w="150" w:type="dxa"/>
              <w:bottom w:w="150" w:type="dxa"/>
              <w:right w:w="150" w:type="dxa"/>
            </w:tcMar>
            <w:hideMark/>
          </w:tcPr>
          <w:p w14:paraId="7A091EDF"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spacing w:val="8"/>
                <w:sz w:val="21"/>
                <w:szCs w:val="21"/>
              </w:rPr>
              <w:t>地方落地</w:t>
            </w:r>
          </w:p>
        </w:tc>
        <w:tc>
          <w:tcPr>
            <w:tcW w:w="0" w:type="auto"/>
            <w:tcMar>
              <w:top w:w="150" w:type="dxa"/>
              <w:left w:w="150" w:type="dxa"/>
              <w:bottom w:w="150" w:type="dxa"/>
              <w:right w:w="150" w:type="dxa"/>
            </w:tcMar>
            <w:hideMark/>
          </w:tcPr>
          <w:p w14:paraId="4AF253E9"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深圳</w:t>
            </w:r>
            <w:r w:rsidRPr="00F02816">
              <w:rPr>
                <w:rFonts w:ascii="inherit" w:eastAsia="宋体" w:hAnsi="inherit" w:cs="Segoe UI"/>
                <w:spacing w:val="8"/>
                <w:sz w:val="21"/>
                <w:szCs w:val="21"/>
              </w:rPr>
              <w:t>"</w:t>
            </w:r>
            <w:r w:rsidRPr="00F02816">
              <w:rPr>
                <w:rFonts w:ascii="inherit" w:eastAsia="宋体" w:hAnsi="inherit" w:cs="Segoe UI"/>
                <w:spacing w:val="8"/>
                <w:sz w:val="21"/>
                <w:szCs w:val="21"/>
              </w:rPr>
              <w:t>算力飞地</w:t>
            </w:r>
            <w:r w:rsidRPr="00F02816">
              <w:rPr>
                <w:rFonts w:ascii="inherit" w:eastAsia="宋体" w:hAnsi="inherit" w:cs="Segoe UI"/>
                <w:spacing w:val="8"/>
                <w:sz w:val="21"/>
                <w:szCs w:val="21"/>
              </w:rPr>
              <w:t>"</w:t>
            </w:r>
            <w:r w:rsidRPr="00F02816">
              <w:rPr>
                <w:rFonts w:ascii="inherit" w:eastAsia="宋体" w:hAnsi="inherit" w:cs="Segoe UI"/>
                <w:spacing w:val="8"/>
                <w:sz w:val="21"/>
                <w:szCs w:val="21"/>
              </w:rPr>
              <w:t>战略</w:t>
            </w:r>
          </w:p>
        </w:tc>
        <w:tc>
          <w:tcPr>
            <w:tcW w:w="0" w:type="auto"/>
            <w:tcMar>
              <w:top w:w="150" w:type="dxa"/>
              <w:left w:w="150" w:type="dxa"/>
              <w:bottom w:w="150" w:type="dxa"/>
              <w:right w:w="150" w:type="dxa"/>
            </w:tcMar>
            <w:hideMark/>
          </w:tcPr>
          <w:p w14:paraId="4D89F812"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45</w:t>
            </w:r>
            <w:r w:rsidRPr="00F02816">
              <w:rPr>
                <w:rFonts w:ascii="inherit" w:eastAsia="宋体" w:hAnsi="inherit" w:cs="Segoe UI"/>
                <w:spacing w:val="8"/>
                <w:sz w:val="21"/>
                <w:szCs w:val="21"/>
              </w:rPr>
              <w:t>亿元专项资金；</w:t>
            </w:r>
            <w:r w:rsidRPr="00F02816">
              <w:rPr>
                <w:rFonts w:ascii="inherit" w:eastAsia="宋体" w:hAnsi="inherit" w:cs="Segoe UI"/>
                <w:spacing w:val="8"/>
                <w:sz w:val="21"/>
                <w:szCs w:val="21"/>
              </w:rPr>
              <w:t>1ms/3ms/10ms</w:t>
            </w:r>
            <w:r w:rsidRPr="00F02816">
              <w:rPr>
                <w:rFonts w:ascii="inherit" w:eastAsia="宋体" w:hAnsi="inherit" w:cs="Segoe UI"/>
                <w:spacing w:val="8"/>
                <w:sz w:val="21"/>
                <w:szCs w:val="21"/>
              </w:rPr>
              <w:t>梯度算力网</w:t>
            </w:r>
          </w:p>
        </w:tc>
        <w:tc>
          <w:tcPr>
            <w:tcW w:w="1616" w:type="dxa"/>
            <w:tcMar>
              <w:top w:w="150" w:type="dxa"/>
              <w:left w:w="150" w:type="dxa"/>
              <w:bottom w:w="150" w:type="dxa"/>
              <w:right w:w="150" w:type="dxa"/>
            </w:tcMar>
            <w:hideMark/>
          </w:tcPr>
          <w:p w14:paraId="40FEAFFE" w14:textId="77777777" w:rsidR="004F7E65" w:rsidRDefault="00000000">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sz w:val="21"/>
                <w:szCs w:val="21"/>
              </w:rPr>
              <w:t>2025</w:t>
            </w:r>
            <w:r w:rsidRPr="00F02816">
              <w:rPr>
                <w:rFonts w:ascii="inherit" w:eastAsia="宋体" w:hAnsi="inherit" w:cs="Segoe UI"/>
                <w:spacing w:val="8"/>
                <w:sz w:val="21"/>
                <w:szCs w:val="21"/>
              </w:rPr>
              <w:t>年</w:t>
            </w:r>
          </w:p>
        </w:tc>
      </w:tr>
    </w:tbl>
    <w:p w14:paraId="2B205717" w14:textId="77777777" w:rsidR="004F7E65" w:rsidRDefault="00000000">
      <w:pPr>
        <w:rPr>
          <w:rFonts w:hint="eastAsia"/>
        </w:rPr>
      </w:pPr>
      <w:r w:rsidRPr="00F02816">
        <w:rPr>
          <w:rFonts w:hint="eastAsia"/>
          <w:szCs w:val="22"/>
        </w:rPr>
        <w:t>国家算力网络的建设目标是"普惠易用、经济高效"，而普惠化的前提是模型能力的标准化输出——没有基础大模型将 raw compute 转化为可调用、可微调、可迭代的认知推理服务，算力网络只是空转的电力设施。运营商的"Token经营"战略、政府的"算力租赁"模式，其商业闭环均指向基础大模型作为算力网络的"认知转化层"。因此，投资基础大模型不是投资"AI应用公司"，而是投资国家AI基础设施的操作系统层——这一层的垄断性、政策依附性与网络效应，远超传统基建中的硬件供应商。</w:t>
      </w:r>
    </w:p>
    <w:p w14:paraId="12B9C8ED" w14:textId="77777777" w:rsidR="004F7E65" w:rsidRDefault="004F7E65">
      <w:pPr>
        <w:rPr>
          <w:rFonts w:hint="eastAsia"/>
        </w:rPr>
      </w:pPr>
    </w:p>
    <w:p w14:paraId="7C5DEF15" w14:textId="0317DEA9" w:rsidR="004F7E65" w:rsidRDefault="00F405DF">
      <w:pPr>
        <w:pStyle w:val="3"/>
        <w:rPr>
          <w:rFonts w:hint="eastAsia"/>
        </w:rPr>
      </w:pPr>
      <w:r>
        <w:rPr>
          <w:rFonts w:hint="eastAsia"/>
        </w:rPr>
        <w:t>1.2.2</w:t>
      </w:r>
      <w:r w:rsidR="00B54E1E">
        <w:rPr>
          <w:rFonts w:hint="eastAsia"/>
        </w:rPr>
        <w:t>市场规模与产业阶段</w:t>
      </w:r>
    </w:p>
    <w:p w14:paraId="3AA9E14E" w14:textId="6BD17939" w:rsidR="004F7E65" w:rsidRDefault="00F405DF">
      <w:pPr>
        <w:pStyle w:val="4"/>
        <w:rPr>
          <w:rFonts w:hint="eastAsia"/>
        </w:rPr>
      </w:pPr>
      <w:r>
        <w:rPr>
          <w:rFonts w:hint="eastAsia"/>
        </w:rPr>
        <w:t>1.2.2.1</w:t>
      </w:r>
      <w:r w:rsidR="00000000">
        <w:rPr>
          <w:rFonts w:hint="eastAsia"/>
        </w:rPr>
        <w:t>市场规模</w:t>
      </w:r>
    </w:p>
    <w:p w14:paraId="22353DBC" w14:textId="77777777" w:rsidR="004F7E65" w:rsidRDefault="00000000">
      <w:pPr>
        <w:rPr>
          <w:rFonts w:hint="eastAsia"/>
        </w:rPr>
      </w:pPr>
      <w:r>
        <w:rPr>
          <w:rFonts w:hint="eastAsia"/>
          <w:szCs w:val="22"/>
        </w:rPr>
        <w:t>当前大模型技术仍处于快速迭代阶段。根据灼识咨询研究数据显示，伴随技术成熟度提升与付费意愿持续释放，全球大模型市场规模预计将由 2024年的107 亿美元，快速增长至 2029 年的 2,065 亿美元，2024-2029 五年复合增长率将达 80.7%。另据IDC《2026全球企业级大模型服务市场白皮书》，2026年全球大模型服务相关市场支出已突破 1,800 亿美元，同比增长 63%，其中企业级大模型服务平台需求占比超 75%，市场扩张速度超出此前预期。</w:t>
      </w:r>
    </w:p>
    <w:p w14:paraId="6F8E2B50" w14:textId="77777777" w:rsidR="004F7E65" w:rsidRDefault="00000000">
      <w:pPr>
        <w:jc w:val="center"/>
        <w:rPr>
          <w:rFonts w:hint="eastAsia"/>
        </w:rPr>
      </w:pPr>
      <w:r>
        <w:rPr>
          <w:rFonts w:hint="eastAsia"/>
          <w:szCs w:val="22"/>
        </w:rPr>
        <w:t>表：2023-2029E全球大模型市场规模</w:t>
      </w:r>
    </w:p>
    <w:p w14:paraId="3C2089FC" w14:textId="77777777" w:rsidR="004F7E65" w:rsidRDefault="00000000">
      <w:pPr>
        <w:jc w:val="center"/>
        <w:rPr>
          <w:rFonts w:hint="eastAsia"/>
        </w:rPr>
      </w:pPr>
      <w:r>
        <w:rPr>
          <w:noProof/>
        </w:rPr>
        <w:drawing>
          <wp:inline distT="0" distB="0" distL="0" distR="0" wp14:anchorId="1324FAAE" wp14:editId="0CB19FF5">
            <wp:extent cx="4204094" cy="2449773"/>
            <wp:effectExtent l="0" t="0" r="6350" b="8255"/>
            <wp:docPr id="97004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6003" name=""/>
                    <pic:cNvPicPr/>
                  </pic:nvPicPr>
                  <pic:blipFill>
                    <a:blip r:embed="rId8"/>
                    <a:stretch>
                      <a:fillRect/>
                    </a:stretch>
                  </pic:blipFill>
                  <pic:spPr>
                    <a:xfrm>
                      <a:off x="0" y="0"/>
                      <a:ext cx="4214065" cy="2455583"/>
                    </a:xfrm>
                    <a:prstGeom prst="rect">
                      <a:avLst/>
                    </a:prstGeom>
                  </pic:spPr>
                </pic:pic>
              </a:graphicData>
            </a:graphic>
          </wp:inline>
        </w:drawing>
      </w:r>
    </w:p>
    <w:p w14:paraId="475A4E01" w14:textId="77777777" w:rsidR="004F7E65" w:rsidRDefault="004F7E65">
      <w:pPr>
        <w:rPr>
          <w:rFonts w:hint="eastAsia"/>
        </w:rPr>
      </w:pPr>
    </w:p>
    <w:p w14:paraId="6E6F64D0" w14:textId="77777777" w:rsidR="004F7E65" w:rsidRDefault="00000000">
      <w:pPr>
        <w:rPr>
          <w:rFonts w:hint="eastAsia"/>
        </w:rPr>
      </w:pPr>
      <w:r w:rsidRPr="00E33CB9">
        <w:rPr>
          <w:rFonts w:hint="eastAsia"/>
          <w:szCs w:val="22"/>
        </w:rPr>
        <w:t>中国大模型市场大致可划分为三个阶段。2020 年至 2022 年为技术积累期，以学术研究和头部企业探索为主，市场体量有限但基础能力逐步夯实，三年累计增量不足 100 亿元。2023 年至 2024 年为爆发式增长期，技术突破与资本热潮形成共振，市场进入跑马圈地阶段。2025 年起进入应用深化期，虽然增速随基数扩大而自然回落，但应用场景持续拓宽，商业模式逐步清晰。据艾媒咨询数据，2024 年中国大模型市场规模已达到人民币 294.16亿元，预计到 2026 年将增至人民币 738.57 亿元，2024 年至 2026 年预计复合年增长率为 58.5%。另据IDC预测，在信创政策持续深化与行业AI落地加速的双重赋能下，中国市场规模预计 2028 年将突破 1,600 亿元，企业级大模型服务平台已成为金融、政务、互联网、制造等关键领域的核心数字化基础设施。</w:t>
      </w:r>
    </w:p>
    <w:p w14:paraId="427B6158" w14:textId="77777777" w:rsidR="004F7E65" w:rsidRDefault="00000000">
      <w:pPr>
        <w:jc w:val="center"/>
        <w:rPr>
          <w:rFonts w:hint="eastAsia"/>
        </w:rPr>
      </w:pPr>
      <w:r>
        <w:rPr>
          <w:rFonts w:hint="eastAsia"/>
          <w:szCs w:val="22"/>
        </w:rPr>
        <w:t>表：2020-2026E中国大模型市场规模</w:t>
      </w:r>
    </w:p>
    <w:p w14:paraId="12524876" w14:textId="77777777" w:rsidR="004F7E65" w:rsidRDefault="00000000">
      <w:pPr>
        <w:jc w:val="center"/>
        <w:rPr>
          <w:rFonts w:hint="eastAsia"/>
        </w:rPr>
      </w:pPr>
      <w:r w:rsidRPr="0056114B">
        <w:rPr>
          <w:noProof/>
        </w:rPr>
        <w:drawing>
          <wp:inline distT="0" distB="0" distL="0" distR="0" wp14:anchorId="15523D11" wp14:editId="0EFD7E75">
            <wp:extent cx="4162425" cy="2644989"/>
            <wp:effectExtent l="0" t="0" r="0" b="3175"/>
            <wp:docPr id="1838201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1053" name=""/>
                    <pic:cNvPicPr/>
                  </pic:nvPicPr>
                  <pic:blipFill>
                    <a:blip r:embed="rId9"/>
                    <a:stretch>
                      <a:fillRect/>
                    </a:stretch>
                  </pic:blipFill>
                  <pic:spPr>
                    <a:xfrm>
                      <a:off x="0" y="0"/>
                      <a:ext cx="4179062" cy="2655561"/>
                    </a:xfrm>
                    <a:prstGeom prst="rect">
                      <a:avLst/>
                    </a:prstGeom>
                  </pic:spPr>
                </pic:pic>
              </a:graphicData>
            </a:graphic>
          </wp:inline>
        </w:drawing>
      </w:r>
    </w:p>
    <w:p w14:paraId="79B28206" w14:textId="77777777" w:rsidR="004F7E65" w:rsidRDefault="004F7E65">
      <w:pPr>
        <w:rPr>
          <w:rFonts w:hint="eastAsia"/>
        </w:rPr>
      </w:pPr>
    </w:p>
    <w:p w14:paraId="503311FF" w14:textId="77777777" w:rsidR="004F7E65" w:rsidRDefault="004F7E65">
      <w:pPr>
        <w:rPr>
          <w:rFonts w:hint="eastAsia"/>
        </w:rPr>
      </w:pPr>
    </w:p>
    <w:p w14:paraId="52463A2E" w14:textId="3D401877" w:rsidR="004F7E65" w:rsidRDefault="00F405DF">
      <w:pPr>
        <w:pStyle w:val="4"/>
        <w:rPr>
          <w:rFonts w:hint="eastAsia"/>
        </w:rPr>
      </w:pPr>
      <w:r>
        <w:rPr>
          <w:rFonts w:hint="eastAsia"/>
        </w:rPr>
        <w:t>1.2.2.2</w:t>
      </w:r>
      <w:r w:rsidR="00000000">
        <w:rPr>
          <w:rFonts w:hint="eastAsia"/>
        </w:rPr>
        <w:t>产业阶段：</w:t>
      </w:r>
    </w:p>
    <w:p w14:paraId="6B32C8AE" w14:textId="05EBE78E" w:rsidR="004F7E65" w:rsidRDefault="00F405DF">
      <w:pPr>
        <w:pStyle w:val="5"/>
        <w:rPr>
          <w:rFonts w:hint="eastAsia"/>
        </w:rPr>
      </w:pPr>
      <w:r>
        <w:rPr>
          <w:rFonts w:hint="eastAsia"/>
        </w:rPr>
        <w:t>I．</w:t>
      </w:r>
      <w:r w:rsidR="00000000">
        <w:rPr>
          <w:rFonts w:hint="eastAsia"/>
        </w:rPr>
        <w:t>产业属性界定</w:t>
      </w:r>
    </w:p>
    <w:p w14:paraId="1649B07A" w14:textId="77777777" w:rsidR="004F7E65" w:rsidRDefault="00000000">
      <w:pPr>
        <w:rPr>
          <w:rFonts w:hint="eastAsia"/>
        </w:rPr>
      </w:pPr>
      <w:r w:rsidRPr="008C207A">
        <w:rPr>
          <w:rFonts w:hint="eastAsia"/>
          <w:szCs w:val="22"/>
        </w:rPr>
        <w:t>基础大模型产业具备典型的新兴成长行业特征，其驱动力源于颠覆性技术创新而非传统经济周期。</w:t>
      </w:r>
    </w:p>
    <w:p w14:paraId="2403F623" w14:textId="156FE568" w:rsidR="004F7E65" w:rsidRDefault="00000000">
      <w:pPr>
        <w:rPr>
          <w:rFonts w:hint="eastAsia"/>
        </w:rPr>
      </w:pPr>
      <w:r w:rsidRPr="00AD5736">
        <w:rPr>
          <w:rFonts w:hint="eastAsia"/>
          <w:szCs w:val="22"/>
        </w:rPr>
        <w:t>首先，市场规模预测数据揭示了其高成长潜力。不止上文对于国内外大模型市场CAGR的乐观估计，多家大型机构也对其进行了预估。Bloomberg Intelligence给出2023-2032E期间CAGR 37%的预估，沙利文给出CAGR 50%的预估。此类高增长已有市场验证，根据智</w:t>
      </w:r>
      <w:r w:rsidR="00EE7B17">
        <w:rPr>
          <w:rFonts w:hint="eastAsia"/>
          <w:szCs w:val="22"/>
        </w:rPr>
        <w:t>研</w:t>
      </w:r>
      <w:r w:rsidRPr="00AD5736">
        <w:rPr>
          <w:rFonts w:hint="eastAsia"/>
          <w:szCs w:val="22"/>
        </w:rPr>
        <w:t>咨询研究，MaaS（模型即服务）作为大模型落地的核心载体，在</w:t>
      </w:r>
      <w:r w:rsidRPr="00AD5736">
        <w:rPr>
          <w:rFonts w:hint="eastAsia"/>
          <w:szCs w:val="22"/>
        </w:rPr>
        <w:lastRenderedPageBreak/>
        <w:t>2024年中国市场呈现爆发式增长，全年规模达7.1亿元，较2023年同比激增215.7%。</w:t>
      </w:r>
    </w:p>
    <w:p w14:paraId="470670EF" w14:textId="77777777" w:rsidR="004F7E65" w:rsidRDefault="00000000">
      <w:pPr>
        <w:rPr>
          <w:rFonts w:hint="eastAsia"/>
        </w:rPr>
      </w:pPr>
      <w:r w:rsidRPr="00191FB0">
        <w:rPr>
          <w:rFonts w:hint="eastAsia"/>
          <w:szCs w:val="22"/>
        </w:rPr>
        <w:t>这种指数级增长预期，和商业化早期陡峭的增长斜率，是成长期企业的特征。其产业波动主要受技术迭代节奏、监管政策及自身商业化进展影响，与传统的库存、产能周期关联性弱。尽管发展中可能因预期与现实的差距出现估值波动，但这本质上是成长过程中的修正，而非由宏观经济决定的周期性进退。</w:t>
      </w:r>
    </w:p>
    <w:p w14:paraId="5D2760F5" w14:textId="16BB6A56" w:rsidR="004F7E65" w:rsidRDefault="00F405DF">
      <w:pPr>
        <w:pStyle w:val="5"/>
        <w:rPr>
          <w:rFonts w:hint="eastAsia"/>
        </w:rPr>
      </w:pPr>
      <w:r>
        <w:rPr>
          <w:rFonts w:hint="eastAsia"/>
        </w:rPr>
        <w:t xml:space="preserve">II. </w:t>
      </w:r>
      <w:r w:rsidR="00000000">
        <w:rPr>
          <w:rFonts w:hint="eastAsia"/>
        </w:rPr>
        <w:t>成长阶段定位</w:t>
      </w:r>
    </w:p>
    <w:p w14:paraId="4ABF7291" w14:textId="77777777" w:rsidR="004F7E65" w:rsidRDefault="00000000">
      <w:pPr>
        <w:rPr>
          <w:rFonts w:hint="eastAsia"/>
        </w:rPr>
      </w:pPr>
      <w:r w:rsidRPr="0041670E">
        <w:rPr>
          <w:rFonts w:hint="eastAsia"/>
          <w:szCs w:val="22"/>
        </w:rPr>
        <w:t>依据新兴产业从“0-1”（技术萌芽）到“1-10”（期望膨胀/规模化）再到“10-100”（稳步爬升）的发展框架分析，基础大模型产业已明确越过“0-1”的纯粹探索期，正处于“1-10”阶段的中期。这一判断基于技术、商业化、竞争格局等多重信号。</w:t>
      </w:r>
    </w:p>
    <w:p w14:paraId="2D9AFD2B" w14:textId="77777777" w:rsidR="004F7E65" w:rsidRDefault="00000000">
      <w:pPr>
        <w:rPr>
          <w:rFonts w:hint="eastAsia"/>
        </w:rPr>
      </w:pPr>
      <w:r w:rsidRPr="004C0C4B">
        <w:rPr>
          <w:rFonts w:hint="eastAsia"/>
          <w:b/>
          <w:szCs w:val="22"/>
        </w:rPr>
        <w:t>技术演进：从突破“可用”到追求“好用”与“普惠”</w:t>
      </w:r>
      <w:r>
        <w:rPr>
          <w:rFonts w:hint="eastAsia"/>
          <w:szCs w:val="22"/>
        </w:rPr>
        <w:t xml:space="preserve"> 技术发展已跨越最初的“iPhone时刻”，进入“DeepSeek时刻”。 技术的成本等瓶颈被打破，从稀缺、昂贵、小众，转向普惠、易用，真正具备面向千行百业大规模普及的基础条件。应用场景进一步快速渗透，商业化空间开始打开</w:t>
      </w:r>
    </w:p>
    <w:p w14:paraId="2DEF21F4" w14:textId="77777777" w:rsidR="004F7E65" w:rsidRDefault="00000000">
      <w:pPr>
        <w:jc w:val="center"/>
        <w:rPr>
          <w:rFonts w:hint="eastAsia"/>
        </w:rPr>
      </w:pPr>
      <w:r>
        <w:rPr>
          <w:noProof/>
        </w:rPr>
        <w:drawing>
          <wp:inline distT="0" distB="0" distL="0" distR="0" wp14:anchorId="20178B73" wp14:editId="424D7658">
            <wp:extent cx="3345246" cy="2377487"/>
            <wp:effectExtent l="0" t="0" r="7620" b="3810"/>
            <wp:docPr id="154664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959" name=""/>
                    <pic:cNvPicPr/>
                  </pic:nvPicPr>
                  <pic:blipFill>
                    <a:blip r:embed="rId10"/>
                    <a:stretch>
                      <a:fillRect/>
                    </a:stretch>
                  </pic:blipFill>
                  <pic:spPr>
                    <a:xfrm>
                      <a:off x="0" y="0"/>
                      <a:ext cx="3360362" cy="2388230"/>
                    </a:xfrm>
                    <a:prstGeom prst="rect">
                      <a:avLst/>
                    </a:prstGeom>
                  </pic:spPr>
                </pic:pic>
              </a:graphicData>
            </a:graphic>
          </wp:inline>
        </w:drawing>
      </w:r>
    </w:p>
    <w:p w14:paraId="49F6647B" w14:textId="77777777" w:rsidR="004F7E65" w:rsidRDefault="00000000">
      <w:pPr>
        <w:rPr>
          <w:rFonts w:hint="eastAsia"/>
        </w:rPr>
      </w:pPr>
      <w:r w:rsidRPr="0041670E">
        <w:rPr>
          <w:rFonts w:hint="eastAsia"/>
          <w:szCs w:val="22"/>
        </w:rPr>
        <w:t>行业早期通过Transformer架构等突破证明了技术的“可用性”。当前，标志性事件是高性能开源模型（如DeepSeek R1）的出现，它大幅降低了模型使用成本与技术门槛。根据API聚合平台OpenRouter数据，平台大模型Tokens处理量从2025年1月第二周的0.48TB，快速攀升至2026年1月第二周的7.68TB，规模增长16倍，这标志着算力需求和应用普及进入高速通道。</w:t>
      </w:r>
    </w:p>
    <w:p w14:paraId="0C79B088" w14:textId="77777777" w:rsidR="004F7E65" w:rsidRDefault="00000000">
      <w:pPr>
        <w:rPr>
          <w:rFonts w:hint="eastAsia"/>
        </w:rPr>
      </w:pPr>
      <w:r>
        <w:rPr>
          <w:rFonts w:hint="eastAsia"/>
          <w:szCs w:val="22"/>
        </w:rPr>
        <w:t>从当前基础大模型所展现出的巨大需求弹性，我们认为大模型行业的杰文斯悖论下的最优化还远未实现。根据杰文斯悖论，““DeepSeek”时刻后，该新兴产业将会实现“价”减而“量”增。成本的大幅降低并不会带来市场的萎缩，因为需求的弹性较大，因此，市场反而会进入蓬勃发展的阶段。较为经典的例子便是在蒸汽机发明之后，虽然单位煤</w:t>
      </w:r>
      <w:r>
        <w:rPr>
          <w:rFonts w:hint="eastAsia"/>
          <w:szCs w:val="22"/>
        </w:rPr>
        <w:lastRenderedPageBreak/>
        <w:t>炭的消耗下降，但由于成本降低和应用范围扩大，煤炭的总需求反而实现了激增。</w:t>
      </w:r>
    </w:p>
    <w:p w14:paraId="33760FD3" w14:textId="77777777" w:rsidR="004F7E65" w:rsidRDefault="00000000">
      <w:pPr>
        <w:jc w:val="center"/>
        <w:rPr>
          <w:rFonts w:hint="eastAsia"/>
        </w:rPr>
      </w:pPr>
      <w:r>
        <w:rPr>
          <w:rFonts w:hint="eastAsia"/>
          <w:szCs w:val="22"/>
        </w:rPr>
        <w:t>图：杰文斯最优示意图</w:t>
      </w:r>
    </w:p>
    <w:p w14:paraId="5349D0E4" w14:textId="77777777" w:rsidR="004F7E65" w:rsidRDefault="00000000">
      <w:pPr>
        <w:jc w:val="center"/>
        <w:rPr>
          <w:rFonts w:hint="eastAsia"/>
        </w:rPr>
      </w:pPr>
      <w:r>
        <w:rPr>
          <w:noProof/>
        </w:rPr>
        <w:drawing>
          <wp:inline distT="0" distB="0" distL="0" distR="0" wp14:anchorId="30C1F752" wp14:editId="1C39C71A">
            <wp:extent cx="4123809" cy="3009524"/>
            <wp:effectExtent l="0" t="0" r="0" b="635"/>
            <wp:docPr id="214654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4168" name=""/>
                    <pic:cNvPicPr/>
                  </pic:nvPicPr>
                  <pic:blipFill>
                    <a:blip r:embed="rId11"/>
                    <a:stretch>
                      <a:fillRect/>
                    </a:stretch>
                  </pic:blipFill>
                  <pic:spPr>
                    <a:xfrm>
                      <a:off x="0" y="0"/>
                      <a:ext cx="4123809" cy="3009524"/>
                    </a:xfrm>
                    <a:prstGeom prst="rect">
                      <a:avLst/>
                    </a:prstGeom>
                  </pic:spPr>
                </pic:pic>
              </a:graphicData>
            </a:graphic>
          </wp:inline>
        </w:drawing>
      </w:r>
    </w:p>
    <w:p w14:paraId="51DFA05B" w14:textId="77777777" w:rsidR="004F7E65" w:rsidRDefault="00000000">
      <w:pPr>
        <w:rPr>
          <w:rFonts w:hint="eastAsia"/>
        </w:rPr>
      </w:pPr>
      <w:r>
        <w:rPr>
          <w:rFonts w:hint="eastAsia"/>
          <w:szCs w:val="22"/>
        </w:rPr>
        <w:t>以 DeepSeek 为例，其发布后算力用量大幅提升。其推动了 AI 应用真正走向普及，算力需求进入高速增长通道，也标志着大模型产业正式迈入规模化落地、普惠化应用的新阶段。</w:t>
      </w:r>
    </w:p>
    <w:p w14:paraId="0B17A19F" w14:textId="77777777" w:rsidR="004F7E65" w:rsidRDefault="00000000">
      <w:pPr>
        <w:jc w:val="center"/>
        <w:rPr>
          <w:rFonts w:hint="eastAsia"/>
        </w:rPr>
      </w:pPr>
      <w:r>
        <w:rPr>
          <w:rFonts w:hint="eastAsia"/>
          <w:szCs w:val="22"/>
        </w:rPr>
        <w:t>图：2024年以来算力变化情况一览</w:t>
      </w:r>
    </w:p>
    <w:p w14:paraId="24A00D15" w14:textId="77777777" w:rsidR="004F7E65" w:rsidRDefault="00000000">
      <w:pPr>
        <w:rPr>
          <w:rFonts w:hint="eastAsia"/>
        </w:rPr>
      </w:pPr>
      <w:r>
        <w:rPr>
          <w:noProof/>
        </w:rPr>
        <w:drawing>
          <wp:inline distT="0" distB="0" distL="0" distR="0" wp14:anchorId="6F9800C4" wp14:editId="3562549E">
            <wp:extent cx="5274310" cy="2657475"/>
            <wp:effectExtent l="0" t="0" r="2540" b="9525"/>
            <wp:docPr id="365476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6604" name=""/>
                    <pic:cNvPicPr/>
                  </pic:nvPicPr>
                  <pic:blipFill>
                    <a:blip r:embed="rId12"/>
                    <a:stretch>
                      <a:fillRect/>
                    </a:stretch>
                  </pic:blipFill>
                  <pic:spPr>
                    <a:xfrm>
                      <a:off x="0" y="0"/>
                      <a:ext cx="5274310" cy="2657475"/>
                    </a:xfrm>
                    <a:prstGeom prst="rect">
                      <a:avLst/>
                    </a:prstGeom>
                  </pic:spPr>
                </pic:pic>
              </a:graphicData>
            </a:graphic>
          </wp:inline>
        </w:drawing>
      </w:r>
    </w:p>
    <w:p w14:paraId="2B229A93" w14:textId="77777777" w:rsidR="004F7E65" w:rsidRDefault="00000000">
      <w:pPr>
        <w:rPr>
          <w:rFonts w:hint="eastAsia"/>
        </w:rPr>
      </w:pPr>
      <w:r>
        <w:rPr>
          <w:rFonts w:hint="eastAsia"/>
          <w:szCs w:val="22"/>
        </w:rPr>
        <w:t>注：不同颜色为不同大模型所占比例</w:t>
      </w:r>
    </w:p>
    <w:p w14:paraId="6990B8DD" w14:textId="77777777" w:rsidR="004F7E65" w:rsidRDefault="00000000">
      <w:pPr>
        <w:jc w:val="center"/>
        <w:rPr>
          <w:rFonts w:hint="eastAsia"/>
        </w:rPr>
      </w:pPr>
      <w:r>
        <w:rPr>
          <w:rFonts w:hint="eastAsia"/>
          <w:szCs w:val="22"/>
        </w:rPr>
        <w:t>图：近期开源模型引用一览</w:t>
      </w:r>
    </w:p>
    <w:p w14:paraId="7010F0B7" w14:textId="77777777" w:rsidR="004F7E65" w:rsidRDefault="00000000">
      <w:pPr>
        <w:rPr>
          <w:rFonts w:hint="eastAsia"/>
        </w:rPr>
      </w:pPr>
      <w:r>
        <w:rPr>
          <w:noProof/>
        </w:rPr>
        <w:lastRenderedPageBreak/>
        <w:drawing>
          <wp:inline distT="0" distB="0" distL="0" distR="0" wp14:anchorId="1854FD27" wp14:editId="0F808D26">
            <wp:extent cx="5274310" cy="4053205"/>
            <wp:effectExtent l="0" t="0" r="2540" b="4445"/>
            <wp:docPr id="157110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0773" name=""/>
                    <pic:cNvPicPr/>
                  </pic:nvPicPr>
                  <pic:blipFill>
                    <a:blip r:embed="rId13"/>
                    <a:stretch>
                      <a:fillRect/>
                    </a:stretch>
                  </pic:blipFill>
                  <pic:spPr>
                    <a:xfrm>
                      <a:off x="0" y="0"/>
                      <a:ext cx="5274310" cy="4053205"/>
                    </a:xfrm>
                    <a:prstGeom prst="rect">
                      <a:avLst/>
                    </a:prstGeom>
                  </pic:spPr>
                </pic:pic>
              </a:graphicData>
            </a:graphic>
          </wp:inline>
        </w:drawing>
      </w:r>
    </w:p>
    <w:p w14:paraId="54EF950A" w14:textId="77777777" w:rsidR="004F7E65" w:rsidRDefault="00000000">
      <w:pPr>
        <w:rPr>
          <w:rFonts w:hint="eastAsia"/>
        </w:rPr>
      </w:pPr>
      <w:r>
        <w:rPr>
          <w:rFonts w:hint="eastAsia"/>
          <w:szCs w:val="22"/>
        </w:rPr>
        <w:t>数据来源：openrouter</w:t>
      </w:r>
    </w:p>
    <w:p w14:paraId="4E29744C" w14:textId="00C09576" w:rsidR="004F7E65" w:rsidRDefault="00000000">
      <w:pPr>
        <w:rPr>
          <w:rFonts w:hint="eastAsia"/>
        </w:rPr>
      </w:pPr>
      <w:r>
        <w:rPr>
          <w:rFonts w:hint="eastAsia"/>
          <w:szCs w:val="22"/>
        </w:rPr>
        <w:t>注：moonshot，即月之暗面，kimi母公司；z-ai，即智谱。</w:t>
      </w:r>
    </w:p>
    <w:p w14:paraId="275F783A" w14:textId="77777777" w:rsidR="004F7E65" w:rsidRDefault="00000000">
      <w:pPr>
        <w:rPr>
          <w:rFonts w:hint="eastAsia"/>
        </w:rPr>
      </w:pPr>
      <w:r w:rsidRPr="0041670E">
        <w:rPr>
          <w:rFonts w:hint="eastAsia"/>
          <w:szCs w:val="22"/>
        </w:rPr>
        <w:t>同时，技术竞争焦点已从通用能力追赶转向推理能力强化、多模态融合以及Agent（智能体）等成为模型基础标配，标志着技术向“好用”和“能干实事”演进。3中美技术差距已压缩至3-6个月，中国前沿模型综合智能分数逼近海外顶级模型的87%。10</w:t>
      </w:r>
    </w:p>
    <w:p w14:paraId="14942323" w14:textId="0EE61C93" w:rsidR="004F7E65" w:rsidRDefault="00F405DF">
      <w:pPr>
        <w:pStyle w:val="1"/>
        <w:rPr>
          <w:rFonts w:hint="eastAsia"/>
        </w:rPr>
      </w:pPr>
      <w:r>
        <w:rPr>
          <w:rFonts w:hint="eastAsia"/>
        </w:rPr>
        <w:t>2</w:t>
      </w:r>
      <w:r w:rsidR="00043F4A">
        <w:rPr>
          <w:rFonts w:hint="eastAsia"/>
        </w:rPr>
        <w:t>.产业链与商业模式深度解析</w:t>
      </w:r>
    </w:p>
    <w:p w14:paraId="1214B5EE" w14:textId="1D655110" w:rsidR="004F7E65" w:rsidRDefault="00F405DF">
      <w:pPr>
        <w:pStyle w:val="2"/>
        <w:rPr>
          <w:rFonts w:hint="eastAsia"/>
        </w:rPr>
      </w:pPr>
      <w:r>
        <w:rPr>
          <w:rFonts w:hint="eastAsia"/>
        </w:rPr>
        <w:t>2.1</w:t>
      </w:r>
      <w:r w:rsidR="00000000">
        <w:rPr>
          <w:rFonts w:hint="eastAsia"/>
        </w:rPr>
        <w:t>上中下游产业链图谱</w:t>
      </w:r>
    </w:p>
    <w:p w14:paraId="3F94387D" w14:textId="77777777" w:rsidR="004F7E65" w:rsidRDefault="00000000">
      <w:pPr>
        <w:rPr>
          <w:rFonts w:hint="eastAsia"/>
        </w:rPr>
      </w:pPr>
      <w:r w:rsidRPr="00F23CFB">
        <w:rPr>
          <w:rFonts w:hint="eastAsia"/>
          <w:szCs w:val="22"/>
        </w:rPr>
        <w:t>当前，大模型产业已形成层次分明、联动紧密的产业链结构。上游是支撑产业发展的算力与数据基石，中游是决定产业高度的模型与平台核心，下游则是实现商业价值的多元化应用场景。三者共同构成了从硬件基础设施到智能应用服务的完整价值链条。</w:t>
      </w:r>
    </w:p>
    <w:p w14:paraId="3447E2C3" w14:textId="5893CFE4" w:rsidR="004F7E65" w:rsidRDefault="00F405DF">
      <w:pPr>
        <w:pStyle w:val="3"/>
        <w:rPr>
          <w:rFonts w:hint="eastAsia"/>
        </w:rPr>
      </w:pPr>
      <w:r>
        <w:rPr>
          <w:rFonts w:hint="eastAsia"/>
        </w:rPr>
        <w:t>2.1.1</w:t>
      </w:r>
      <w:r w:rsidR="00000000" w:rsidRPr="00F23CFB">
        <w:rPr>
          <w:rFonts w:hint="eastAsia"/>
        </w:rPr>
        <w:t>上游：算力与数据基石</w:t>
      </w:r>
    </w:p>
    <w:p w14:paraId="44D31407" w14:textId="77777777" w:rsidR="004F7E65" w:rsidRDefault="00000000">
      <w:pPr>
        <w:rPr>
          <w:rFonts w:hint="eastAsia"/>
        </w:rPr>
      </w:pPr>
      <w:r>
        <w:rPr>
          <w:rFonts w:hint="eastAsia"/>
          <w:szCs w:val="22"/>
        </w:rPr>
        <w:t>上游产业链是整个人工智能与大模型产业的物理和数字基础，其核心是提供模型训练与推理所必需的算力硬件、云计算服务以及高质量数据。这一层的稳定性和先进性直</w:t>
      </w:r>
      <w:r>
        <w:rPr>
          <w:rFonts w:hint="eastAsia"/>
          <w:szCs w:val="22"/>
        </w:rPr>
        <w:lastRenderedPageBreak/>
        <w:t>接决定了中游模型研发的效率和成本，是产业发展的先决条件。</w:t>
      </w:r>
    </w:p>
    <w:p w14:paraId="70B42B6E" w14:textId="3562D7D2" w:rsidR="004F7E65" w:rsidRDefault="00F405DF">
      <w:pPr>
        <w:pStyle w:val="4"/>
        <w:rPr>
          <w:rFonts w:hint="eastAsia"/>
        </w:rPr>
      </w:pPr>
      <w:r>
        <w:rPr>
          <w:rFonts w:hint="eastAsia"/>
        </w:rPr>
        <w:t>2.1.1.</w:t>
      </w:r>
      <w:r w:rsidR="00000000">
        <w:rPr>
          <w:rFonts w:hint="eastAsia"/>
        </w:rPr>
        <w:t>1 核心构成与竞争格局</w:t>
      </w:r>
    </w:p>
    <w:p w14:paraId="4AF30176" w14:textId="77777777" w:rsidR="004F7E65" w:rsidRDefault="00000000">
      <w:pPr>
        <w:rPr>
          <w:rFonts w:hint="eastAsia"/>
        </w:rPr>
      </w:pPr>
      <w:r>
        <w:rPr>
          <w:rFonts w:hint="eastAsia"/>
          <w:szCs w:val="22"/>
        </w:rPr>
        <w:t>上游产业链呈现高度技术密集和资本密集的特征，主要由以下几个关键环节构成：</w:t>
      </w:r>
    </w:p>
    <w:p w14:paraId="678BF849" w14:textId="459F2B59" w:rsidR="004F7E65" w:rsidRDefault="00000000">
      <w:pPr>
        <w:rPr>
          <w:rFonts w:hint="eastAsia"/>
        </w:rPr>
      </w:pPr>
      <w:r>
        <w:rPr>
          <w:rFonts w:hint="eastAsia"/>
          <w:szCs w:val="22"/>
        </w:rPr>
        <w:t>算力芯片与硬件：这是最核心的环节，包括GPU、AI专用芯片（ASIC）、高带宽内存（HBM）、光模块、交换设备以及液冷、电力等数据中心基础设施。</w:t>
      </w:r>
      <w:r w:rsidR="003A6B8F">
        <w:rPr>
          <w:rFonts w:hint="eastAsia"/>
          <w:szCs w:val="22"/>
        </w:rPr>
        <w:t>封装市场目前由台积电主导，</w:t>
      </w:r>
      <w:r w:rsidR="004F5379">
        <w:rPr>
          <w:rFonts w:hint="eastAsia"/>
          <w:szCs w:val="22"/>
        </w:rPr>
        <w:t>其</w:t>
      </w:r>
      <w:r w:rsidR="004F5379" w:rsidRPr="004F5379">
        <w:rPr>
          <w:szCs w:val="22"/>
        </w:rPr>
        <w:t>CoWoS（Chip on Wafer on Substrate）等2.5D/3D封装技术是HBM与GPU逻辑芯片集成的物理基础，也是当前全球AI算力供应的最刚性瓶颈之一</w:t>
      </w:r>
      <w:r w:rsidR="004F5379">
        <w:rPr>
          <w:rFonts w:hint="eastAsia"/>
          <w:szCs w:val="22"/>
        </w:rPr>
        <w:t>。</w:t>
      </w:r>
      <w:r w:rsidR="00ED3460">
        <w:rPr>
          <w:rFonts w:hint="eastAsia"/>
          <w:szCs w:val="22"/>
        </w:rPr>
        <w:t>互联领域则分为上游光电芯片和下游光模块，上游光电芯片方面，以lumentum</w:t>
      </w:r>
      <w:r w:rsidR="00A45C46">
        <w:rPr>
          <w:rFonts w:hint="eastAsia"/>
          <w:szCs w:val="22"/>
        </w:rPr>
        <w:t>，Coherent，Broadcom，住友电工，三菱电机</w:t>
      </w:r>
      <w:r w:rsidR="0032378F">
        <w:rPr>
          <w:rFonts w:hint="eastAsia"/>
          <w:szCs w:val="22"/>
        </w:rPr>
        <w:t>，Marvell</w:t>
      </w:r>
      <w:r w:rsidR="00A45C46">
        <w:rPr>
          <w:rFonts w:hint="eastAsia"/>
          <w:szCs w:val="22"/>
        </w:rPr>
        <w:t>等占据优势</w:t>
      </w:r>
      <w:r w:rsidR="00BD1B9F">
        <w:rPr>
          <w:rFonts w:hint="eastAsia"/>
          <w:szCs w:val="22"/>
        </w:rPr>
        <w:t>，高端光电芯片现严重依赖进口，低端芯片已实现国产化替代。下游光模块封装上，则以国内</w:t>
      </w:r>
      <w:r w:rsidR="009609A0">
        <w:rPr>
          <w:rFonts w:hint="eastAsia"/>
          <w:szCs w:val="22"/>
        </w:rPr>
        <w:t>新易盛，中际旭创等企业为龙头，技术突破迅速，高性能高带宽产能在2026年持续放量。</w:t>
      </w:r>
      <w:r w:rsidR="003A6B8F">
        <w:rPr>
          <w:rFonts w:hint="eastAsia"/>
          <w:szCs w:val="22"/>
        </w:rPr>
        <w:t>算力单元</w:t>
      </w:r>
      <w:r>
        <w:rPr>
          <w:rFonts w:hint="eastAsia"/>
          <w:szCs w:val="22"/>
        </w:rPr>
        <w:t>全球市场由英伟达主导，其凭借CUDA生态占据了超过80%的高性能AI芯片市场份额。国内华为昇腾、寒武纪、壁仞科技</w:t>
      </w:r>
      <w:r w:rsidR="00BC107F">
        <w:rPr>
          <w:rFonts w:hint="eastAsia"/>
          <w:szCs w:val="22"/>
        </w:rPr>
        <w:t>、摩尔线程</w:t>
      </w:r>
      <w:r>
        <w:rPr>
          <w:rFonts w:hint="eastAsia"/>
          <w:szCs w:val="22"/>
        </w:rPr>
        <w:t>等厂商正加快自研步伐，致力于构建自主可控的算力底座。</w:t>
      </w:r>
    </w:p>
    <w:p w14:paraId="7FC10259" w14:textId="1B5E06DF" w:rsidR="004F7E65" w:rsidRDefault="00000000">
      <w:pPr>
        <w:rPr>
          <w:rFonts w:hint="eastAsia"/>
        </w:rPr>
      </w:pPr>
      <w:r>
        <w:rPr>
          <w:rFonts w:hint="eastAsia"/>
          <w:szCs w:val="22"/>
        </w:rPr>
        <w:t>云计算平台：为模型训练和部署提供弹性算力服务。全球市场由AWS、Azure、谷歌云主导，合计占据超70%份额。国内阿里云、华为云、腾讯云是主要参与者，正持续加大AI算力投入，例如阿里云计划未来三年投入524亿美元扩充AI算力。</w:t>
      </w:r>
      <w:r w:rsidR="0061323D">
        <w:rPr>
          <w:rFonts w:hint="eastAsia"/>
          <w:szCs w:val="22"/>
        </w:rPr>
        <w:t>同时国家也在这一领域进行加码，</w:t>
      </w:r>
      <w:r w:rsidR="0061323D" w:rsidRPr="0061323D">
        <w:rPr>
          <w:szCs w:val="22"/>
        </w:rPr>
        <w:t>国内"东数西算"工程下的智算中心</w:t>
      </w:r>
      <w:r w:rsidR="0061323D">
        <w:rPr>
          <w:rFonts w:hint="eastAsia"/>
          <w:szCs w:val="22"/>
        </w:rPr>
        <w:t>正逐渐完成建设与投入运营，其</w:t>
      </w:r>
      <w:r w:rsidR="0061323D" w:rsidRPr="0061323D">
        <w:rPr>
          <w:szCs w:val="22"/>
        </w:rPr>
        <w:t>与传统云计算在计费模式（裸金属租赁、算力券）、网络拓扑（无损以太网/InfiniBand）和能耗密度（液冷渗透率）上差异显著。</w:t>
      </w:r>
      <w:r w:rsidR="003A6B8F">
        <w:rPr>
          <w:rFonts w:hint="eastAsia"/>
          <w:szCs w:val="22"/>
        </w:rPr>
        <w:t>在此</w:t>
      </w:r>
      <w:r w:rsidR="0061323D" w:rsidRPr="0061323D">
        <w:rPr>
          <w:szCs w:val="22"/>
        </w:rPr>
        <w:t>之外，地方国资智算平台（如各地算力集团）也是上游的重要参与者。</w:t>
      </w:r>
    </w:p>
    <w:p w14:paraId="2A841DE0" w14:textId="5918FA54" w:rsidR="004F7E65" w:rsidRDefault="00000000">
      <w:pPr>
        <w:rPr>
          <w:rFonts w:hint="eastAsia"/>
        </w:rPr>
      </w:pPr>
      <w:r>
        <w:rPr>
          <w:rFonts w:hint="eastAsia"/>
          <w:szCs w:val="22"/>
        </w:rPr>
        <w:t>数据服务：涵盖数据采集、清洗、标注及治理。高质量、大规模、多模态的数据是训练高性能模型的“燃料”。</w:t>
      </w:r>
      <w:r w:rsidR="000A0741">
        <w:rPr>
          <w:rFonts w:hint="eastAsia"/>
          <w:szCs w:val="22"/>
        </w:rPr>
        <w:t>在数据科学领域，</w:t>
      </w:r>
      <w:r>
        <w:rPr>
          <w:rFonts w:hint="eastAsia"/>
          <w:szCs w:val="22"/>
        </w:rPr>
        <w:t>数据质量直接决定模型效果，研究表明约90%的模型问题源于数据而非架构。</w:t>
      </w:r>
    </w:p>
    <w:p w14:paraId="297AD27F" w14:textId="3F16D926" w:rsidR="004F7E65" w:rsidRDefault="006C2E81">
      <w:pPr>
        <w:pStyle w:val="4"/>
        <w:rPr>
          <w:rFonts w:hint="eastAsia"/>
        </w:rPr>
      </w:pPr>
      <w:r>
        <w:rPr>
          <w:rFonts w:hint="eastAsia"/>
        </w:rPr>
        <w:t>2.1.1.</w:t>
      </w:r>
      <w:r w:rsidR="00000000">
        <w:rPr>
          <w:rFonts w:hint="eastAsia"/>
        </w:rPr>
        <w:t>2 发展趋势</w:t>
      </w:r>
    </w:p>
    <w:p w14:paraId="67EA2DD9" w14:textId="77777777" w:rsidR="004F7E65" w:rsidRDefault="00000000">
      <w:pPr>
        <w:rPr>
          <w:rFonts w:hint="eastAsia"/>
        </w:rPr>
      </w:pPr>
      <w:r>
        <w:rPr>
          <w:rFonts w:hint="eastAsia"/>
          <w:szCs w:val="22"/>
        </w:rPr>
        <w:t>上游产业正经历深刻变革，投资逻辑从单纯的“囤积算力”转向“核算单位产出成本”。</w:t>
      </w:r>
    </w:p>
    <w:p w14:paraId="1DEDC443" w14:textId="77777777" w:rsidR="004F7E65" w:rsidRDefault="00000000">
      <w:pPr>
        <w:rPr>
          <w:rFonts w:hint="eastAsia"/>
        </w:rPr>
      </w:pPr>
      <w:r>
        <w:rPr>
          <w:rFonts w:hint="eastAsia"/>
          <w:szCs w:val="22"/>
        </w:rPr>
        <w:t>需求结构转变上，随着大模型进入规模化应用阶段，推理算力需求正历史性地超越训练算力。根据行业预测，2026年推理型AI服务器在整体出货结构中的比重有望提升至44%。推理任务更关注能耗、稳定性和总拥有成本（TCO），这为在能效比上有优势的国产芯片提供了切入窗口。</w:t>
      </w:r>
    </w:p>
    <w:p w14:paraId="458EFD6E" w14:textId="77777777" w:rsidR="004F7E65" w:rsidRDefault="00000000">
      <w:pPr>
        <w:rPr>
          <w:rFonts w:hint="eastAsia"/>
        </w:rPr>
      </w:pPr>
      <w:r>
        <w:rPr>
          <w:rFonts w:hint="eastAsia"/>
          <w:szCs w:val="22"/>
        </w:rPr>
        <w:t>采购标准变化上，客户不再只追求单卡算力峰值，而是开始计算“每元投入能换取多少Token吞吐量”、“每瓦电能处理多少Token”。这种转变使得具备性价比和供应安全优势的国产算力方案吸引力增强。</w:t>
      </w:r>
    </w:p>
    <w:p w14:paraId="0880885F" w14:textId="2291CA76" w:rsidR="004F7E65" w:rsidRDefault="00000000">
      <w:pPr>
        <w:rPr>
          <w:rFonts w:hint="eastAsia"/>
        </w:rPr>
      </w:pPr>
      <w:r>
        <w:rPr>
          <w:rFonts w:hint="eastAsia"/>
          <w:szCs w:val="22"/>
        </w:rPr>
        <w:lastRenderedPageBreak/>
        <w:t>技术迭代驱动上，稀疏化、模型蒸馏、量化等模型压缩技术能有效降低训练和推理成本，缓解算力压力。同时，AI自动数据优化与标注技术也在发展，以降低数据准备阶段的人工成本。</w:t>
      </w:r>
    </w:p>
    <w:p w14:paraId="45FC633A" w14:textId="311C357C" w:rsidR="004F7E65" w:rsidRDefault="006C2E81">
      <w:pPr>
        <w:pStyle w:val="3"/>
        <w:rPr>
          <w:rFonts w:hint="eastAsia"/>
        </w:rPr>
      </w:pPr>
      <w:r>
        <w:rPr>
          <w:rFonts w:hint="eastAsia"/>
        </w:rPr>
        <w:t>2.1.2</w:t>
      </w:r>
      <w:r w:rsidR="00000000">
        <w:rPr>
          <w:rFonts w:hint="eastAsia"/>
        </w:rPr>
        <w:t>中游：模型与平台核心</w:t>
      </w:r>
    </w:p>
    <w:p w14:paraId="7E77832E" w14:textId="77777777" w:rsidR="004F7E65" w:rsidRDefault="00000000">
      <w:pPr>
        <w:rPr>
          <w:rFonts w:hint="eastAsia"/>
        </w:rPr>
      </w:pPr>
      <w:r>
        <w:rPr>
          <w:rFonts w:hint="eastAsia"/>
          <w:szCs w:val="22"/>
        </w:rPr>
        <w:t>中游产业链是大模型产业的技术中枢和价值创造核心，聚焦于基础大模型的研发、训练、优化以及将其能力标准化输出的平台服务。这一层直接决定了产业智能水平的上限和商业化拓展的广度。</w:t>
      </w:r>
    </w:p>
    <w:p w14:paraId="49F0771E" w14:textId="7FC57B37" w:rsidR="004F7E65" w:rsidRDefault="00C06109">
      <w:pPr>
        <w:pStyle w:val="4"/>
        <w:rPr>
          <w:rFonts w:hint="eastAsia"/>
        </w:rPr>
      </w:pPr>
      <w:r>
        <w:rPr>
          <w:rFonts w:hint="eastAsia"/>
        </w:rPr>
        <w:t>2.1.2.</w:t>
      </w:r>
      <w:r w:rsidR="00000000">
        <w:rPr>
          <w:rFonts w:hint="eastAsia"/>
        </w:rPr>
        <w:t>1 核心构成与竞争格局</w:t>
      </w:r>
    </w:p>
    <w:p w14:paraId="29169A08" w14:textId="37656DC4" w:rsidR="004F7E65" w:rsidRDefault="00000000">
      <w:pPr>
        <w:rPr>
          <w:rFonts w:hint="eastAsia"/>
        </w:rPr>
      </w:pPr>
      <w:r>
        <w:rPr>
          <w:rFonts w:hint="eastAsia"/>
          <w:szCs w:val="22"/>
        </w:rPr>
        <w:t>中游已形成多元化的竞争生态，参与者主要包括独立大模型厂商、互联网科技巨头以及开源社区</w:t>
      </w:r>
      <w:r w:rsidR="00CE7213">
        <w:rPr>
          <w:rFonts w:hint="eastAsia"/>
          <w:szCs w:val="22"/>
        </w:rPr>
        <w:t>，细节将在3.2参与者类型中进行讨论</w:t>
      </w:r>
      <w:r>
        <w:rPr>
          <w:rFonts w:hint="eastAsia"/>
          <w:szCs w:val="22"/>
        </w:rPr>
        <w:t>。</w:t>
      </w:r>
    </w:p>
    <w:p w14:paraId="63200078" w14:textId="22506CEC" w:rsidR="004F7E65" w:rsidRDefault="00000000">
      <w:pPr>
        <w:rPr>
          <w:rFonts w:hint="eastAsia"/>
        </w:rPr>
      </w:pPr>
      <w:r>
        <w:rPr>
          <w:rFonts w:hint="eastAsia"/>
          <w:szCs w:val="22"/>
        </w:rPr>
        <w:t>模型层（核心引擎）致力于研发通用或垂直领域的大模型。全球范围内，</w:t>
      </w:r>
      <w:r w:rsidR="007F6AB9">
        <w:rPr>
          <w:rFonts w:hint="eastAsia"/>
          <w:szCs w:val="22"/>
        </w:rPr>
        <w:t>产业整体以闭源为主。</w:t>
      </w:r>
      <w:r>
        <w:rPr>
          <w:rFonts w:hint="eastAsia"/>
          <w:szCs w:val="22"/>
        </w:rPr>
        <w:t>OpenAI、Google、Anthropic等处于闭源模型领先地位，Meta的Llama系列</w:t>
      </w:r>
      <w:r w:rsidR="007F6AB9">
        <w:rPr>
          <w:rFonts w:hint="eastAsia"/>
          <w:szCs w:val="22"/>
        </w:rPr>
        <w:t>一度</w:t>
      </w:r>
      <w:r>
        <w:rPr>
          <w:rFonts w:hint="eastAsia"/>
          <w:szCs w:val="22"/>
        </w:rPr>
        <w:t>激活开源生态</w:t>
      </w:r>
      <w:r w:rsidR="007F6AB9">
        <w:rPr>
          <w:rFonts w:hint="eastAsia"/>
          <w:szCs w:val="22"/>
        </w:rPr>
        <w:t>，但最终也转向闭源</w:t>
      </w:r>
      <w:r>
        <w:rPr>
          <w:rFonts w:hint="eastAsia"/>
          <w:szCs w:val="22"/>
        </w:rPr>
        <w:t>。中国</w:t>
      </w:r>
      <w:r w:rsidR="009C17F5">
        <w:rPr>
          <w:rFonts w:hint="eastAsia"/>
          <w:szCs w:val="22"/>
        </w:rPr>
        <w:t>也</w:t>
      </w:r>
      <w:r>
        <w:rPr>
          <w:rFonts w:hint="eastAsia"/>
          <w:szCs w:val="22"/>
        </w:rPr>
        <w:t>形成</w:t>
      </w:r>
      <w:r w:rsidR="009C17F5">
        <w:rPr>
          <w:rFonts w:hint="eastAsia"/>
          <w:szCs w:val="22"/>
        </w:rPr>
        <w:t>类似</w:t>
      </w:r>
      <w:r>
        <w:rPr>
          <w:rFonts w:hint="eastAsia"/>
          <w:szCs w:val="22"/>
        </w:rPr>
        <w:t>发展路径，</w:t>
      </w:r>
      <w:r w:rsidR="00FB78B9">
        <w:rPr>
          <w:rFonts w:hint="eastAsia"/>
          <w:szCs w:val="22"/>
        </w:rPr>
        <w:t>整体以闭源为</w:t>
      </w:r>
      <w:r w:rsidR="009C17F5">
        <w:rPr>
          <w:rFonts w:hint="eastAsia"/>
          <w:szCs w:val="22"/>
        </w:rPr>
        <w:t>主，</w:t>
      </w:r>
      <w:r w:rsidR="009C17F5">
        <w:rPr>
          <w:rFonts w:hint="eastAsia"/>
          <w:szCs w:val="22"/>
        </w:rPr>
        <w:t>开源为</w:t>
      </w:r>
      <w:r w:rsidR="009C17F5">
        <w:rPr>
          <w:rFonts w:hint="eastAsia"/>
          <w:szCs w:val="22"/>
        </w:rPr>
        <w:t>辅</w:t>
      </w:r>
      <w:r w:rsidR="009C17F5">
        <w:rPr>
          <w:rFonts w:hint="eastAsia"/>
          <w:szCs w:val="22"/>
        </w:rPr>
        <w:t>（如deepseek，qwen）</w:t>
      </w:r>
      <w:r w:rsidR="00FB78B9">
        <w:rPr>
          <w:rFonts w:hint="eastAsia"/>
          <w:szCs w:val="22"/>
        </w:rPr>
        <w:t>，</w:t>
      </w:r>
      <w:r>
        <w:rPr>
          <w:rFonts w:hint="eastAsia"/>
          <w:szCs w:val="22"/>
        </w:rPr>
        <w:t>头部厂商在文本和多模态理解与生成、深度推理等核心能力上已</w:t>
      </w:r>
      <w:r w:rsidR="00FB78B9">
        <w:rPr>
          <w:rFonts w:hint="eastAsia"/>
          <w:szCs w:val="22"/>
        </w:rPr>
        <w:t>和</w:t>
      </w:r>
      <w:r>
        <w:rPr>
          <w:rFonts w:hint="eastAsia"/>
          <w:szCs w:val="22"/>
        </w:rPr>
        <w:t>国际顶尖</w:t>
      </w:r>
      <w:r w:rsidR="00FB78B9">
        <w:rPr>
          <w:rFonts w:hint="eastAsia"/>
          <w:szCs w:val="22"/>
        </w:rPr>
        <w:t>模型拉近距离</w:t>
      </w:r>
      <w:r>
        <w:rPr>
          <w:rFonts w:hint="eastAsia"/>
          <w:szCs w:val="22"/>
        </w:rPr>
        <w:t>，形成了技术演进与场景协同并进的局面。当前，高性能模型研发已收敛至</w:t>
      </w:r>
      <w:r w:rsidR="00C27806">
        <w:rPr>
          <w:rFonts w:hint="eastAsia"/>
          <w:szCs w:val="22"/>
        </w:rPr>
        <w:t>智谱，kimi，千问等</w:t>
      </w:r>
      <w:r>
        <w:rPr>
          <w:rFonts w:hint="eastAsia"/>
          <w:szCs w:val="22"/>
        </w:rPr>
        <w:t>少数厂商，技术迭代呈现非线性跃升态势。</w:t>
      </w:r>
    </w:p>
    <w:p w14:paraId="5DBED415" w14:textId="77777777" w:rsidR="004F7E65" w:rsidRDefault="00000000">
      <w:pPr>
        <w:rPr>
          <w:szCs w:val="22"/>
        </w:rPr>
      </w:pPr>
      <w:r>
        <w:rPr>
          <w:rFonts w:hint="eastAsia"/>
          <w:szCs w:val="22"/>
        </w:rPr>
        <w:t>平台/服务层提供模型即服务（MaaS）、API接口、私有化部署工具及开发者生态。这一层降低了应用开发门槛，是连接底层模型与上层应用的关键桥梁。例如，DeepSeek，智谱，kimi，阶跃星辰，和MiniMax均通过API、订阅、私有化部署等多种形式向客户输出大模型技术服务。</w:t>
      </w:r>
    </w:p>
    <w:p w14:paraId="1DF6D399" w14:textId="21205985" w:rsidR="00F65D79" w:rsidRDefault="00F65D79" w:rsidP="00F65D79">
      <w:pPr>
        <w:jc w:val="center"/>
        <w:rPr>
          <w:rFonts w:hint="eastAsia"/>
          <w:szCs w:val="22"/>
        </w:rPr>
      </w:pPr>
      <w:r>
        <w:rPr>
          <w:rFonts w:hint="eastAsia"/>
          <w:szCs w:val="22"/>
        </w:rPr>
        <w:t>表：国内主流大模型开闭源状态一览</w:t>
      </w:r>
    </w:p>
    <w:tbl>
      <w:tblPr>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119"/>
        <w:gridCol w:w="4417"/>
      </w:tblGrid>
      <w:tr w:rsidR="00F65D79" w:rsidRPr="00E33054" w14:paraId="5D2E4AF1" w14:textId="77777777" w:rsidTr="00F65D79">
        <w:trPr>
          <w:trHeight w:val="300"/>
          <w:jc w:val="center"/>
        </w:trPr>
        <w:tc>
          <w:tcPr>
            <w:tcW w:w="1696" w:type="dxa"/>
            <w:vAlign w:val="center"/>
            <w:hideMark/>
          </w:tcPr>
          <w:p w14:paraId="3DB69F99"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厂商</w:t>
            </w:r>
          </w:p>
        </w:tc>
        <w:tc>
          <w:tcPr>
            <w:tcW w:w="3119" w:type="dxa"/>
            <w:vAlign w:val="center"/>
            <w:hideMark/>
          </w:tcPr>
          <w:p w14:paraId="221597D6"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主力商业模型（闭源）</w:t>
            </w:r>
          </w:p>
        </w:tc>
        <w:tc>
          <w:tcPr>
            <w:tcW w:w="4417" w:type="dxa"/>
            <w:vAlign w:val="center"/>
            <w:hideMark/>
          </w:tcPr>
          <w:p w14:paraId="316EB739"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开源模型系列</w:t>
            </w:r>
          </w:p>
        </w:tc>
      </w:tr>
      <w:tr w:rsidR="00F65D79" w:rsidRPr="00E33054" w14:paraId="054205F9" w14:textId="77777777" w:rsidTr="00F65D79">
        <w:trPr>
          <w:trHeight w:val="585"/>
          <w:jc w:val="center"/>
        </w:trPr>
        <w:tc>
          <w:tcPr>
            <w:tcW w:w="1696" w:type="dxa"/>
            <w:vAlign w:val="center"/>
            <w:hideMark/>
          </w:tcPr>
          <w:p w14:paraId="53FDEAB3"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DeepSeek</w:t>
            </w:r>
          </w:p>
        </w:tc>
        <w:tc>
          <w:tcPr>
            <w:tcW w:w="3119" w:type="dxa"/>
            <w:vAlign w:val="center"/>
            <w:hideMark/>
          </w:tcPr>
          <w:p w14:paraId="4F21A520"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无严格区分，API服务基于开源模型提供</w:t>
            </w:r>
          </w:p>
        </w:tc>
        <w:tc>
          <w:tcPr>
            <w:tcW w:w="4417" w:type="dxa"/>
            <w:vAlign w:val="center"/>
            <w:hideMark/>
          </w:tcPr>
          <w:p w14:paraId="58C89D22"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V3、R1、V3.2、V3.1 等全系列</w:t>
            </w:r>
          </w:p>
        </w:tc>
      </w:tr>
      <w:tr w:rsidR="00F65D79" w:rsidRPr="00E33054" w14:paraId="682D8B17" w14:textId="77777777" w:rsidTr="00F65D79">
        <w:trPr>
          <w:trHeight w:val="1155"/>
          <w:jc w:val="center"/>
        </w:trPr>
        <w:tc>
          <w:tcPr>
            <w:tcW w:w="1696" w:type="dxa"/>
            <w:vAlign w:val="center"/>
            <w:hideMark/>
          </w:tcPr>
          <w:p w14:paraId="50EBE6B1"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阿里</w:t>
            </w:r>
          </w:p>
        </w:tc>
        <w:tc>
          <w:tcPr>
            <w:tcW w:w="3119" w:type="dxa"/>
            <w:vAlign w:val="center"/>
            <w:hideMark/>
          </w:tcPr>
          <w:p w14:paraId="04FDE7DA"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通义千问-Max、Qwen3.5-Plus、Qwen3-Max</w:t>
            </w:r>
          </w:p>
        </w:tc>
        <w:tc>
          <w:tcPr>
            <w:tcW w:w="4417" w:type="dxa"/>
            <w:vAlign w:val="center"/>
            <w:hideMark/>
          </w:tcPr>
          <w:p w14:paraId="1BB4379E"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Qwen2.5 系列、Qwen3 系列（0.5B–235B）、Qwen3.5-397B、Qwen3-Coder、Qwen3-TTS</w:t>
            </w:r>
          </w:p>
        </w:tc>
      </w:tr>
      <w:tr w:rsidR="00F65D79" w:rsidRPr="00E33054" w14:paraId="3870B73D" w14:textId="77777777" w:rsidTr="00F65D79">
        <w:trPr>
          <w:trHeight w:val="870"/>
          <w:jc w:val="center"/>
        </w:trPr>
        <w:tc>
          <w:tcPr>
            <w:tcW w:w="1696" w:type="dxa"/>
            <w:vAlign w:val="center"/>
            <w:hideMark/>
          </w:tcPr>
          <w:p w14:paraId="363DE831"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字节</w:t>
            </w:r>
          </w:p>
        </w:tc>
        <w:tc>
          <w:tcPr>
            <w:tcW w:w="3119" w:type="dxa"/>
            <w:vAlign w:val="center"/>
            <w:hideMark/>
          </w:tcPr>
          <w:p w14:paraId="00017CCB"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豆包-Pro、Doubao-Seed-2.0-pro、豆包-Lite</w:t>
            </w:r>
          </w:p>
        </w:tc>
        <w:tc>
          <w:tcPr>
            <w:tcW w:w="4417" w:type="dxa"/>
            <w:vAlign w:val="center"/>
            <w:hideMark/>
          </w:tcPr>
          <w:p w14:paraId="541D14D1"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部分研究模型（如 Seed-TTS）通过 HuggingFace 开源</w:t>
            </w:r>
          </w:p>
        </w:tc>
      </w:tr>
      <w:tr w:rsidR="00F65D79" w:rsidRPr="00E33054" w14:paraId="29506F32" w14:textId="77777777" w:rsidTr="00F65D79">
        <w:trPr>
          <w:trHeight w:val="585"/>
          <w:jc w:val="center"/>
        </w:trPr>
        <w:tc>
          <w:tcPr>
            <w:tcW w:w="1696" w:type="dxa"/>
            <w:vAlign w:val="center"/>
            <w:hideMark/>
          </w:tcPr>
          <w:p w14:paraId="5732619F"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百度</w:t>
            </w:r>
          </w:p>
        </w:tc>
        <w:tc>
          <w:tcPr>
            <w:tcW w:w="3119" w:type="dxa"/>
            <w:vAlign w:val="center"/>
            <w:hideMark/>
          </w:tcPr>
          <w:p w14:paraId="42D7EF06"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文心一言 / ERNIE 4.5、ERNIE 5.0</w:t>
            </w:r>
          </w:p>
        </w:tc>
        <w:tc>
          <w:tcPr>
            <w:tcW w:w="4417" w:type="dxa"/>
            <w:vAlign w:val="center"/>
            <w:hideMark/>
          </w:tcPr>
          <w:p w14:paraId="70F97FFC"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早期部分小模型开源，主力大模型闭源</w:t>
            </w:r>
          </w:p>
        </w:tc>
      </w:tr>
      <w:tr w:rsidR="00F65D79" w:rsidRPr="00E33054" w14:paraId="25283571" w14:textId="77777777" w:rsidTr="00F65D79">
        <w:trPr>
          <w:trHeight w:val="585"/>
          <w:jc w:val="center"/>
        </w:trPr>
        <w:tc>
          <w:tcPr>
            <w:tcW w:w="1696" w:type="dxa"/>
            <w:vAlign w:val="center"/>
            <w:hideMark/>
          </w:tcPr>
          <w:p w14:paraId="0DC6A90F"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腾讯</w:t>
            </w:r>
          </w:p>
        </w:tc>
        <w:tc>
          <w:tcPr>
            <w:tcW w:w="3119" w:type="dxa"/>
            <w:vAlign w:val="center"/>
            <w:hideMark/>
          </w:tcPr>
          <w:p w14:paraId="19505A66"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混元-Pro、混元-Lite、混元-Think</w:t>
            </w:r>
          </w:p>
        </w:tc>
        <w:tc>
          <w:tcPr>
            <w:tcW w:w="4417" w:type="dxa"/>
            <w:vAlign w:val="center"/>
            <w:hideMark/>
          </w:tcPr>
          <w:p w14:paraId="3AA8CC81"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无大规模开源动作，主力模型闭源</w:t>
            </w:r>
          </w:p>
        </w:tc>
      </w:tr>
      <w:tr w:rsidR="00F65D79" w:rsidRPr="00E33054" w14:paraId="2A788B67" w14:textId="77777777" w:rsidTr="00F65D79">
        <w:trPr>
          <w:trHeight w:val="585"/>
          <w:jc w:val="center"/>
        </w:trPr>
        <w:tc>
          <w:tcPr>
            <w:tcW w:w="1696" w:type="dxa"/>
            <w:vAlign w:val="center"/>
            <w:hideMark/>
          </w:tcPr>
          <w:p w14:paraId="1296E733"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lastRenderedPageBreak/>
              <w:t>智谱</w:t>
            </w:r>
          </w:p>
        </w:tc>
        <w:tc>
          <w:tcPr>
            <w:tcW w:w="3119" w:type="dxa"/>
            <w:vAlign w:val="center"/>
            <w:hideMark/>
          </w:tcPr>
          <w:p w14:paraId="42305D61"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GLM-5、ChatGLM-6</w:t>
            </w:r>
          </w:p>
        </w:tc>
        <w:tc>
          <w:tcPr>
            <w:tcW w:w="4417" w:type="dxa"/>
            <w:vAlign w:val="center"/>
            <w:hideMark/>
          </w:tcPr>
          <w:p w14:paraId="547B2183"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GLM-4.5 系列、GLM-4-9B、GLM-Edge、QwQ-32B</w:t>
            </w:r>
          </w:p>
        </w:tc>
      </w:tr>
      <w:tr w:rsidR="00F65D79" w:rsidRPr="00E33054" w14:paraId="3B876B9D" w14:textId="77777777" w:rsidTr="00F65D79">
        <w:trPr>
          <w:trHeight w:val="585"/>
          <w:jc w:val="center"/>
        </w:trPr>
        <w:tc>
          <w:tcPr>
            <w:tcW w:w="1696" w:type="dxa"/>
            <w:vAlign w:val="center"/>
            <w:hideMark/>
          </w:tcPr>
          <w:p w14:paraId="6D88B7FF"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Kimi</w:t>
            </w:r>
          </w:p>
        </w:tc>
        <w:tc>
          <w:tcPr>
            <w:tcW w:w="3119" w:type="dxa"/>
            <w:vAlign w:val="center"/>
            <w:hideMark/>
          </w:tcPr>
          <w:p w14:paraId="310799B7"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Kimi K2（商业版）</w:t>
            </w:r>
          </w:p>
        </w:tc>
        <w:tc>
          <w:tcPr>
            <w:tcW w:w="4417" w:type="dxa"/>
            <w:vAlign w:val="center"/>
            <w:hideMark/>
          </w:tcPr>
          <w:p w14:paraId="0BA0C080"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Kimi-K2.5（2026年1月开源）</w:t>
            </w:r>
          </w:p>
        </w:tc>
      </w:tr>
      <w:tr w:rsidR="00F65D79" w:rsidRPr="00E33054" w14:paraId="64882984" w14:textId="77777777" w:rsidTr="00F65D79">
        <w:trPr>
          <w:trHeight w:val="585"/>
          <w:jc w:val="center"/>
        </w:trPr>
        <w:tc>
          <w:tcPr>
            <w:tcW w:w="1696" w:type="dxa"/>
            <w:vAlign w:val="center"/>
            <w:hideMark/>
          </w:tcPr>
          <w:p w14:paraId="55382C8B"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MiniMax</w:t>
            </w:r>
          </w:p>
        </w:tc>
        <w:tc>
          <w:tcPr>
            <w:tcW w:w="3119" w:type="dxa"/>
            <w:vAlign w:val="center"/>
            <w:hideMark/>
          </w:tcPr>
          <w:p w14:paraId="6711A769"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M2、MiniMax-Music 2.5</w:t>
            </w:r>
          </w:p>
        </w:tc>
        <w:tc>
          <w:tcPr>
            <w:tcW w:w="4417" w:type="dxa"/>
            <w:vAlign w:val="center"/>
            <w:hideMark/>
          </w:tcPr>
          <w:p w14:paraId="2B505BF6"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2025 年后部分模型开源</w:t>
            </w:r>
          </w:p>
        </w:tc>
      </w:tr>
      <w:tr w:rsidR="00F65D79" w:rsidRPr="00E33054" w14:paraId="0BCF3AE0" w14:textId="77777777" w:rsidTr="00F65D79">
        <w:trPr>
          <w:trHeight w:val="585"/>
          <w:jc w:val="center"/>
        </w:trPr>
        <w:tc>
          <w:tcPr>
            <w:tcW w:w="1696" w:type="dxa"/>
            <w:vAlign w:val="center"/>
            <w:hideMark/>
          </w:tcPr>
          <w:p w14:paraId="56AD9D45"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华为</w:t>
            </w:r>
          </w:p>
        </w:tc>
        <w:tc>
          <w:tcPr>
            <w:tcW w:w="3119" w:type="dxa"/>
            <w:vAlign w:val="center"/>
            <w:hideMark/>
          </w:tcPr>
          <w:p w14:paraId="5D77449E"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盘古-5.0</w:t>
            </w:r>
          </w:p>
        </w:tc>
        <w:tc>
          <w:tcPr>
            <w:tcW w:w="4417" w:type="dxa"/>
            <w:vAlign w:val="center"/>
            <w:hideMark/>
          </w:tcPr>
          <w:p w14:paraId="43905876"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极少开源，以闭源为主</w:t>
            </w:r>
          </w:p>
        </w:tc>
      </w:tr>
      <w:tr w:rsidR="00F65D79" w:rsidRPr="00E33054" w14:paraId="7DEFFADE" w14:textId="77777777" w:rsidTr="00F65D79">
        <w:trPr>
          <w:trHeight w:val="300"/>
          <w:jc w:val="center"/>
        </w:trPr>
        <w:tc>
          <w:tcPr>
            <w:tcW w:w="1696" w:type="dxa"/>
            <w:vAlign w:val="center"/>
            <w:hideMark/>
          </w:tcPr>
          <w:p w14:paraId="28125069"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讯飞</w:t>
            </w:r>
          </w:p>
        </w:tc>
        <w:tc>
          <w:tcPr>
            <w:tcW w:w="3119" w:type="dxa"/>
            <w:vAlign w:val="center"/>
            <w:hideMark/>
          </w:tcPr>
          <w:p w14:paraId="61A385FD"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星火-4.0</w:t>
            </w:r>
          </w:p>
        </w:tc>
        <w:tc>
          <w:tcPr>
            <w:tcW w:w="4417" w:type="dxa"/>
            <w:vAlign w:val="center"/>
            <w:hideMark/>
          </w:tcPr>
          <w:p w14:paraId="59581D71"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极少</w:t>
            </w:r>
          </w:p>
        </w:tc>
      </w:tr>
      <w:tr w:rsidR="00F65D79" w:rsidRPr="00E33054" w14:paraId="067EAF31" w14:textId="77777777" w:rsidTr="00F65D79">
        <w:trPr>
          <w:trHeight w:val="300"/>
          <w:jc w:val="center"/>
        </w:trPr>
        <w:tc>
          <w:tcPr>
            <w:tcW w:w="1696" w:type="dxa"/>
            <w:vAlign w:val="center"/>
            <w:hideMark/>
          </w:tcPr>
          <w:p w14:paraId="7A781640"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小米</w:t>
            </w:r>
          </w:p>
        </w:tc>
        <w:tc>
          <w:tcPr>
            <w:tcW w:w="3119" w:type="dxa"/>
            <w:vAlign w:val="center"/>
            <w:hideMark/>
          </w:tcPr>
          <w:p w14:paraId="6BFA7BF9"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MiMo-V2-Pro</w:t>
            </w:r>
          </w:p>
        </w:tc>
        <w:tc>
          <w:tcPr>
            <w:tcW w:w="4417" w:type="dxa"/>
            <w:vAlign w:val="center"/>
            <w:hideMark/>
          </w:tcPr>
          <w:p w14:paraId="037300DD"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MiMo-V2-Flash</w:t>
            </w:r>
          </w:p>
        </w:tc>
      </w:tr>
      <w:tr w:rsidR="00F65D79" w:rsidRPr="00E33054" w14:paraId="4D5A8FC7" w14:textId="77777777" w:rsidTr="00F65D79">
        <w:trPr>
          <w:trHeight w:val="300"/>
          <w:jc w:val="center"/>
        </w:trPr>
        <w:tc>
          <w:tcPr>
            <w:tcW w:w="1696" w:type="dxa"/>
            <w:vAlign w:val="center"/>
            <w:hideMark/>
          </w:tcPr>
          <w:p w14:paraId="45138C85"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零一万物</w:t>
            </w:r>
          </w:p>
        </w:tc>
        <w:tc>
          <w:tcPr>
            <w:tcW w:w="3119" w:type="dxa"/>
            <w:vAlign w:val="center"/>
            <w:hideMark/>
          </w:tcPr>
          <w:p w14:paraId="1A029A1E"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Yi-Large</w:t>
            </w:r>
          </w:p>
        </w:tc>
        <w:tc>
          <w:tcPr>
            <w:tcW w:w="4417" w:type="dxa"/>
            <w:vAlign w:val="center"/>
            <w:hideMark/>
          </w:tcPr>
          <w:p w14:paraId="70DF3588"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Yi-34B、Yi-1.5 系列</w:t>
            </w:r>
          </w:p>
        </w:tc>
      </w:tr>
      <w:tr w:rsidR="00F65D79" w:rsidRPr="00E33054" w14:paraId="5F79AD6B" w14:textId="77777777" w:rsidTr="00F65D79">
        <w:trPr>
          <w:trHeight w:val="585"/>
          <w:jc w:val="center"/>
        </w:trPr>
        <w:tc>
          <w:tcPr>
            <w:tcW w:w="1696" w:type="dxa"/>
            <w:vAlign w:val="center"/>
            <w:hideMark/>
          </w:tcPr>
          <w:p w14:paraId="264AB277"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百川智能</w:t>
            </w:r>
          </w:p>
        </w:tc>
        <w:tc>
          <w:tcPr>
            <w:tcW w:w="3119" w:type="dxa"/>
            <w:vAlign w:val="center"/>
            <w:hideMark/>
          </w:tcPr>
          <w:p w14:paraId="1AAD4BA9"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Baichuan 4</w:t>
            </w:r>
          </w:p>
        </w:tc>
        <w:tc>
          <w:tcPr>
            <w:tcW w:w="4417" w:type="dxa"/>
            <w:vAlign w:val="center"/>
            <w:hideMark/>
          </w:tcPr>
          <w:p w14:paraId="053C505D"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早期 Baichuan-7B/13B 开源，现转向闭源</w:t>
            </w:r>
          </w:p>
        </w:tc>
      </w:tr>
      <w:tr w:rsidR="00F65D79" w:rsidRPr="00E33054" w14:paraId="2C294D26" w14:textId="77777777" w:rsidTr="00F65D79">
        <w:trPr>
          <w:trHeight w:val="285"/>
          <w:jc w:val="center"/>
        </w:trPr>
        <w:tc>
          <w:tcPr>
            <w:tcW w:w="1696" w:type="dxa"/>
            <w:vAlign w:val="center"/>
            <w:hideMark/>
          </w:tcPr>
          <w:p w14:paraId="59FEBA49" w14:textId="77777777" w:rsidR="00F65D79" w:rsidRPr="00E33054" w:rsidRDefault="00F65D79" w:rsidP="00E33054">
            <w:pPr>
              <w:widowControl/>
              <w:spacing w:after="0" w:line="240" w:lineRule="auto"/>
              <w:rPr>
                <w:rFonts w:ascii="等线" w:eastAsia="等线" w:hAnsi="等线" w:cs="宋体"/>
                <w:b/>
                <w:bCs/>
                <w:kern w:val="0"/>
                <w:szCs w:val="22"/>
                <w14:ligatures w14:val="none"/>
              </w:rPr>
            </w:pPr>
            <w:r w:rsidRPr="00E33054">
              <w:rPr>
                <w:rFonts w:ascii="等线" w:eastAsia="等线" w:hAnsi="等线" w:cs="宋体"/>
                <w:b/>
                <w:bCs/>
                <w:kern w:val="0"/>
                <w:szCs w:val="22"/>
                <w14:ligatures w14:val="none"/>
              </w:rPr>
              <w:t>阶跃星辰</w:t>
            </w:r>
          </w:p>
        </w:tc>
        <w:tc>
          <w:tcPr>
            <w:tcW w:w="3119" w:type="dxa"/>
            <w:vAlign w:val="center"/>
            <w:hideMark/>
          </w:tcPr>
          <w:p w14:paraId="1C3D6940"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Step 系列</w:t>
            </w:r>
          </w:p>
        </w:tc>
        <w:tc>
          <w:tcPr>
            <w:tcW w:w="4417" w:type="dxa"/>
            <w:vAlign w:val="center"/>
            <w:hideMark/>
          </w:tcPr>
          <w:p w14:paraId="7AFB70D9" w14:textId="77777777" w:rsidR="00F65D79" w:rsidRPr="00E33054" w:rsidRDefault="00F65D79" w:rsidP="00E33054">
            <w:pPr>
              <w:widowControl/>
              <w:spacing w:after="0" w:line="240" w:lineRule="auto"/>
              <w:rPr>
                <w:rFonts w:ascii="等线" w:eastAsia="等线" w:hAnsi="等线" w:cs="宋体"/>
                <w:kern w:val="0"/>
                <w:szCs w:val="22"/>
                <w14:ligatures w14:val="none"/>
              </w:rPr>
            </w:pPr>
            <w:r w:rsidRPr="00E33054">
              <w:rPr>
                <w:rFonts w:ascii="等线" w:eastAsia="等线" w:hAnsi="等线" w:cs="宋体"/>
                <w:kern w:val="0"/>
                <w:szCs w:val="22"/>
                <w14:ligatures w14:val="none"/>
              </w:rPr>
              <w:t>无</w:t>
            </w:r>
          </w:p>
        </w:tc>
      </w:tr>
    </w:tbl>
    <w:p w14:paraId="4F36B81D" w14:textId="77777777" w:rsidR="00E33054" w:rsidRDefault="00E33054">
      <w:pPr>
        <w:rPr>
          <w:rFonts w:hint="eastAsia"/>
          <w:szCs w:val="22"/>
        </w:rPr>
      </w:pPr>
    </w:p>
    <w:p w14:paraId="7CDB1752" w14:textId="11C39F41" w:rsidR="004F7E65" w:rsidRDefault="00000000">
      <w:pPr>
        <w:pStyle w:val="4"/>
        <w:rPr>
          <w:rFonts w:hint="eastAsia"/>
        </w:rPr>
      </w:pPr>
      <w:r>
        <w:rPr>
          <w:rFonts w:hint="eastAsia"/>
        </w:rPr>
        <w:t>2.</w:t>
      </w:r>
      <w:r w:rsidR="00C06109">
        <w:rPr>
          <w:rFonts w:hint="eastAsia"/>
        </w:rPr>
        <w:t>1.2.2</w:t>
      </w:r>
      <w:r>
        <w:rPr>
          <w:rFonts w:hint="eastAsia"/>
        </w:rPr>
        <w:t xml:space="preserve"> 发展趋势</w:t>
      </w:r>
    </w:p>
    <w:p w14:paraId="7C1AA1FE" w14:textId="77777777" w:rsidR="004F7E65" w:rsidRDefault="00000000">
      <w:pPr>
        <w:rPr>
          <w:rFonts w:hint="eastAsia"/>
        </w:rPr>
      </w:pPr>
      <w:r>
        <w:rPr>
          <w:rFonts w:hint="eastAsia"/>
          <w:szCs w:val="22"/>
        </w:rPr>
        <w:t>中游产业正从早期的“参数竞赛”和“技术叙事”阶段，全面转向“商业化效率”与“落地能力”竞争阶段。</w:t>
      </w:r>
    </w:p>
    <w:p w14:paraId="24C57B32" w14:textId="77777777" w:rsidR="004F7E65" w:rsidRDefault="00000000">
      <w:pPr>
        <w:rPr>
          <w:rFonts w:hint="eastAsia"/>
        </w:rPr>
      </w:pPr>
      <w:r>
        <w:rPr>
          <w:rFonts w:hint="eastAsia"/>
          <w:szCs w:val="22"/>
        </w:rPr>
        <w:t>技术范式演进上，技术重点从单纯扩大参数规模，转向强化推理能力（思维链CoT）、多模态融合以及智能体（Agent）基础能力建设。多智能体协作、本地网关和cli工具操作能力、长记忆、长文本、自主任务执行等正在成为模型的底层标配。</w:t>
      </w:r>
    </w:p>
    <w:p w14:paraId="4713F29F" w14:textId="5CF5E3F7" w:rsidR="004F7E65" w:rsidRDefault="00000000">
      <w:pPr>
        <w:rPr>
          <w:rFonts w:hint="eastAsia"/>
        </w:rPr>
      </w:pPr>
      <w:r>
        <w:rPr>
          <w:rFonts w:hint="eastAsia"/>
          <w:szCs w:val="22"/>
        </w:rPr>
        <w:t>商业模式分化与探索</w:t>
      </w:r>
      <w:r w:rsidR="0054546B">
        <w:rPr>
          <w:rFonts w:hint="eastAsia"/>
          <w:szCs w:val="22"/>
        </w:rPr>
        <w:t>在国内</w:t>
      </w:r>
      <w:r>
        <w:rPr>
          <w:rFonts w:hint="eastAsia"/>
          <w:szCs w:val="22"/>
        </w:rPr>
        <w:t>主要呈现两种路径</w:t>
      </w:r>
      <w:r w:rsidR="005C7F4D">
        <w:rPr>
          <w:rFonts w:hint="eastAsia"/>
          <w:szCs w:val="22"/>
        </w:rPr>
        <w:t>，</w:t>
      </w:r>
      <w:r>
        <w:rPr>
          <w:rFonts w:hint="eastAsia"/>
          <w:szCs w:val="22"/>
        </w:rPr>
        <w:t>一是以智谱为代表的To B深度定制模式，聚焦政企信创市场，通过私有化部署和行业定制获取收入，毛利率较高（1H25达50%），但规模化难度大；二是以MiniMax为代表的To C产品化与全球化模式，收入超70%来自C端，全球化特征突出，通过标准化API和订阅服务实现快速扩张，但毛利率相对较低。</w:t>
      </w:r>
      <w:r w:rsidR="005C7F4D">
        <w:rPr>
          <w:rFonts w:hint="eastAsia"/>
          <w:szCs w:val="22"/>
        </w:rPr>
        <w:t>海外市场情况也与国内类似，以C端为提供</w:t>
      </w:r>
      <w:r w:rsidR="005C7F4D" w:rsidRPr="005C7F4D">
        <w:rPr>
          <w:szCs w:val="22"/>
        </w:rPr>
        <w:t>稳定、可预测的现金流，支撑研发开支；B端API和企业服务则承担打开行业渗透率、建立生态壁垒的战略任务。OpenAI和Anthropic都遵循这一逻辑</w:t>
      </w:r>
      <w:r w:rsidR="005C7F4D">
        <w:rPr>
          <w:rFonts w:hint="eastAsia"/>
          <w:szCs w:val="22"/>
        </w:rPr>
        <w:t>，这一点从2026年初，OpenAI和Anthropic对于美国国防部订单，和Anthropic深度嵌入各大金融机构合作版图一事</w:t>
      </w:r>
      <w:r w:rsidR="00EF2F07">
        <w:rPr>
          <w:rFonts w:hint="eastAsia"/>
          <w:szCs w:val="22"/>
        </w:rPr>
        <w:t>就可见一斑。</w:t>
      </w:r>
      <w:commentRangeStart w:id="0"/>
      <w:commentRangeEnd w:id="0"/>
      <w:r w:rsidR="006E3EE6">
        <w:rPr>
          <w:rStyle w:val="af7"/>
          <w:rFonts w:hint="eastAsia"/>
          <w:sz w:val="22"/>
          <w:szCs w:val="24"/>
        </w:rPr>
        <w:commentReference w:id="0"/>
      </w:r>
    </w:p>
    <w:p w14:paraId="01A84767" w14:textId="75365BE0" w:rsidR="004F7E65" w:rsidRDefault="00EF2F07">
      <w:pPr>
        <w:rPr>
          <w:rFonts w:hint="eastAsia"/>
        </w:rPr>
      </w:pPr>
      <w:r>
        <w:rPr>
          <w:rFonts w:hint="eastAsia"/>
          <w:szCs w:val="22"/>
        </w:rPr>
        <w:t>盈利能力和可持续性逐渐成为投资的焦点，</w:t>
      </w:r>
      <w:r w:rsidR="00000000">
        <w:rPr>
          <w:rFonts w:hint="eastAsia"/>
          <w:szCs w:val="22"/>
        </w:rPr>
        <w:t>资本市场关注点已转向收入质量、毛利率改善及清晰的盈利拐点预期。尽管行业仍普遍亏损，但头部公司已展示出强劲的收入增长。例如，MiniMax的年度经常性收入（ARR）在2026年2月已超过1.5亿美元，标志着从“烧钱投入期”向“价值兑现期”的过渡。</w:t>
      </w:r>
    </w:p>
    <w:p w14:paraId="2FC7EF78" w14:textId="77777777" w:rsidR="004F7E65" w:rsidRDefault="004F7E65">
      <w:pPr>
        <w:rPr>
          <w:rFonts w:hint="eastAsia"/>
        </w:rPr>
      </w:pPr>
    </w:p>
    <w:p w14:paraId="243A9927" w14:textId="3D7086A0" w:rsidR="004F7E65" w:rsidRDefault="00C06109">
      <w:pPr>
        <w:pStyle w:val="3"/>
        <w:rPr>
          <w:rFonts w:hint="eastAsia"/>
        </w:rPr>
      </w:pPr>
      <w:r>
        <w:rPr>
          <w:rFonts w:hint="eastAsia"/>
        </w:rPr>
        <w:lastRenderedPageBreak/>
        <w:t xml:space="preserve">2.1.3 </w:t>
      </w:r>
      <w:r w:rsidR="00000000">
        <w:rPr>
          <w:rFonts w:hint="eastAsia"/>
        </w:rPr>
        <w:t>下游：应用与产品落地</w:t>
      </w:r>
    </w:p>
    <w:p w14:paraId="771221E1" w14:textId="5C861A13" w:rsidR="004F7E65" w:rsidRDefault="00C06109">
      <w:pPr>
        <w:pStyle w:val="4"/>
        <w:rPr>
          <w:rFonts w:hint="eastAsia"/>
        </w:rPr>
      </w:pPr>
      <w:r>
        <w:rPr>
          <w:rFonts w:hint="eastAsia"/>
        </w:rPr>
        <w:t>2.1.3.</w:t>
      </w:r>
      <w:r w:rsidR="00000000">
        <w:rPr>
          <w:rFonts w:hint="eastAsia"/>
        </w:rPr>
        <w:t>1 核心构成</w:t>
      </w:r>
    </w:p>
    <w:p w14:paraId="0DAA997C" w14:textId="77777777" w:rsidR="004F7E65" w:rsidRDefault="00000000">
      <w:pPr>
        <w:rPr>
          <w:szCs w:val="22"/>
        </w:rPr>
      </w:pPr>
      <w:r>
        <w:rPr>
          <w:rFonts w:hint="eastAsia"/>
          <w:szCs w:val="22"/>
        </w:rPr>
        <w:t>大模型应用正以前所未有的速度向各行业渗透，形成从通用工具到行业专有解决方案的矩阵。</w:t>
      </w:r>
    </w:p>
    <w:p w14:paraId="43453448" w14:textId="5BB77FBB" w:rsidR="00DE1C29" w:rsidRDefault="00DE1C29" w:rsidP="00DE1C29">
      <w:pPr>
        <w:jc w:val="center"/>
        <w:rPr>
          <w:rFonts w:hint="eastAsia"/>
          <w:szCs w:val="22"/>
        </w:rPr>
      </w:pPr>
      <w:r>
        <w:rPr>
          <w:rFonts w:hint="eastAsia"/>
          <w:szCs w:val="22"/>
        </w:rPr>
        <w:t>图：AI下游应用百景</w:t>
      </w:r>
    </w:p>
    <w:p w14:paraId="536011B1" w14:textId="0BC0419C" w:rsidR="007D73ED" w:rsidRDefault="007D73ED">
      <w:r>
        <w:rPr>
          <w:noProof/>
        </w:rPr>
        <w:drawing>
          <wp:inline distT="0" distB="0" distL="0" distR="0" wp14:anchorId="69A1A468" wp14:editId="442AB700">
            <wp:extent cx="5274310" cy="2519680"/>
            <wp:effectExtent l="0" t="0" r="2540" b="0"/>
            <wp:docPr id="76209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4381" name=""/>
                    <pic:cNvPicPr/>
                  </pic:nvPicPr>
                  <pic:blipFill>
                    <a:blip r:embed="rId18"/>
                    <a:stretch>
                      <a:fillRect/>
                    </a:stretch>
                  </pic:blipFill>
                  <pic:spPr>
                    <a:xfrm>
                      <a:off x="0" y="0"/>
                      <a:ext cx="5274310" cy="2519680"/>
                    </a:xfrm>
                    <a:prstGeom prst="rect">
                      <a:avLst/>
                    </a:prstGeom>
                  </pic:spPr>
                </pic:pic>
              </a:graphicData>
            </a:graphic>
          </wp:inline>
        </w:drawing>
      </w:r>
    </w:p>
    <w:p w14:paraId="6BDB4E7F" w14:textId="29AC179B" w:rsidR="007D73ED" w:rsidRDefault="007D73ED">
      <w:pPr>
        <w:rPr>
          <w:rFonts w:hint="eastAsia"/>
        </w:rPr>
      </w:pPr>
      <w:r>
        <w:rPr>
          <w:rFonts w:hint="eastAsia"/>
        </w:rPr>
        <w:t>来源：中欧商学院</w:t>
      </w:r>
    </w:p>
    <w:p w14:paraId="64CED2BB" w14:textId="45690281" w:rsidR="004F7E65" w:rsidRDefault="00000000">
      <w:pPr>
        <w:rPr>
          <w:rFonts w:hint="eastAsia"/>
        </w:rPr>
      </w:pPr>
      <w:r>
        <w:rPr>
          <w:rFonts w:hint="eastAsia"/>
          <w:szCs w:val="22"/>
        </w:rPr>
        <w:t>To B（企业服务）场景：这是当前商业化落地最稳健、确定性最强的领域。金融、政务、医疗、制造、电商等行业是主力军。应用包括智能客服、代码辅助开发、智能营销、办公自动化、辅助诊断、生产流程优化等。这些场景</w:t>
      </w:r>
      <w:r w:rsidR="00DE1C29">
        <w:rPr>
          <w:rFonts w:hint="eastAsia"/>
          <w:szCs w:val="22"/>
        </w:rPr>
        <w:t>相对确定性高，客户</w:t>
      </w:r>
      <w:r>
        <w:rPr>
          <w:rFonts w:hint="eastAsia"/>
          <w:szCs w:val="22"/>
        </w:rPr>
        <w:t>付费意愿强，能够承接算力成本。</w:t>
      </w:r>
    </w:p>
    <w:p w14:paraId="6D7741F9" w14:textId="77777777" w:rsidR="004F7E65" w:rsidRDefault="00000000">
      <w:pPr>
        <w:rPr>
          <w:rFonts w:hint="eastAsia"/>
        </w:rPr>
      </w:pPr>
      <w:r>
        <w:rPr>
          <w:rFonts w:hint="eastAsia"/>
          <w:szCs w:val="22"/>
        </w:rPr>
        <w:t>To C（消费者）场景：包括AI聊天助手（如豆包、文心一言）、AIGC内容生成工具（文生图、视频生成）、AI社交、个人学习助理等。该模式想象空间大，但受巨头流量把控影响，独立厂商在国内的生存空间被压缩，出海机会更大。</w:t>
      </w:r>
    </w:p>
    <w:p w14:paraId="132AD8D5" w14:textId="77777777" w:rsidR="004F7E65" w:rsidRDefault="00000000">
      <w:pPr>
        <w:rPr>
          <w:rFonts w:hint="eastAsia"/>
        </w:rPr>
      </w:pPr>
      <w:r>
        <w:rPr>
          <w:rFonts w:hint="eastAsia"/>
          <w:szCs w:val="22"/>
        </w:rPr>
        <w:t>AI智能体（Agent）：这是下游应用演进的重要方向。智能体不再是简单的问答机器人，而是能理解复杂指令、自主规划、调用工具完成任务的“数字员工”。其应用将Token消耗量提升了一个数量级，极大地拉动了中游模型调用和上游推理算力需求。例如，开源项目OpenClaw（“龙虾”）的流行，直接带动了国产大模型调用量的激增。</w:t>
      </w:r>
    </w:p>
    <w:p w14:paraId="6DCD2217" w14:textId="77777777" w:rsidR="004F7E65" w:rsidRDefault="00000000">
      <w:pPr>
        <w:rPr>
          <w:rFonts w:hint="eastAsia"/>
        </w:rPr>
      </w:pPr>
      <w:r>
        <w:rPr>
          <w:rFonts w:hint="eastAsia"/>
          <w:szCs w:val="22"/>
        </w:rPr>
        <w:t>端侧AI：随着模型轻量化技术的发展，大模型正部署到手机、汽车、IoT设备等终端，实现低延迟、高隐私的本地化智能服务，开辟了新的市场空间。</w:t>
      </w:r>
    </w:p>
    <w:p w14:paraId="71A1CDD4" w14:textId="18C139F0" w:rsidR="004F7E65" w:rsidRDefault="00C06109">
      <w:pPr>
        <w:pStyle w:val="4"/>
        <w:rPr>
          <w:rFonts w:hint="eastAsia"/>
        </w:rPr>
      </w:pPr>
      <w:r>
        <w:rPr>
          <w:rFonts w:hint="eastAsia"/>
        </w:rPr>
        <w:t>2.1.3.</w:t>
      </w:r>
      <w:r w:rsidR="00000000">
        <w:rPr>
          <w:rFonts w:hint="eastAsia"/>
        </w:rPr>
        <w:t>2 发展趋势</w:t>
      </w:r>
    </w:p>
    <w:p w14:paraId="6762396C" w14:textId="77777777" w:rsidR="004F7E65" w:rsidRDefault="00000000">
      <w:pPr>
        <w:rPr>
          <w:rFonts w:hint="eastAsia"/>
        </w:rPr>
      </w:pPr>
      <w:r>
        <w:rPr>
          <w:rFonts w:hint="eastAsia"/>
          <w:szCs w:val="22"/>
        </w:rPr>
        <w:t>下游应用的发展正深刻改变整个产业链的价值分配和增长逻辑。</w:t>
      </w:r>
    </w:p>
    <w:p w14:paraId="1F0E8F9C" w14:textId="17E160CF" w:rsidR="004F7E65" w:rsidRDefault="00000000">
      <w:pPr>
        <w:rPr>
          <w:rFonts w:hint="eastAsia"/>
        </w:rPr>
      </w:pPr>
      <w:r>
        <w:rPr>
          <w:rFonts w:hint="eastAsia"/>
          <w:szCs w:val="22"/>
        </w:rPr>
        <w:lastRenderedPageBreak/>
        <w:t>应用模式变革驱动需求暴涨：从"问答式"交互到"</w:t>
      </w:r>
      <w:r w:rsidR="00F637A7">
        <w:rPr>
          <w:rFonts w:hint="eastAsia"/>
          <w:szCs w:val="22"/>
        </w:rPr>
        <w:t>Agent</w:t>
      </w:r>
      <w:r>
        <w:rPr>
          <w:rFonts w:hint="eastAsia"/>
          <w:szCs w:val="22"/>
        </w:rPr>
        <w:t>"持续执行任务的模式转变，使得单次会话的Token消耗呈几何级数增长。这是推动2026年3月国产大模型周调用量突破 12.96 万亿Token、达到美国市场（3.03万亿）的 4.28 倍的核心原因。“应用成功反哺全产业链”逻辑验证：一个成功的下游应用（如“龙虾”智能体）会像多米诺骨牌一样，强力拉动中游模型调用和上游算力需求，验证了“应用-模型-算力”的产业增长飞轮。</w:t>
      </w:r>
    </w:p>
    <w:p w14:paraId="7B8D3E9F" w14:textId="2B44B8DA" w:rsidR="004F7E65" w:rsidRDefault="001C0665" w:rsidP="001C0665">
      <w:pPr>
        <w:pStyle w:val="2"/>
        <w:rPr>
          <w:sz w:val="32"/>
          <w:szCs w:val="36"/>
        </w:rPr>
      </w:pPr>
      <w:r>
        <w:rPr>
          <w:rFonts w:hint="eastAsia"/>
          <w:sz w:val="32"/>
          <w:szCs w:val="36"/>
        </w:rPr>
        <w:t xml:space="preserve">2.2 </w:t>
      </w:r>
      <w:r w:rsidR="00000000" w:rsidRPr="00E77E17">
        <w:rPr>
          <w:rFonts w:hint="eastAsia"/>
          <w:sz w:val="32"/>
          <w:szCs w:val="36"/>
        </w:rPr>
        <w:t>商业</w:t>
      </w:r>
      <w:r w:rsidR="00D85A4D">
        <w:rPr>
          <w:rFonts w:hint="eastAsia"/>
          <w:sz w:val="32"/>
          <w:szCs w:val="36"/>
        </w:rPr>
        <w:t>化情况</w:t>
      </w:r>
    </w:p>
    <w:p w14:paraId="7E235E43" w14:textId="54DAE328" w:rsidR="00387C17" w:rsidRDefault="00387C17" w:rsidP="00387C17">
      <w:pPr>
        <w:pStyle w:val="3"/>
        <w:rPr>
          <w:rFonts w:hint="eastAsia"/>
        </w:rPr>
      </w:pPr>
      <w:r>
        <w:rPr>
          <w:rFonts w:hint="eastAsia"/>
        </w:rPr>
        <w:t xml:space="preserve">2.2.1 </w:t>
      </w:r>
      <w:r>
        <w:rPr>
          <w:rFonts w:hint="eastAsia"/>
        </w:rPr>
        <w:t>服务模式</w:t>
      </w:r>
    </w:p>
    <w:p w14:paraId="2DE42501" w14:textId="77777777" w:rsidR="00387C17" w:rsidRDefault="00387C17" w:rsidP="00387C17">
      <w:pPr>
        <w:rPr>
          <w:rFonts w:hint="eastAsia"/>
        </w:rPr>
      </w:pPr>
      <w:r w:rsidRPr="00201B38">
        <w:rPr>
          <w:rFonts w:hint="eastAsia"/>
          <w:szCs w:val="22"/>
        </w:rPr>
        <w:t>大模型的部署形态是其商业化落地的核心环节，直接决定了服务模式、成本结构、客户覆盖与收入增长曲线。当前，企业级市场已形成以云端部署和本地化部署为主流的两种形态，两者并非简单替代，而是针对不同客户需求、安全等级与成本考量下的互补性选择。随着模型能力提升与市场教育深化，部署形态正呈现动态演进趋势。</w:t>
      </w:r>
    </w:p>
    <w:p w14:paraId="246C6A29" w14:textId="77777777" w:rsidR="00387C17" w:rsidRDefault="00387C17" w:rsidP="00387C17">
      <w:pPr>
        <w:rPr>
          <w:rFonts w:hint="eastAsia"/>
        </w:rPr>
      </w:pPr>
      <w:r w:rsidRPr="004B23DD">
        <w:rPr>
          <w:rFonts w:hint="eastAsia"/>
          <w:szCs w:val="22"/>
        </w:rPr>
        <w:t>从市场规模结构看，本地化部署目前占据主导地位。</w:t>
      </w:r>
    </w:p>
    <w:p w14:paraId="6E3175B7" w14:textId="77777777" w:rsidR="00387C17" w:rsidRDefault="00387C17" w:rsidP="00387C17">
      <w:pPr>
        <w:rPr>
          <w:rFonts w:hint="eastAsia"/>
        </w:rPr>
      </w:pPr>
      <w:r>
        <w:rPr>
          <w:rFonts w:hint="eastAsia"/>
          <w:szCs w:val="22"/>
        </w:rPr>
        <w:t>本地部署分为两种，一种是物理性本地部署，这类部署一般布设在企业或组织所属的物理机房内，此类机房由一系列为AI存算规划而特殊定制的算力机柜组成，物理部署涉及四类核心模块：算力处理单元（GPU/TPU）、调度与系统平台（CPU+OS主机）、数据存储单元、机柜间高速通讯单元（光模块及光电转化设施）。物理部署的设备成本根据大模型的参数规模和复杂度而定，大模型的参数越高，并发吞吐量越大，算法结构越复杂，物理部署设备的要求就越高。在前超节点时代，一个单机柜的成本可能在数百万到一千万之间不等。而在即将到来的超节点时代中，一个紧耦合的单机柜的成本极有可能超过数千万甚至过亿。因此一般而言，只有财力雄厚的大型企业和组织才会选择进行物理本地部署</w:t>
      </w:r>
    </w:p>
    <w:p w14:paraId="7A7DF0FA" w14:textId="77777777" w:rsidR="00387C17" w:rsidRDefault="00387C17" w:rsidP="00387C17">
      <w:pPr>
        <w:rPr>
          <w:rFonts w:hint="eastAsia"/>
        </w:rPr>
      </w:pPr>
      <w:r w:rsidRPr="00963E1A">
        <w:rPr>
          <w:rFonts w:hint="eastAsia"/>
          <w:szCs w:val="22"/>
        </w:rPr>
        <w:t>与物理性本地部署相对的是云端私有化部署。这类部署通常向云厂商租赁GPU云服务器或裸金属实例，由客户（或模型厂商代为）将模型部署在租用的云资源上。云资源在底层仍是算力厂商自有物理机房的硬件设备，只是经虚拟化封装后，以网络服务的形态交付给客户使用，客户通过网络访问的"云实例"，在底层仍对应着物理机房中具体的机柜、服务器与加速卡。相比自建机房，云端部署无需一次性采购硬件，初始投入低、上线周期短，可根据业务负载弹性调整算力规模，但长期运行的综合成本通常比物理性本地部署更高。</w:t>
      </w:r>
    </w:p>
    <w:p w14:paraId="4C929EA1" w14:textId="77777777" w:rsidR="00387C17" w:rsidRDefault="00387C17" w:rsidP="00387C17">
      <w:pPr>
        <w:rPr>
          <w:rFonts w:hint="eastAsia"/>
        </w:rPr>
      </w:pPr>
      <w:r w:rsidRPr="00ED7D24">
        <w:rPr>
          <w:rFonts w:hint="eastAsia"/>
          <w:szCs w:val="22"/>
        </w:rPr>
        <w:t>除上述两种本地部署外，第三种模式是公有云API服务（亦称MaaS，模型即服务）。在这种模式下，大模型完全托管于模型厂商或云厂商的算力集群中，客户无需租赁或采购任何算力设备，也无需接触模型权重文件，仅通过标准化API接口调用模型的推理能力。服务以Token消耗量或月度订阅额度计费，客户按实际调用量付费。这种模式的本质是智能服务的消费而非资产的持有，初始门槛最低、弹性最高，但模型能力</w:t>
      </w:r>
      <w:r w:rsidRPr="00ED7D24">
        <w:rPr>
          <w:rFonts w:hint="eastAsia"/>
          <w:szCs w:val="22"/>
        </w:rPr>
        <w:lastRenderedPageBreak/>
        <w:t>边界、数据隐私策略及定价权完全由服务提供商掌控。</w:t>
      </w:r>
    </w:p>
    <w:p w14:paraId="2FDC716A" w14:textId="77777777" w:rsidR="00387C17" w:rsidRDefault="00387C17" w:rsidP="00387C17">
      <w:pPr>
        <w:rPr>
          <w:rFonts w:hint="eastAsia"/>
        </w:rPr>
      </w:pPr>
      <w:r w:rsidRPr="004B23DD">
        <w:rPr>
          <w:rFonts w:hint="eastAsia"/>
          <w:szCs w:val="22"/>
        </w:rPr>
        <w:t>根据Frost &amp; Sullivan的数据，2024年中国企业级大语言模型市场规模为47亿元，其中本地化部署占比高达81%，公有云API服务仅占19%。这深刻反映了国内企业客户，尤其是金融、政务、大型央国企等领域，对数据主权、隐私保护和系统稳定性的极致要求。这些客户通常客单价高，合同金额可达百万甚至千万级别，且客户粘性强。</w:t>
      </w:r>
    </w:p>
    <w:p w14:paraId="36F7AAB4" w14:textId="77777777" w:rsidR="00387C17" w:rsidRDefault="00387C17" w:rsidP="00387C17">
      <w:pPr>
        <w:rPr>
          <w:rFonts w:hint="eastAsia"/>
        </w:rPr>
      </w:pPr>
      <w:r w:rsidRPr="004B23DD">
        <w:rPr>
          <w:rFonts w:hint="eastAsia"/>
          <w:szCs w:val="22"/>
        </w:rPr>
        <w:t>但，公有云API服务正展现出更强的增长潜力。以行业领先的智谱公司为例，其2024年收入中本地化与云端部署占比分别为84%和16%，本地化仍是主力。但公司预计，随着模型能力提升和客户付费习惯转化，公有云API服务收入增速将持续超越本地化。其核心增长驱动力来自于标准化的MaaSAPI调用。公司模型日均Token消耗量从2024年底至2025年6月半年内增长23倍达到4.6万亿，预计2025年底已超6万亿。Token消耗量的指数级增长直接支撑了API收入的扩张，预计至2026年初其API相关年度经常性收入（ARR）已接近6亿元，较去年同期实现数十倍增长。这预示着标准化、规模化的云端服务正成为下一阶段收入高增的引擎。</w:t>
      </w:r>
      <w:commentRangeStart w:id="1"/>
      <w:commentRangeEnd w:id="1"/>
      <w:r>
        <w:rPr>
          <w:rStyle w:val="af7"/>
          <w:rFonts w:hint="eastAsia"/>
          <w:sz w:val="22"/>
          <w:szCs w:val="24"/>
        </w:rPr>
        <w:commentReference w:id="1"/>
      </w:r>
    </w:p>
    <w:p w14:paraId="514C7B4F" w14:textId="77777777" w:rsidR="00387C17" w:rsidRPr="00387C17" w:rsidRDefault="00387C17" w:rsidP="00387C17">
      <w:pPr>
        <w:rPr>
          <w:rFonts w:hint="eastAsia"/>
        </w:rPr>
      </w:pPr>
    </w:p>
    <w:p w14:paraId="35F198AC" w14:textId="33F707F2" w:rsidR="00D85A4D" w:rsidRPr="00D85A4D" w:rsidRDefault="00D85A4D" w:rsidP="00D85A4D">
      <w:pPr>
        <w:pStyle w:val="3"/>
        <w:rPr>
          <w:rFonts w:hint="eastAsia"/>
        </w:rPr>
      </w:pPr>
      <w:r>
        <w:rPr>
          <w:rFonts w:hint="eastAsia"/>
        </w:rPr>
        <w:t>2.2.1 商业</w:t>
      </w:r>
      <w:r w:rsidR="00387C17">
        <w:rPr>
          <w:rFonts w:hint="eastAsia"/>
        </w:rPr>
        <w:t>模式</w:t>
      </w:r>
    </w:p>
    <w:p w14:paraId="74A86546" w14:textId="5634907F" w:rsidR="004F7E65" w:rsidRDefault="00000000">
      <w:pPr>
        <w:rPr>
          <w:rFonts w:hint="eastAsia"/>
        </w:rPr>
      </w:pPr>
      <w:r>
        <w:rPr>
          <w:rFonts w:hint="eastAsia"/>
          <w:szCs w:val="22"/>
        </w:rPr>
        <w:t>大模型商业化目前</w:t>
      </w:r>
      <w:r w:rsidR="00EE4919">
        <w:rPr>
          <w:rFonts w:hint="eastAsia"/>
          <w:szCs w:val="22"/>
        </w:rPr>
        <w:t>的</w:t>
      </w:r>
      <w:r>
        <w:rPr>
          <w:rFonts w:hint="eastAsia"/>
          <w:szCs w:val="22"/>
        </w:rPr>
        <w:t>三条清晰路径：API调用（MaaS）、订阅制（SaaS）和私有化部署（On-Premise），各自面向不同客群和使用场景。</w:t>
      </w:r>
    </w:p>
    <w:p w14:paraId="7B423705" w14:textId="56B0683E" w:rsidR="004F7E65" w:rsidRDefault="00000000">
      <w:pPr>
        <w:rPr>
          <w:rFonts w:hint="eastAsia"/>
        </w:rPr>
      </w:pPr>
      <w:r>
        <w:rPr>
          <w:rFonts w:hint="eastAsia"/>
          <w:szCs w:val="22"/>
        </w:rPr>
        <w:t>API调用是最核心的变现方式，按token计费，input/output分别定价。</w:t>
      </w:r>
      <w:r w:rsidR="001C0665">
        <w:rPr>
          <w:rFonts w:hint="eastAsia"/>
          <w:szCs w:val="22"/>
        </w:rPr>
        <w:t>通常</w:t>
      </w:r>
      <w:r>
        <w:rPr>
          <w:rFonts w:hint="eastAsia"/>
          <w:szCs w:val="22"/>
        </w:rPr>
        <w:t>input价格为output的三分之一到十数分之一。客户包括开发者、企业应用集成商和SaaS厂商。2024年Enterprise LLM市场中，云端部署占比约49%，API调用是其中的主导形式。各厂商通过持续降价扩大采用规模：OpenAI GPT-4 Turbo在2023年末定价$10/$30（/前为输入价格，后为输出价格，下同）每百万token，而2026年GPT-5.4已降至$2.50/$15 每百万token。Epoch AI研究显示，同等性能水平的推理价格以每年约5-10倍的速度下降。</w:t>
      </w:r>
    </w:p>
    <w:tbl>
      <w:tblPr>
        <w:tblStyle w:val="af2"/>
        <w:tblW w:w="0" w:type="auto"/>
        <w:tblLook w:val="04A0" w:firstRow="1" w:lastRow="0" w:firstColumn="1" w:lastColumn="0" w:noHBand="0" w:noVBand="1"/>
      </w:tblPr>
      <w:tblGrid>
        <w:gridCol w:w="2369"/>
        <w:gridCol w:w="2241"/>
        <w:gridCol w:w="1824"/>
        <w:gridCol w:w="1862"/>
      </w:tblGrid>
      <w:tr w:rsidR="004F7E65" w14:paraId="1EA68614" w14:textId="77777777">
        <w:trPr>
          <w:trHeight w:val="300"/>
        </w:trPr>
        <w:tc>
          <w:tcPr>
            <w:tcW w:w="2369" w:type="dxa"/>
            <w:hideMark/>
          </w:tcPr>
          <w:p w14:paraId="3645C01D" w14:textId="77777777" w:rsidR="004F7E65" w:rsidRDefault="00000000">
            <w:pPr>
              <w:spacing w:after="160" w:line="278" w:lineRule="auto"/>
              <w:rPr>
                <w:rFonts w:hint="eastAsia"/>
                <w:b/>
                <w:bCs/>
              </w:rPr>
            </w:pPr>
            <w:r w:rsidRPr="00B4783E">
              <w:rPr>
                <w:rFonts w:hint="eastAsia"/>
                <w:b/>
                <w:szCs w:val="22"/>
              </w:rPr>
              <w:t>数据来源</w:t>
            </w:r>
          </w:p>
        </w:tc>
        <w:tc>
          <w:tcPr>
            <w:tcW w:w="2241" w:type="dxa"/>
            <w:hideMark/>
          </w:tcPr>
          <w:p w14:paraId="2CE7F7C5" w14:textId="77777777" w:rsidR="004F7E65" w:rsidRDefault="00000000">
            <w:pPr>
              <w:spacing w:after="160" w:line="278" w:lineRule="auto"/>
              <w:rPr>
                <w:rFonts w:hint="eastAsia"/>
                <w:b/>
                <w:bCs/>
              </w:rPr>
            </w:pPr>
            <w:r w:rsidRPr="00B4783E">
              <w:rPr>
                <w:rFonts w:hint="eastAsia"/>
                <w:b/>
                <w:szCs w:val="22"/>
              </w:rPr>
              <w:t>时间窗口</w:t>
            </w:r>
          </w:p>
        </w:tc>
        <w:tc>
          <w:tcPr>
            <w:tcW w:w="1824" w:type="dxa"/>
            <w:hideMark/>
          </w:tcPr>
          <w:p w14:paraId="5A19153C" w14:textId="77777777" w:rsidR="004F7E65" w:rsidRDefault="00000000">
            <w:pPr>
              <w:spacing w:after="160" w:line="278" w:lineRule="auto"/>
              <w:rPr>
                <w:rFonts w:hint="eastAsia"/>
                <w:b/>
                <w:bCs/>
              </w:rPr>
            </w:pPr>
            <w:r w:rsidRPr="00B4783E">
              <w:rPr>
                <w:rFonts w:hint="eastAsia"/>
                <w:b/>
                <w:szCs w:val="22"/>
              </w:rPr>
              <w:t>降幅</w:t>
            </w:r>
          </w:p>
        </w:tc>
        <w:tc>
          <w:tcPr>
            <w:tcW w:w="1862" w:type="dxa"/>
            <w:hideMark/>
          </w:tcPr>
          <w:p w14:paraId="0F508261" w14:textId="77777777" w:rsidR="004F7E65" w:rsidRDefault="00000000">
            <w:pPr>
              <w:spacing w:after="160" w:line="278" w:lineRule="auto"/>
              <w:rPr>
                <w:rFonts w:hint="eastAsia"/>
                <w:b/>
                <w:bCs/>
              </w:rPr>
            </w:pPr>
            <w:r w:rsidRPr="00B4783E">
              <w:rPr>
                <w:rFonts w:hint="eastAsia"/>
                <w:b/>
                <w:szCs w:val="22"/>
              </w:rPr>
              <w:t>备注</w:t>
            </w:r>
          </w:p>
        </w:tc>
      </w:tr>
      <w:tr w:rsidR="004F7E65" w14:paraId="7A78A805" w14:textId="77777777">
        <w:trPr>
          <w:trHeight w:val="585"/>
        </w:trPr>
        <w:tc>
          <w:tcPr>
            <w:tcW w:w="2369" w:type="dxa"/>
            <w:hideMark/>
          </w:tcPr>
          <w:p w14:paraId="757261A3" w14:textId="77777777" w:rsidR="004F7E65" w:rsidRDefault="00000000">
            <w:pPr>
              <w:spacing w:after="160" w:line="278" w:lineRule="auto"/>
              <w:rPr>
                <w:rFonts w:hint="eastAsia"/>
                <w:b/>
                <w:bCs/>
              </w:rPr>
            </w:pPr>
            <w:r w:rsidRPr="00B4783E">
              <w:rPr>
                <w:rFonts w:hint="eastAsia"/>
                <w:b/>
                <w:szCs w:val="22"/>
              </w:rPr>
              <w:t>Epoch AI / arXiv 论文</w:t>
            </w:r>
          </w:p>
        </w:tc>
        <w:tc>
          <w:tcPr>
            <w:tcW w:w="2241" w:type="dxa"/>
            <w:hideMark/>
          </w:tcPr>
          <w:p w14:paraId="4018A925" w14:textId="0BA072D9" w:rsidR="004F7E65" w:rsidRDefault="00000000">
            <w:pPr>
              <w:spacing w:after="160" w:line="278" w:lineRule="auto"/>
              <w:rPr>
                <w:rFonts w:hint="eastAsia"/>
              </w:rPr>
            </w:pPr>
            <w:r w:rsidRPr="00B4783E">
              <w:rPr>
                <w:rFonts w:hint="eastAsia"/>
                <w:szCs w:val="22"/>
              </w:rPr>
              <w:t>2024–2025</w:t>
            </w:r>
            <w:r w:rsidR="00F818CD">
              <w:rPr>
                <w:rFonts w:hint="eastAsia"/>
                <w:szCs w:val="22"/>
              </w:rPr>
              <w:t xml:space="preserve"> 中低端模型</w:t>
            </w:r>
          </w:p>
        </w:tc>
        <w:tc>
          <w:tcPr>
            <w:tcW w:w="1824" w:type="dxa"/>
            <w:hideMark/>
          </w:tcPr>
          <w:p w14:paraId="0D1DBEE5" w14:textId="77777777" w:rsidR="004F7E65" w:rsidRDefault="00000000">
            <w:pPr>
              <w:spacing w:after="160" w:line="278" w:lineRule="auto"/>
              <w:rPr>
                <w:rFonts w:hint="eastAsia"/>
                <w:b/>
                <w:bCs/>
              </w:rPr>
            </w:pPr>
            <w:r w:rsidRPr="00B4783E">
              <w:rPr>
                <w:rFonts w:hint="eastAsia"/>
                <w:b/>
                <w:szCs w:val="22"/>
              </w:rPr>
              <w:t>5-10倍/年</w:t>
            </w:r>
          </w:p>
        </w:tc>
        <w:tc>
          <w:tcPr>
            <w:tcW w:w="1862" w:type="dxa"/>
            <w:hideMark/>
          </w:tcPr>
          <w:p w14:paraId="4931117C" w14:textId="77777777" w:rsidR="004F7E65" w:rsidRDefault="00000000">
            <w:pPr>
              <w:spacing w:after="160" w:line="278" w:lineRule="auto"/>
              <w:rPr>
                <w:rFonts w:hint="eastAsia"/>
              </w:rPr>
            </w:pPr>
            <w:r w:rsidRPr="00B4783E">
              <w:rPr>
                <w:rFonts w:hint="eastAsia"/>
                <w:szCs w:val="22"/>
              </w:rPr>
              <w:t>控制性能水平后的回归估计 </w:t>
            </w:r>
          </w:p>
        </w:tc>
      </w:tr>
      <w:tr w:rsidR="004F7E65" w14:paraId="3CF1C94C" w14:textId="77777777">
        <w:trPr>
          <w:trHeight w:val="585"/>
        </w:trPr>
        <w:tc>
          <w:tcPr>
            <w:tcW w:w="2369" w:type="dxa"/>
            <w:hideMark/>
          </w:tcPr>
          <w:p w14:paraId="01D2D031" w14:textId="77777777" w:rsidR="004F7E65" w:rsidRDefault="00000000">
            <w:pPr>
              <w:spacing w:after="160" w:line="278" w:lineRule="auto"/>
              <w:rPr>
                <w:rFonts w:hint="eastAsia"/>
              </w:rPr>
            </w:pPr>
            <w:r w:rsidRPr="00B4783E">
              <w:rPr>
                <w:rFonts w:hint="eastAsia"/>
                <w:b/>
                <w:szCs w:val="22"/>
              </w:rPr>
              <w:t>Epoch AI / arXiv 论文</w:t>
            </w:r>
          </w:p>
        </w:tc>
        <w:tc>
          <w:tcPr>
            <w:tcW w:w="2241" w:type="dxa"/>
            <w:hideMark/>
          </w:tcPr>
          <w:p w14:paraId="0F898B65" w14:textId="7C8FD9AE" w:rsidR="004F7E65" w:rsidRDefault="00F818CD">
            <w:pPr>
              <w:spacing w:after="160" w:line="278" w:lineRule="auto"/>
              <w:rPr>
                <w:rFonts w:hint="eastAsia"/>
              </w:rPr>
            </w:pPr>
            <w:r w:rsidRPr="00B4783E">
              <w:rPr>
                <w:rFonts w:hint="eastAsia"/>
                <w:szCs w:val="22"/>
              </w:rPr>
              <w:t>2024–2025</w:t>
            </w:r>
            <w:r w:rsidR="00000000" w:rsidRPr="00B4783E">
              <w:rPr>
                <w:rFonts w:hint="eastAsia"/>
                <w:szCs w:val="22"/>
              </w:rPr>
              <w:t>高端模型</w:t>
            </w:r>
          </w:p>
        </w:tc>
        <w:tc>
          <w:tcPr>
            <w:tcW w:w="1824" w:type="dxa"/>
            <w:hideMark/>
          </w:tcPr>
          <w:p w14:paraId="2AB55FE3" w14:textId="77777777" w:rsidR="004F7E65" w:rsidRDefault="00000000">
            <w:pPr>
              <w:spacing w:after="160" w:line="278" w:lineRule="auto"/>
              <w:rPr>
                <w:rFonts w:hint="eastAsia"/>
                <w:b/>
                <w:bCs/>
              </w:rPr>
            </w:pPr>
            <w:r w:rsidRPr="00B4783E">
              <w:rPr>
                <w:rFonts w:hint="eastAsia"/>
                <w:b/>
                <w:szCs w:val="22"/>
              </w:rPr>
              <w:t>~32倍/年</w:t>
            </w:r>
          </w:p>
        </w:tc>
        <w:tc>
          <w:tcPr>
            <w:tcW w:w="1862" w:type="dxa"/>
            <w:hideMark/>
          </w:tcPr>
          <w:p w14:paraId="0B2C48CE" w14:textId="77777777" w:rsidR="004F7E65" w:rsidRDefault="00000000">
            <w:pPr>
              <w:spacing w:after="160" w:line="278" w:lineRule="auto"/>
              <w:rPr>
                <w:rFonts w:hint="eastAsia"/>
              </w:rPr>
            </w:pPr>
            <w:r w:rsidRPr="00B4783E">
              <w:rPr>
                <w:rFonts w:hint="eastAsia"/>
                <w:szCs w:val="22"/>
              </w:rPr>
              <w:t>前沿能力模型降幅更大 </w:t>
            </w:r>
          </w:p>
        </w:tc>
      </w:tr>
      <w:tr w:rsidR="004F7E65" w14:paraId="503C765B" w14:textId="77777777">
        <w:trPr>
          <w:trHeight w:val="300"/>
        </w:trPr>
        <w:tc>
          <w:tcPr>
            <w:tcW w:w="2369" w:type="dxa"/>
            <w:hideMark/>
          </w:tcPr>
          <w:p w14:paraId="22C446DF" w14:textId="77777777" w:rsidR="004F7E65" w:rsidRDefault="00000000">
            <w:pPr>
              <w:spacing w:after="160" w:line="278" w:lineRule="auto"/>
              <w:rPr>
                <w:rFonts w:hint="eastAsia"/>
                <w:b/>
                <w:bCs/>
              </w:rPr>
            </w:pPr>
            <w:r>
              <w:rPr>
                <w:rFonts w:hint="eastAsia"/>
                <w:b/>
                <w:szCs w:val="22"/>
              </w:rPr>
              <w:t>A16z Infrastructure</w:t>
            </w:r>
          </w:p>
        </w:tc>
        <w:tc>
          <w:tcPr>
            <w:tcW w:w="2241" w:type="dxa"/>
            <w:hideMark/>
          </w:tcPr>
          <w:p w14:paraId="5EDF9FD1" w14:textId="77777777" w:rsidR="004F7E65" w:rsidRDefault="00000000">
            <w:pPr>
              <w:spacing w:after="160" w:line="278" w:lineRule="auto"/>
              <w:rPr>
                <w:rFonts w:hint="eastAsia"/>
              </w:rPr>
            </w:pPr>
            <w:r w:rsidRPr="00B4783E">
              <w:rPr>
                <w:rFonts w:hint="eastAsia"/>
                <w:szCs w:val="22"/>
              </w:rPr>
              <w:t>长期趋势</w:t>
            </w:r>
          </w:p>
        </w:tc>
        <w:tc>
          <w:tcPr>
            <w:tcW w:w="1824" w:type="dxa"/>
            <w:hideMark/>
          </w:tcPr>
          <w:p w14:paraId="440307B7" w14:textId="77777777" w:rsidR="004F7E65" w:rsidRDefault="00000000">
            <w:pPr>
              <w:spacing w:after="160" w:line="278" w:lineRule="auto"/>
              <w:rPr>
                <w:rFonts w:hint="eastAsia"/>
                <w:b/>
                <w:bCs/>
              </w:rPr>
            </w:pPr>
            <w:r w:rsidRPr="00B4783E">
              <w:rPr>
                <w:rFonts w:hint="eastAsia"/>
                <w:b/>
                <w:szCs w:val="22"/>
              </w:rPr>
              <w:t>~10倍/年</w:t>
            </w:r>
          </w:p>
        </w:tc>
        <w:tc>
          <w:tcPr>
            <w:tcW w:w="1862" w:type="dxa"/>
            <w:hideMark/>
          </w:tcPr>
          <w:p w14:paraId="434BDBCF" w14:textId="77777777" w:rsidR="004F7E65" w:rsidRDefault="00000000">
            <w:pPr>
              <w:spacing w:after="160" w:line="278" w:lineRule="auto"/>
              <w:rPr>
                <w:rFonts w:hint="eastAsia"/>
              </w:rPr>
            </w:pPr>
            <w:r w:rsidRPr="00B4783E">
              <w:rPr>
                <w:rFonts w:hint="eastAsia"/>
                <w:szCs w:val="22"/>
              </w:rPr>
              <w:t>指数下降曲线 </w:t>
            </w:r>
          </w:p>
        </w:tc>
      </w:tr>
      <w:tr w:rsidR="004F7E65" w14:paraId="3F402EE1" w14:textId="77777777">
        <w:trPr>
          <w:trHeight w:val="585"/>
        </w:trPr>
        <w:tc>
          <w:tcPr>
            <w:tcW w:w="2369" w:type="dxa"/>
            <w:hideMark/>
          </w:tcPr>
          <w:p w14:paraId="3A9558F3" w14:textId="77777777" w:rsidR="004F7E65" w:rsidRDefault="00000000">
            <w:pPr>
              <w:spacing w:after="160" w:line="278" w:lineRule="auto"/>
              <w:rPr>
                <w:rFonts w:hint="eastAsia"/>
                <w:b/>
                <w:bCs/>
              </w:rPr>
            </w:pPr>
            <w:r w:rsidRPr="00B4783E">
              <w:rPr>
                <w:rFonts w:hint="eastAsia"/>
                <w:b/>
                <w:szCs w:val="22"/>
              </w:rPr>
              <w:t>Stanford HAI / 李飞飞实验室</w:t>
            </w:r>
          </w:p>
        </w:tc>
        <w:tc>
          <w:tcPr>
            <w:tcW w:w="2241" w:type="dxa"/>
            <w:hideMark/>
          </w:tcPr>
          <w:p w14:paraId="0E823E98" w14:textId="77777777" w:rsidR="004F7E65" w:rsidRDefault="00000000">
            <w:pPr>
              <w:spacing w:after="160" w:line="278" w:lineRule="auto"/>
              <w:rPr>
                <w:rFonts w:hint="eastAsia"/>
              </w:rPr>
            </w:pPr>
            <w:r w:rsidRPr="00B4783E">
              <w:rPr>
                <w:rFonts w:hint="eastAsia"/>
                <w:szCs w:val="22"/>
              </w:rPr>
              <w:t>2022.11–2024.10</w:t>
            </w:r>
          </w:p>
        </w:tc>
        <w:tc>
          <w:tcPr>
            <w:tcW w:w="1824" w:type="dxa"/>
            <w:hideMark/>
          </w:tcPr>
          <w:p w14:paraId="35A7F84E" w14:textId="77777777" w:rsidR="004F7E65" w:rsidRDefault="00000000">
            <w:pPr>
              <w:spacing w:after="160" w:line="278" w:lineRule="auto"/>
              <w:rPr>
                <w:rFonts w:hint="eastAsia"/>
                <w:b/>
                <w:bCs/>
              </w:rPr>
            </w:pPr>
            <w:r w:rsidRPr="00B4783E">
              <w:rPr>
                <w:rFonts w:hint="eastAsia"/>
                <w:b/>
                <w:szCs w:val="22"/>
              </w:rPr>
              <w:t>280倍（22个月）</w:t>
            </w:r>
          </w:p>
        </w:tc>
        <w:tc>
          <w:tcPr>
            <w:tcW w:w="1862" w:type="dxa"/>
            <w:hideMark/>
          </w:tcPr>
          <w:p w14:paraId="07ED8CD3" w14:textId="77777777" w:rsidR="004F7E65" w:rsidRDefault="00000000">
            <w:pPr>
              <w:spacing w:after="160" w:line="278" w:lineRule="auto"/>
              <w:rPr>
                <w:rFonts w:hint="eastAsia"/>
                <w:u w:val="single"/>
              </w:rPr>
            </w:pPr>
            <w:hyperlink r:id="rId19" w:tgtFrame="_blank" w:history="1">
              <w:r w:rsidRPr="00B4783E">
                <w:rPr>
                  <w:rStyle w:val="af3"/>
                  <w:rFonts w:hint="eastAsia"/>
                </w:rPr>
                <w:t>GPT-3.5等效性能 </w:t>
              </w:r>
            </w:hyperlink>
          </w:p>
        </w:tc>
      </w:tr>
      <w:tr w:rsidR="004F7E65" w14:paraId="1D13829F" w14:textId="77777777">
        <w:trPr>
          <w:trHeight w:val="285"/>
        </w:trPr>
        <w:tc>
          <w:tcPr>
            <w:tcW w:w="2369" w:type="dxa"/>
            <w:hideMark/>
          </w:tcPr>
          <w:p w14:paraId="1C53385F" w14:textId="77777777" w:rsidR="004F7E65" w:rsidRDefault="00000000">
            <w:pPr>
              <w:spacing w:after="160" w:line="278" w:lineRule="auto"/>
              <w:rPr>
                <w:rFonts w:hint="eastAsia"/>
                <w:b/>
                <w:bCs/>
              </w:rPr>
            </w:pPr>
            <w:r w:rsidRPr="00B4783E">
              <w:rPr>
                <w:rFonts w:hint="eastAsia"/>
                <w:b/>
                <w:szCs w:val="22"/>
              </w:rPr>
              <w:lastRenderedPageBreak/>
              <w:t>李彦宏 / 百度</w:t>
            </w:r>
          </w:p>
        </w:tc>
        <w:tc>
          <w:tcPr>
            <w:tcW w:w="2241" w:type="dxa"/>
            <w:hideMark/>
          </w:tcPr>
          <w:p w14:paraId="3FA644B1" w14:textId="77777777" w:rsidR="004F7E65" w:rsidRDefault="00000000">
            <w:pPr>
              <w:spacing w:after="160" w:line="278" w:lineRule="auto"/>
              <w:rPr>
                <w:rFonts w:hint="eastAsia"/>
              </w:rPr>
            </w:pPr>
            <w:r w:rsidRPr="00B4783E">
              <w:rPr>
                <w:rFonts w:hint="eastAsia"/>
                <w:szCs w:val="22"/>
              </w:rPr>
              <w:t>近期趋势</w:t>
            </w:r>
          </w:p>
        </w:tc>
        <w:tc>
          <w:tcPr>
            <w:tcW w:w="1824" w:type="dxa"/>
            <w:hideMark/>
          </w:tcPr>
          <w:p w14:paraId="68A60C45" w14:textId="77777777" w:rsidR="004F7E65" w:rsidRDefault="00000000">
            <w:pPr>
              <w:spacing w:after="160" w:line="278" w:lineRule="auto"/>
              <w:rPr>
                <w:rFonts w:hint="eastAsia"/>
                <w:b/>
                <w:bCs/>
              </w:rPr>
            </w:pPr>
            <w:r w:rsidRPr="00B4783E">
              <w:rPr>
                <w:rFonts w:hint="eastAsia"/>
                <w:b/>
                <w:szCs w:val="22"/>
              </w:rPr>
              <w:t>90%/年</w:t>
            </w:r>
          </w:p>
        </w:tc>
        <w:tc>
          <w:tcPr>
            <w:tcW w:w="1862" w:type="dxa"/>
            <w:hideMark/>
          </w:tcPr>
          <w:p w14:paraId="4531A854" w14:textId="77777777" w:rsidR="004F7E65" w:rsidRDefault="00000000">
            <w:pPr>
              <w:spacing w:after="160" w:line="278" w:lineRule="auto"/>
              <w:rPr>
                <w:rFonts w:hint="eastAsia"/>
              </w:rPr>
            </w:pPr>
            <w:r w:rsidRPr="00B4783E">
              <w:rPr>
                <w:rFonts w:hint="eastAsia"/>
                <w:szCs w:val="22"/>
              </w:rPr>
              <w:t>即每年约10倍 </w:t>
            </w:r>
          </w:p>
        </w:tc>
      </w:tr>
    </w:tbl>
    <w:p w14:paraId="1086DB04" w14:textId="77777777" w:rsidR="004F7E65" w:rsidRDefault="00000000">
      <w:pPr>
        <w:rPr>
          <w:rFonts w:hint="eastAsia"/>
        </w:rPr>
      </w:pPr>
      <w:r>
        <w:rPr>
          <w:rFonts w:hint="eastAsia"/>
          <w:szCs w:val="22"/>
        </w:rPr>
        <w:t>对使用者而言，token的价格下降并不会让总账单上AI的花销更低。Gartner 在2026年3月的报告中警告 ：虽然 token 成本到2030年将下降90%以上，但企业不会感到省钱——因为 Agent、多模态、长上下文等前沿应用每次任务消耗的 token 量是早期聊天机器人的几十倍。</w:t>
      </w:r>
    </w:p>
    <w:p w14:paraId="208CE659" w14:textId="03087B39" w:rsidR="004F7E65" w:rsidRDefault="00000000">
      <w:pPr>
        <w:rPr>
          <w:rFonts w:hint="eastAsia"/>
        </w:rPr>
      </w:pPr>
      <w:r>
        <w:rPr>
          <w:rFonts w:hint="eastAsia"/>
          <w:szCs w:val="22"/>
        </w:rPr>
        <w:t>订阅制面向终端用户和企业办公场景。OpenAI的ChatGPT Plus（$20/月）、Pro（$200/月</w:t>
      </w:r>
      <w:r w:rsidR="0070608D">
        <w:rPr>
          <w:rFonts w:hint="eastAsia"/>
          <w:szCs w:val="22"/>
        </w:rPr>
        <w:t xml:space="preserve"> 由于算力紧张，于2026年4月已经取消</w:t>
      </w:r>
      <w:r>
        <w:rPr>
          <w:rFonts w:hint="eastAsia"/>
          <w:szCs w:val="22"/>
        </w:rPr>
        <w:t>）和Team（$25/人/月）是最成熟的订阅体系，截至2025年7月拥有约3,500万付费订阅用户，付费转化率约5%。Google Gemini Advanced（$20/月）整合在Google One AI Premium中，截至2025年6月Gemini月活用户达4.5亿。</w:t>
      </w:r>
    </w:p>
    <w:p w14:paraId="586D9928" w14:textId="77777777" w:rsidR="004F7E65" w:rsidRDefault="00000000">
      <w:pPr>
        <w:rPr>
          <w:rFonts w:hint="eastAsia"/>
        </w:rPr>
      </w:pPr>
      <w:r>
        <w:rPr>
          <w:rFonts w:hint="eastAsia"/>
          <w:szCs w:val="22"/>
        </w:rPr>
        <w:t>私有化部署主要面向金融、政府、医疗等对数据安全有强要求的行业。根据Forrester和IDC报告，PET（隐私增强技术）市场在2024年达$15.5亿，其中同态加密占31.2%[AInvest, 2026]。企业选择私有化部署的核心驱动包括：数据合规（GDPR、中国《生成式AI管理办法》等）、数据主权诉求和低延迟需求。国内厂商在私有化部署方面具备先天优势，百度智能云、阿里云均提供大模型私有化版本。</w:t>
      </w:r>
    </w:p>
    <w:p w14:paraId="7F996F8A" w14:textId="77777777" w:rsidR="004F7E65" w:rsidRDefault="00000000">
      <w:pPr>
        <w:rPr>
          <w:rFonts w:hint="eastAsia"/>
        </w:rPr>
      </w:pPr>
      <w:r>
        <w:rPr>
          <w:rFonts w:hint="eastAsia"/>
          <w:szCs w:val="22"/>
        </w:rPr>
        <w:t>三条路径并非互斥：头部厂商通常”API + 订阅 + 私有化”三线并行，并通过生态合作伙伴（如Anthropic与AWS Bedrock、Google Cloud Vertex AI的合作）扩大分发渠道。</w:t>
      </w:r>
    </w:p>
    <w:p w14:paraId="3C59036F" w14:textId="77777777" w:rsidR="004F7E65" w:rsidRDefault="00000000">
      <w:pPr>
        <w:jc w:val="center"/>
        <w:rPr>
          <w:rFonts w:hint="eastAsia"/>
        </w:rPr>
      </w:pPr>
      <w:r>
        <w:rPr>
          <w:rFonts w:hint="eastAsia"/>
          <w:szCs w:val="22"/>
        </w:rPr>
        <w:t>表：B端主要商业模式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4F7E65" w14:paraId="59F350E0" w14:textId="77777777">
        <w:trPr>
          <w:trHeight w:val="270"/>
        </w:trPr>
        <w:tc>
          <w:tcPr>
            <w:tcW w:w="1560" w:type="dxa"/>
            <w:hideMark/>
          </w:tcPr>
          <w:p w14:paraId="3DE58E5E" w14:textId="77777777" w:rsidR="004F7E65" w:rsidRDefault="00000000">
            <w:pPr>
              <w:rPr>
                <w:rFonts w:hint="eastAsia"/>
                <w:b/>
                <w:bCs/>
              </w:rPr>
            </w:pPr>
            <w:r w:rsidRPr="00C7160C">
              <w:rPr>
                <w:rFonts w:hint="eastAsia"/>
                <w:b/>
                <w:szCs w:val="22"/>
              </w:rPr>
              <w:t>模式</w:t>
            </w:r>
          </w:p>
        </w:tc>
        <w:tc>
          <w:tcPr>
            <w:tcW w:w="1985" w:type="dxa"/>
            <w:hideMark/>
          </w:tcPr>
          <w:p w14:paraId="2A938C35" w14:textId="77777777" w:rsidR="004F7E65" w:rsidRDefault="00000000">
            <w:pPr>
              <w:rPr>
                <w:rFonts w:hint="eastAsia"/>
                <w:b/>
                <w:bCs/>
              </w:rPr>
            </w:pPr>
            <w:r w:rsidRPr="00C7160C">
              <w:rPr>
                <w:rFonts w:hint="eastAsia"/>
                <w:b/>
                <w:szCs w:val="22"/>
              </w:rPr>
              <w:t>说明</w:t>
            </w:r>
          </w:p>
        </w:tc>
        <w:tc>
          <w:tcPr>
            <w:tcW w:w="1984" w:type="dxa"/>
            <w:hideMark/>
          </w:tcPr>
          <w:p w14:paraId="7976A1D8" w14:textId="77777777" w:rsidR="004F7E65" w:rsidRDefault="00000000">
            <w:pPr>
              <w:rPr>
                <w:rFonts w:hint="eastAsia"/>
                <w:b/>
                <w:bCs/>
              </w:rPr>
            </w:pPr>
            <w:r w:rsidRPr="00C7160C">
              <w:rPr>
                <w:rFonts w:hint="eastAsia"/>
                <w:b/>
                <w:szCs w:val="22"/>
              </w:rPr>
              <w:t>收费方式</w:t>
            </w:r>
          </w:p>
        </w:tc>
        <w:tc>
          <w:tcPr>
            <w:tcW w:w="2126" w:type="dxa"/>
            <w:hideMark/>
          </w:tcPr>
          <w:p w14:paraId="572BDE71" w14:textId="77777777" w:rsidR="004F7E65" w:rsidRDefault="00000000">
            <w:pPr>
              <w:rPr>
                <w:rFonts w:hint="eastAsia"/>
                <w:b/>
                <w:bCs/>
              </w:rPr>
            </w:pPr>
            <w:r w:rsidRPr="00C7160C">
              <w:rPr>
                <w:rFonts w:hint="eastAsia"/>
                <w:b/>
                <w:szCs w:val="22"/>
              </w:rPr>
              <w:t>代表玩家</w:t>
            </w:r>
          </w:p>
        </w:tc>
        <w:tc>
          <w:tcPr>
            <w:tcW w:w="2268" w:type="dxa"/>
            <w:hideMark/>
          </w:tcPr>
          <w:p w14:paraId="4901825F" w14:textId="77777777" w:rsidR="004F7E65" w:rsidRDefault="00000000">
            <w:pPr>
              <w:rPr>
                <w:rFonts w:hint="eastAsia"/>
                <w:b/>
                <w:bCs/>
              </w:rPr>
            </w:pPr>
            <w:r w:rsidRPr="00C7160C">
              <w:rPr>
                <w:rFonts w:hint="eastAsia"/>
                <w:b/>
                <w:szCs w:val="22"/>
              </w:rPr>
              <w:t>盈利现状</w:t>
            </w:r>
          </w:p>
        </w:tc>
      </w:tr>
      <w:tr w:rsidR="004F7E65" w14:paraId="7A32421D" w14:textId="77777777">
        <w:trPr>
          <w:trHeight w:val="1200"/>
        </w:trPr>
        <w:tc>
          <w:tcPr>
            <w:tcW w:w="1560" w:type="dxa"/>
            <w:hideMark/>
          </w:tcPr>
          <w:p w14:paraId="66727D76" w14:textId="77777777" w:rsidR="004F7E65" w:rsidRDefault="00000000">
            <w:pPr>
              <w:rPr>
                <w:rFonts w:hint="eastAsia"/>
              </w:rPr>
            </w:pPr>
            <w:r w:rsidRPr="00C7160C">
              <w:rPr>
                <w:rFonts w:hint="eastAsia"/>
                <w:szCs w:val="22"/>
              </w:rPr>
              <w:t>MaaS（模型即服务）</w:t>
            </w:r>
          </w:p>
        </w:tc>
        <w:tc>
          <w:tcPr>
            <w:tcW w:w="1985" w:type="dxa"/>
            <w:hideMark/>
          </w:tcPr>
          <w:p w14:paraId="5143FAC6" w14:textId="77777777" w:rsidR="004F7E65" w:rsidRDefault="00000000">
            <w:pPr>
              <w:rPr>
                <w:rFonts w:hint="eastAsia"/>
              </w:rPr>
            </w:pPr>
            <w:r w:rsidRPr="00C7160C">
              <w:rPr>
                <w:rFonts w:hint="eastAsia"/>
                <w:szCs w:val="22"/>
              </w:rPr>
              <w:t>通过API提供大模型能力，企业按需调用</w:t>
            </w:r>
            <w:r w:rsidRPr="00C7160C">
              <w:rPr>
                <w:rFonts w:hint="eastAsia"/>
              </w:rPr>
              <w:br/>
            </w:r>
            <w:r w:rsidRPr="00C7160C">
              <w:rPr>
                <w:rFonts w:hint="eastAsia"/>
                <w:szCs w:val="22"/>
              </w:rPr>
              <w:t>降低开发门槛，一站式模型聚合+开发+维护</w:t>
            </w:r>
          </w:p>
        </w:tc>
        <w:tc>
          <w:tcPr>
            <w:tcW w:w="1984" w:type="dxa"/>
            <w:hideMark/>
          </w:tcPr>
          <w:p w14:paraId="37F84EC7" w14:textId="371B795D" w:rsidR="004F7E65" w:rsidRDefault="00000000">
            <w:pPr>
              <w:rPr>
                <w:rFonts w:hint="eastAsia"/>
              </w:rPr>
            </w:pPr>
            <w:r w:rsidRPr="00C7160C">
              <w:rPr>
                <w:rFonts w:hint="eastAsia"/>
                <w:szCs w:val="22"/>
              </w:rPr>
              <w:t>按Token消耗量计费</w:t>
            </w:r>
            <w:r w:rsidRPr="00C7160C">
              <w:rPr>
                <w:rFonts w:hint="eastAsia"/>
              </w:rPr>
              <w:br/>
            </w:r>
            <w:r w:rsidRPr="00C7160C">
              <w:rPr>
                <w:rFonts w:hint="eastAsia"/>
                <w:szCs w:val="22"/>
              </w:rPr>
              <w:t>少量按内容量（文本/图像/音频）收费</w:t>
            </w:r>
            <w:r w:rsidRPr="00C7160C">
              <w:rPr>
                <w:rFonts w:hint="eastAsia"/>
              </w:rPr>
              <w:br/>
            </w:r>
            <w:r w:rsidRPr="00C7160C">
              <w:rPr>
                <w:rFonts w:hint="eastAsia"/>
                <w:szCs w:val="22"/>
              </w:rPr>
              <w:t>分层定价（基础版免费→</w:t>
            </w:r>
            <w:r w:rsidR="00F47F2E">
              <w:rPr>
                <w:rFonts w:hint="eastAsia"/>
                <w:szCs w:val="22"/>
              </w:rPr>
              <w:t>会员/</w:t>
            </w:r>
            <w:r w:rsidRPr="00C7160C">
              <w:rPr>
                <w:rFonts w:hint="eastAsia"/>
                <w:szCs w:val="22"/>
              </w:rPr>
              <w:t>企业版付费）</w:t>
            </w:r>
          </w:p>
        </w:tc>
        <w:tc>
          <w:tcPr>
            <w:tcW w:w="2126" w:type="dxa"/>
            <w:hideMark/>
          </w:tcPr>
          <w:p w14:paraId="4BF301C2" w14:textId="050FCA1D" w:rsidR="004F7E65" w:rsidRDefault="00FE11C3">
            <w:pPr>
              <w:rPr>
                <w:rFonts w:hint="eastAsia"/>
              </w:rPr>
            </w:pPr>
            <w:r>
              <w:rPr>
                <w:rFonts w:hint="eastAsia"/>
                <w:szCs w:val="22"/>
              </w:rPr>
              <w:t>Minimax</w:t>
            </w:r>
            <w:r w:rsidR="00000000" w:rsidRPr="00C7160C">
              <w:rPr>
                <w:rFonts w:hint="eastAsia"/>
              </w:rPr>
              <w:br/>
            </w:r>
            <w:r w:rsidR="00000000" w:rsidRPr="00C7160C">
              <w:rPr>
                <w:rFonts w:hint="eastAsia"/>
                <w:szCs w:val="22"/>
              </w:rPr>
              <w:t>OpenAI API</w:t>
            </w:r>
            <w:r w:rsidR="00000000" w:rsidRPr="00C7160C">
              <w:rPr>
                <w:rFonts w:hint="eastAsia"/>
              </w:rPr>
              <w:br/>
            </w:r>
            <w:r w:rsidR="00000000" w:rsidRPr="00C7160C">
              <w:rPr>
                <w:rFonts w:hint="eastAsia"/>
                <w:szCs w:val="22"/>
              </w:rPr>
              <w:t>百度文心·千帆</w:t>
            </w:r>
            <w:r w:rsidR="00000000" w:rsidRPr="00C7160C">
              <w:rPr>
                <w:rFonts w:hint="eastAsia"/>
              </w:rPr>
              <w:br/>
            </w:r>
            <w:r w:rsidR="00000000" w:rsidRPr="00C7160C">
              <w:rPr>
                <w:rFonts w:hint="eastAsia"/>
                <w:szCs w:val="22"/>
              </w:rPr>
              <w:t>阿里通义·百炼</w:t>
            </w:r>
            <w:r w:rsidR="00000000" w:rsidRPr="00C7160C">
              <w:rPr>
                <w:rFonts w:hint="eastAsia"/>
              </w:rPr>
              <w:br/>
            </w:r>
            <w:r w:rsidR="00000000" w:rsidRPr="00C7160C">
              <w:rPr>
                <w:rFonts w:hint="eastAsia"/>
                <w:szCs w:val="22"/>
              </w:rPr>
              <w:t>字节火山方舟</w:t>
            </w:r>
          </w:p>
        </w:tc>
        <w:tc>
          <w:tcPr>
            <w:tcW w:w="2268" w:type="dxa"/>
            <w:hideMark/>
          </w:tcPr>
          <w:p w14:paraId="449744AC" w14:textId="728E230B" w:rsidR="004F7E65" w:rsidRDefault="00000000">
            <w:pPr>
              <w:rPr>
                <w:rFonts w:hint="eastAsia"/>
              </w:rPr>
            </w:pPr>
            <w:r w:rsidRPr="00C7160C">
              <w:rPr>
                <w:rFonts w:hint="eastAsia"/>
                <w:szCs w:val="22"/>
              </w:rPr>
              <w:t>头部厂商收入增长快</w:t>
            </w:r>
            <w:r w:rsidRPr="00C7160C">
              <w:rPr>
                <w:rFonts w:hint="eastAsia"/>
              </w:rPr>
              <w:br/>
            </w:r>
            <w:r w:rsidRPr="00C7160C">
              <w:rPr>
                <w:rFonts w:hint="eastAsia"/>
                <w:szCs w:val="22"/>
              </w:rPr>
              <w:t>但整体仍亏损</w:t>
            </w:r>
            <w:r w:rsidRPr="00C7160C">
              <w:rPr>
                <w:rFonts w:hint="eastAsia"/>
              </w:rPr>
              <w:br/>
            </w:r>
            <w:r w:rsidRPr="00C7160C">
              <w:rPr>
                <w:rFonts w:hint="eastAsia"/>
                <w:szCs w:val="22"/>
              </w:rPr>
              <w:t>毛利率受算力成本制约</w:t>
            </w:r>
          </w:p>
        </w:tc>
      </w:tr>
      <w:tr w:rsidR="004F7E65" w14:paraId="279A7664" w14:textId="77777777">
        <w:trPr>
          <w:trHeight w:val="960"/>
        </w:trPr>
        <w:tc>
          <w:tcPr>
            <w:tcW w:w="1560" w:type="dxa"/>
            <w:hideMark/>
          </w:tcPr>
          <w:p w14:paraId="751F453F" w14:textId="77777777" w:rsidR="004F7E65" w:rsidRDefault="00000000">
            <w:pPr>
              <w:rPr>
                <w:rFonts w:hint="eastAsia"/>
              </w:rPr>
            </w:pPr>
            <w:r w:rsidRPr="00C7160C">
              <w:rPr>
                <w:rFonts w:hint="eastAsia"/>
                <w:szCs w:val="22"/>
              </w:rPr>
              <w:t>本地化/私有化部署</w:t>
            </w:r>
          </w:p>
        </w:tc>
        <w:tc>
          <w:tcPr>
            <w:tcW w:w="1985" w:type="dxa"/>
            <w:hideMark/>
          </w:tcPr>
          <w:p w14:paraId="4BB085AF" w14:textId="77777777" w:rsidR="004F7E65" w:rsidRDefault="00000000">
            <w:pPr>
              <w:rPr>
                <w:rFonts w:hint="eastAsia"/>
              </w:rPr>
            </w:pPr>
            <w:r w:rsidRPr="00C7160C">
              <w:rPr>
                <w:rFonts w:hint="eastAsia"/>
                <w:szCs w:val="22"/>
              </w:rPr>
              <w:t>模型部署在企业自有基础设施内</w:t>
            </w:r>
            <w:r w:rsidRPr="00C7160C">
              <w:rPr>
                <w:rFonts w:hint="eastAsia"/>
              </w:rPr>
              <w:br/>
            </w:r>
            <w:r w:rsidRPr="00C7160C">
              <w:rPr>
                <w:rFonts w:hint="eastAsia"/>
                <w:szCs w:val="22"/>
              </w:rPr>
              <w:t>提供行业数据微调、数据加训等服务</w:t>
            </w:r>
            <w:r w:rsidRPr="00C7160C">
              <w:rPr>
                <w:rFonts w:hint="eastAsia"/>
              </w:rPr>
              <w:br/>
            </w:r>
            <w:r w:rsidRPr="00C7160C">
              <w:rPr>
                <w:rFonts w:hint="eastAsia"/>
                <w:szCs w:val="22"/>
              </w:rPr>
              <w:t>注重安全性、可控性和定制化</w:t>
            </w:r>
          </w:p>
        </w:tc>
        <w:tc>
          <w:tcPr>
            <w:tcW w:w="1984" w:type="dxa"/>
            <w:hideMark/>
          </w:tcPr>
          <w:p w14:paraId="4E0577E5" w14:textId="77777777" w:rsidR="004F7E65" w:rsidRDefault="00000000">
            <w:pPr>
              <w:rPr>
                <w:rFonts w:hint="eastAsia"/>
              </w:rPr>
            </w:pPr>
            <w:r w:rsidRPr="00C7160C">
              <w:rPr>
                <w:rFonts w:hint="eastAsia"/>
                <w:szCs w:val="22"/>
              </w:rPr>
              <w:t>项目制收费（一次性+运维）</w:t>
            </w:r>
            <w:r w:rsidRPr="00C7160C">
              <w:rPr>
                <w:rFonts w:hint="eastAsia"/>
              </w:rPr>
              <w:br/>
            </w:r>
            <w:r w:rsidRPr="00C7160C">
              <w:rPr>
                <w:rFonts w:hint="eastAsia"/>
                <w:szCs w:val="22"/>
              </w:rPr>
              <w:t>License授权费</w:t>
            </w:r>
            <w:r w:rsidRPr="00C7160C">
              <w:rPr>
                <w:rFonts w:hint="eastAsia"/>
              </w:rPr>
              <w:br/>
            </w:r>
            <w:r w:rsidRPr="00C7160C">
              <w:rPr>
                <w:rFonts w:hint="eastAsia"/>
                <w:szCs w:val="22"/>
              </w:rPr>
              <w:t>可能叠加算力硬件销售</w:t>
            </w:r>
          </w:p>
        </w:tc>
        <w:tc>
          <w:tcPr>
            <w:tcW w:w="2126" w:type="dxa"/>
            <w:hideMark/>
          </w:tcPr>
          <w:p w14:paraId="42D5668E" w14:textId="77777777" w:rsidR="004F7E65" w:rsidRDefault="00000000">
            <w:pPr>
              <w:rPr>
                <w:rFonts w:hint="eastAsia"/>
              </w:rPr>
            </w:pPr>
            <w:r w:rsidRPr="00C7160C">
              <w:rPr>
                <w:rFonts w:hint="eastAsia"/>
                <w:szCs w:val="22"/>
              </w:rPr>
              <w:t>智谱（私有化部署收入占比高）</w:t>
            </w:r>
            <w:r w:rsidRPr="00C7160C">
              <w:rPr>
                <w:rFonts w:hint="eastAsia"/>
              </w:rPr>
              <w:br/>
            </w:r>
            <w:r w:rsidRPr="00C7160C">
              <w:rPr>
                <w:rFonts w:hint="eastAsia"/>
                <w:szCs w:val="22"/>
              </w:rPr>
              <w:t>科大讯飞</w:t>
            </w:r>
            <w:r w:rsidRPr="00C7160C">
              <w:rPr>
                <w:rFonts w:hint="eastAsia"/>
              </w:rPr>
              <w:br/>
            </w:r>
            <w:r>
              <w:rPr>
                <w:rFonts w:hint="eastAsia"/>
                <w:szCs w:val="22"/>
              </w:rPr>
              <w:t>百度智能云</w:t>
            </w:r>
            <w:r w:rsidRPr="00C7160C">
              <w:rPr>
                <w:rFonts w:hint="eastAsia"/>
              </w:rPr>
              <w:br/>
            </w:r>
            <w:r w:rsidRPr="00C7160C">
              <w:rPr>
                <w:rFonts w:hint="eastAsia"/>
                <w:szCs w:val="22"/>
              </w:rPr>
              <w:t>阿里云</w:t>
            </w:r>
          </w:p>
        </w:tc>
        <w:tc>
          <w:tcPr>
            <w:tcW w:w="2268" w:type="dxa"/>
            <w:hideMark/>
          </w:tcPr>
          <w:p w14:paraId="0FCC31AD" w14:textId="77777777" w:rsidR="004F7E65" w:rsidRDefault="00000000">
            <w:pPr>
              <w:rPr>
                <w:rFonts w:hint="eastAsia"/>
              </w:rPr>
            </w:pPr>
            <w:r>
              <w:rPr>
                <w:rFonts w:hint="eastAsia"/>
                <w:szCs w:val="22"/>
              </w:rPr>
              <w:t>客单价高但交付周期长</w:t>
            </w:r>
            <w:r w:rsidRPr="00C7160C">
              <w:rPr>
                <w:rFonts w:hint="eastAsia"/>
              </w:rPr>
              <w:br/>
            </w:r>
            <w:r>
              <w:rPr>
                <w:rFonts w:hint="eastAsia"/>
                <w:szCs w:val="22"/>
              </w:rPr>
              <w:t>毛利率高于api调用（本地业务60%+）</w:t>
            </w:r>
            <w:r w:rsidRPr="00C7160C">
              <w:rPr>
                <w:rFonts w:hint="eastAsia"/>
              </w:rPr>
              <w:br/>
            </w:r>
            <w:r w:rsidRPr="00C7160C">
              <w:rPr>
                <w:rFonts w:hint="eastAsia"/>
                <w:szCs w:val="22"/>
              </w:rPr>
              <w:t>但项目制难以规模化</w:t>
            </w:r>
          </w:p>
        </w:tc>
      </w:tr>
      <w:tr w:rsidR="004F7E65" w14:paraId="26419873" w14:textId="77777777">
        <w:trPr>
          <w:trHeight w:val="960"/>
        </w:trPr>
        <w:tc>
          <w:tcPr>
            <w:tcW w:w="1560" w:type="dxa"/>
            <w:hideMark/>
          </w:tcPr>
          <w:p w14:paraId="6BBCAB2C" w14:textId="77777777" w:rsidR="004F7E65" w:rsidRDefault="00000000">
            <w:pPr>
              <w:rPr>
                <w:rFonts w:hint="eastAsia"/>
              </w:rPr>
            </w:pPr>
            <w:r>
              <w:rPr>
                <w:rFonts w:hint="eastAsia"/>
                <w:szCs w:val="22"/>
              </w:rPr>
              <w:t>行业解决方案</w:t>
            </w:r>
          </w:p>
        </w:tc>
        <w:tc>
          <w:tcPr>
            <w:tcW w:w="1985" w:type="dxa"/>
            <w:hideMark/>
          </w:tcPr>
          <w:p w14:paraId="3FFFB6D0" w14:textId="77777777" w:rsidR="004F7E65" w:rsidRDefault="00000000">
            <w:pPr>
              <w:rPr>
                <w:rFonts w:hint="eastAsia"/>
              </w:rPr>
            </w:pPr>
            <w:r w:rsidRPr="00C7160C">
              <w:rPr>
                <w:rFonts w:hint="eastAsia"/>
                <w:szCs w:val="22"/>
              </w:rPr>
              <w:t>基于大模型能力，针对垂直行业打造</w:t>
            </w:r>
            <w:r w:rsidRPr="00C7160C">
              <w:rPr>
                <w:rFonts w:hint="eastAsia"/>
              </w:rPr>
              <w:br/>
            </w:r>
            <w:r w:rsidRPr="00C7160C">
              <w:rPr>
                <w:rFonts w:hint="eastAsia"/>
                <w:szCs w:val="22"/>
              </w:rPr>
              <w:t>完整解决方案（金</w:t>
            </w:r>
            <w:r w:rsidRPr="00C7160C">
              <w:rPr>
                <w:rFonts w:hint="eastAsia"/>
                <w:szCs w:val="22"/>
              </w:rPr>
              <w:lastRenderedPageBreak/>
              <w:t>融、医疗、法律、教育等）</w:t>
            </w:r>
            <w:r w:rsidRPr="00C7160C">
              <w:rPr>
                <w:rFonts w:hint="eastAsia"/>
              </w:rPr>
              <w:br/>
            </w:r>
            <w:r w:rsidRPr="00C7160C">
              <w:rPr>
                <w:rFonts w:hint="eastAsia"/>
                <w:szCs w:val="22"/>
              </w:rPr>
              <w:t>包含模型+应用+数据+服务的打包方案</w:t>
            </w:r>
          </w:p>
        </w:tc>
        <w:tc>
          <w:tcPr>
            <w:tcW w:w="1984" w:type="dxa"/>
            <w:hideMark/>
          </w:tcPr>
          <w:p w14:paraId="50151EE8" w14:textId="77777777" w:rsidR="004F7E65" w:rsidRDefault="00000000">
            <w:pPr>
              <w:rPr>
                <w:rFonts w:hint="eastAsia"/>
              </w:rPr>
            </w:pPr>
            <w:r w:rsidRPr="00C7160C">
              <w:rPr>
                <w:rFonts w:hint="eastAsia"/>
                <w:szCs w:val="22"/>
              </w:rPr>
              <w:lastRenderedPageBreak/>
              <w:t>SaaS订阅费</w:t>
            </w:r>
            <w:r w:rsidRPr="00C7160C">
              <w:rPr>
                <w:rFonts w:hint="eastAsia"/>
              </w:rPr>
              <w:br/>
            </w:r>
            <w:r w:rsidRPr="00C7160C">
              <w:rPr>
                <w:rFonts w:hint="eastAsia"/>
                <w:szCs w:val="22"/>
              </w:rPr>
              <w:t>按项目收费</w:t>
            </w:r>
            <w:r w:rsidRPr="00C7160C">
              <w:rPr>
                <w:rFonts w:hint="eastAsia"/>
              </w:rPr>
              <w:br/>
            </w:r>
            <w:r w:rsidRPr="00C7160C">
              <w:rPr>
                <w:rFonts w:hint="eastAsia"/>
                <w:szCs w:val="22"/>
              </w:rPr>
              <w:t>按效果/结果付费</w:t>
            </w:r>
            <w:r w:rsidRPr="00C7160C">
              <w:rPr>
                <w:rFonts w:hint="eastAsia"/>
                <w:szCs w:val="22"/>
              </w:rPr>
              <w:lastRenderedPageBreak/>
              <w:t>（新兴）</w:t>
            </w:r>
          </w:p>
        </w:tc>
        <w:tc>
          <w:tcPr>
            <w:tcW w:w="2126" w:type="dxa"/>
            <w:hideMark/>
          </w:tcPr>
          <w:p w14:paraId="554F7FD9" w14:textId="77777777" w:rsidR="004F7E65" w:rsidRDefault="00000000">
            <w:pPr>
              <w:rPr>
                <w:rFonts w:hint="eastAsia"/>
              </w:rPr>
            </w:pPr>
            <w:r w:rsidRPr="00C7160C">
              <w:rPr>
                <w:rFonts w:hint="eastAsia"/>
                <w:szCs w:val="22"/>
              </w:rPr>
              <w:lastRenderedPageBreak/>
              <w:t>百度（金融、政务）</w:t>
            </w:r>
            <w:r w:rsidRPr="00C7160C">
              <w:rPr>
                <w:rFonts w:hint="eastAsia"/>
              </w:rPr>
              <w:br/>
            </w:r>
            <w:r w:rsidRPr="00C7160C">
              <w:rPr>
                <w:rFonts w:hint="eastAsia"/>
                <w:szCs w:val="22"/>
              </w:rPr>
              <w:t>阿里（医疗、零</w:t>
            </w:r>
            <w:r w:rsidRPr="00C7160C">
              <w:rPr>
                <w:rFonts w:hint="eastAsia"/>
                <w:szCs w:val="22"/>
              </w:rPr>
              <w:lastRenderedPageBreak/>
              <w:t>售）</w:t>
            </w:r>
            <w:r w:rsidRPr="00C7160C">
              <w:rPr>
                <w:rFonts w:hint="eastAsia"/>
              </w:rPr>
              <w:br/>
            </w:r>
            <w:r w:rsidRPr="00C7160C">
              <w:rPr>
                <w:rFonts w:hint="eastAsia"/>
                <w:szCs w:val="22"/>
              </w:rPr>
              <w:t>腾讯（企业智能体）</w:t>
            </w:r>
            <w:r w:rsidRPr="00C7160C">
              <w:rPr>
                <w:rFonts w:hint="eastAsia"/>
              </w:rPr>
              <w:br/>
            </w:r>
            <w:r w:rsidRPr="00C7160C">
              <w:rPr>
                <w:rFonts w:hint="eastAsia"/>
                <w:szCs w:val="22"/>
              </w:rPr>
              <w:t>科大讯飞（教育、医疗）</w:t>
            </w:r>
          </w:p>
        </w:tc>
        <w:tc>
          <w:tcPr>
            <w:tcW w:w="2268" w:type="dxa"/>
            <w:hideMark/>
          </w:tcPr>
          <w:p w14:paraId="65E8924E" w14:textId="77777777" w:rsidR="004F7E65" w:rsidRDefault="00000000">
            <w:pPr>
              <w:rPr>
                <w:rFonts w:hint="eastAsia"/>
              </w:rPr>
            </w:pPr>
            <w:r w:rsidRPr="00C7160C">
              <w:rPr>
                <w:rFonts w:hint="eastAsia"/>
                <w:szCs w:val="22"/>
              </w:rPr>
              <w:lastRenderedPageBreak/>
              <w:t>部分场景开始变现</w:t>
            </w:r>
            <w:r w:rsidRPr="00C7160C">
              <w:rPr>
                <w:rFonts w:hint="eastAsia"/>
              </w:rPr>
              <w:br/>
            </w:r>
            <w:r w:rsidRPr="00C7160C">
              <w:rPr>
                <w:rFonts w:hint="eastAsia"/>
                <w:szCs w:val="22"/>
              </w:rPr>
              <w:t>但多数仍在跑通PMF（取得用户-取得付</w:t>
            </w:r>
            <w:r w:rsidRPr="00C7160C">
              <w:rPr>
                <w:rFonts w:hint="eastAsia"/>
                <w:szCs w:val="22"/>
              </w:rPr>
              <w:lastRenderedPageBreak/>
              <w:t>费用户-付费用户积累）阶段</w:t>
            </w:r>
            <w:r w:rsidRPr="00C7160C">
              <w:rPr>
                <w:rFonts w:hint="eastAsia"/>
              </w:rPr>
              <w:br/>
            </w:r>
            <w:r w:rsidRPr="00C7160C">
              <w:rPr>
                <w:rFonts w:hint="eastAsia"/>
                <w:szCs w:val="22"/>
              </w:rPr>
              <w:t>传统行业渗透率仍低</w:t>
            </w:r>
          </w:p>
        </w:tc>
      </w:tr>
      <w:tr w:rsidR="004F7E65" w14:paraId="6F9ED971" w14:textId="77777777">
        <w:trPr>
          <w:trHeight w:val="960"/>
        </w:trPr>
        <w:tc>
          <w:tcPr>
            <w:tcW w:w="1560" w:type="dxa"/>
            <w:hideMark/>
          </w:tcPr>
          <w:p w14:paraId="3D822CA6" w14:textId="77777777" w:rsidR="004F7E65" w:rsidRDefault="00000000">
            <w:pPr>
              <w:rPr>
                <w:rFonts w:hint="eastAsia"/>
              </w:rPr>
            </w:pPr>
            <w:r w:rsidRPr="00C7160C">
              <w:rPr>
                <w:rFonts w:hint="eastAsia"/>
                <w:szCs w:val="22"/>
              </w:rPr>
              <w:lastRenderedPageBreak/>
              <w:t>AI Agent/企业智能体</w:t>
            </w:r>
          </w:p>
        </w:tc>
        <w:tc>
          <w:tcPr>
            <w:tcW w:w="1985" w:type="dxa"/>
            <w:hideMark/>
          </w:tcPr>
          <w:p w14:paraId="45F7B0F9" w14:textId="77777777" w:rsidR="004F7E65" w:rsidRDefault="00000000">
            <w:pPr>
              <w:rPr>
                <w:rFonts w:hint="eastAsia"/>
              </w:rPr>
            </w:pPr>
            <w:r w:rsidRPr="00C7160C">
              <w:rPr>
                <w:rFonts w:hint="eastAsia"/>
                <w:szCs w:val="22"/>
              </w:rPr>
              <w:t>基于大模型的自主执行代理</w:t>
            </w:r>
            <w:r w:rsidRPr="00C7160C">
              <w:rPr>
                <w:rFonts w:hint="eastAsia"/>
              </w:rPr>
              <w:br/>
            </w:r>
            <w:r w:rsidRPr="00C7160C">
              <w:rPr>
                <w:rFonts w:hint="eastAsia"/>
                <w:szCs w:val="22"/>
              </w:rPr>
              <w:t>可完成多步骤复杂任务</w:t>
            </w:r>
            <w:r w:rsidRPr="00C7160C">
              <w:rPr>
                <w:rFonts w:hint="eastAsia"/>
              </w:rPr>
              <w:br/>
            </w:r>
            <w:r w:rsidRPr="00C7160C">
              <w:rPr>
                <w:rFonts w:hint="eastAsia"/>
                <w:szCs w:val="22"/>
              </w:rPr>
              <w:t>替代部分人工岗位</w:t>
            </w:r>
          </w:p>
        </w:tc>
        <w:tc>
          <w:tcPr>
            <w:tcW w:w="1984" w:type="dxa"/>
            <w:hideMark/>
          </w:tcPr>
          <w:p w14:paraId="4A4D2409" w14:textId="77777777" w:rsidR="004F7E65" w:rsidRDefault="00000000">
            <w:pPr>
              <w:rPr>
                <w:rFonts w:hint="eastAsia"/>
              </w:rPr>
            </w:pPr>
            <w:r w:rsidRPr="00C7160C">
              <w:rPr>
                <w:rFonts w:hint="eastAsia"/>
                <w:szCs w:val="22"/>
              </w:rPr>
              <w:t>按任务/执行次数收费</w:t>
            </w:r>
            <w:r w:rsidRPr="00C7160C">
              <w:rPr>
                <w:rFonts w:hint="eastAsia"/>
              </w:rPr>
              <w:br/>
            </w:r>
            <w:r w:rsidRPr="00C7160C">
              <w:rPr>
                <w:rFonts w:hint="eastAsia"/>
                <w:szCs w:val="22"/>
              </w:rPr>
              <w:t>SaaS订阅</w:t>
            </w:r>
            <w:r w:rsidRPr="00C7160C">
              <w:rPr>
                <w:rFonts w:hint="eastAsia"/>
              </w:rPr>
              <w:br/>
            </w:r>
            <w:r w:rsidRPr="00C7160C">
              <w:rPr>
                <w:rFonts w:hint="eastAsia"/>
                <w:szCs w:val="22"/>
              </w:rPr>
              <w:t>按结果/ROI分成（探索中）</w:t>
            </w:r>
          </w:p>
        </w:tc>
        <w:tc>
          <w:tcPr>
            <w:tcW w:w="2126" w:type="dxa"/>
            <w:hideMark/>
          </w:tcPr>
          <w:p w14:paraId="0C6C5679" w14:textId="1BCD00A6" w:rsidR="004F7E65" w:rsidRDefault="00000000">
            <w:pPr>
              <w:rPr>
                <w:rFonts w:hint="eastAsia"/>
              </w:rPr>
            </w:pPr>
            <w:r w:rsidRPr="00C7160C">
              <w:rPr>
                <w:rFonts w:hint="eastAsia"/>
                <w:szCs w:val="22"/>
              </w:rPr>
              <w:t>ServiceNow</w:t>
            </w:r>
            <w:r w:rsidRPr="00C7160C">
              <w:rPr>
                <w:rFonts w:hint="eastAsia"/>
              </w:rPr>
              <w:br/>
            </w:r>
            <w:r w:rsidRPr="00C7160C">
              <w:rPr>
                <w:rFonts w:hint="eastAsia"/>
                <w:szCs w:val="22"/>
              </w:rPr>
              <w:t>Salesforce</w:t>
            </w:r>
            <w:r w:rsidRPr="00C7160C">
              <w:rPr>
                <w:rFonts w:hint="eastAsia"/>
              </w:rPr>
              <w:br/>
            </w:r>
            <w:r w:rsidRPr="00C7160C">
              <w:rPr>
                <w:rFonts w:hint="eastAsia"/>
                <w:szCs w:val="22"/>
              </w:rPr>
              <w:t>腾讯（元宝Agent</w:t>
            </w:r>
            <w:r w:rsidR="00FE11C3">
              <w:rPr>
                <w:rFonts w:hint="eastAsia"/>
                <w:szCs w:val="22"/>
              </w:rPr>
              <w:t>，Qclaw</w:t>
            </w:r>
            <w:r w:rsidRPr="00C7160C">
              <w:rPr>
                <w:rFonts w:hint="eastAsia"/>
                <w:szCs w:val="22"/>
              </w:rPr>
              <w:t>）</w:t>
            </w:r>
            <w:r w:rsidRPr="00C7160C">
              <w:rPr>
                <w:rFonts w:hint="eastAsia"/>
              </w:rPr>
              <w:br/>
            </w:r>
            <w:r w:rsidRPr="00C7160C">
              <w:rPr>
                <w:rFonts w:hint="eastAsia"/>
                <w:szCs w:val="22"/>
              </w:rPr>
              <w:t>中关村科金PowerClaw</w:t>
            </w:r>
          </w:p>
        </w:tc>
        <w:tc>
          <w:tcPr>
            <w:tcW w:w="2268" w:type="dxa"/>
            <w:hideMark/>
          </w:tcPr>
          <w:p w14:paraId="333E1455" w14:textId="77777777" w:rsidR="004F7E65" w:rsidRDefault="00000000">
            <w:pPr>
              <w:rPr>
                <w:rFonts w:hint="eastAsia"/>
              </w:rPr>
            </w:pPr>
            <w:r w:rsidRPr="00C7160C">
              <w:rPr>
                <w:rFonts w:hint="eastAsia"/>
                <w:szCs w:val="22"/>
              </w:rPr>
              <w:t>商业化早期</w:t>
            </w:r>
            <w:r w:rsidRPr="00C7160C">
              <w:rPr>
                <w:rFonts w:hint="eastAsia"/>
              </w:rPr>
              <w:br/>
            </w:r>
            <w:r w:rsidRPr="00C7160C">
              <w:rPr>
                <w:rFonts w:hint="eastAsia"/>
                <w:szCs w:val="22"/>
              </w:rPr>
              <w:t>2030E TAM约1000亿美元（Goldman）</w:t>
            </w:r>
            <w:r w:rsidRPr="00C7160C">
              <w:rPr>
                <w:rFonts w:hint="eastAsia"/>
              </w:rPr>
              <w:br/>
            </w:r>
            <w:r w:rsidRPr="00C7160C">
              <w:rPr>
                <w:rFonts w:hint="eastAsia"/>
                <w:szCs w:val="22"/>
              </w:rPr>
              <w:t>企业付费意愿正在验证</w:t>
            </w:r>
          </w:p>
        </w:tc>
      </w:tr>
      <w:tr w:rsidR="004F7E65" w14:paraId="3FE3F8F5" w14:textId="77777777">
        <w:trPr>
          <w:trHeight w:val="960"/>
        </w:trPr>
        <w:tc>
          <w:tcPr>
            <w:tcW w:w="1560" w:type="dxa"/>
            <w:hideMark/>
          </w:tcPr>
          <w:p w14:paraId="3C08B8B7" w14:textId="77777777" w:rsidR="004F7E65" w:rsidRDefault="00000000">
            <w:pPr>
              <w:rPr>
                <w:rFonts w:hint="eastAsia"/>
              </w:rPr>
            </w:pPr>
            <w:r w:rsidRPr="00C7160C">
              <w:rPr>
                <w:rFonts w:hint="eastAsia"/>
                <w:szCs w:val="22"/>
              </w:rPr>
              <w:t>算力+模型捆绑</w:t>
            </w:r>
          </w:p>
        </w:tc>
        <w:tc>
          <w:tcPr>
            <w:tcW w:w="1985" w:type="dxa"/>
            <w:hideMark/>
          </w:tcPr>
          <w:p w14:paraId="35A31747" w14:textId="77777777" w:rsidR="004F7E65" w:rsidRDefault="00000000">
            <w:pPr>
              <w:rPr>
                <w:rFonts w:hint="eastAsia"/>
              </w:rPr>
            </w:pPr>
            <w:r w:rsidRPr="00C7160C">
              <w:rPr>
                <w:rFonts w:hint="eastAsia"/>
                <w:szCs w:val="22"/>
              </w:rPr>
              <w:t>云厂商将大模型与云基础设施打包</w:t>
            </w:r>
            <w:r w:rsidRPr="00C7160C">
              <w:rPr>
                <w:rFonts w:hint="eastAsia"/>
              </w:rPr>
              <w:br/>
            </w:r>
            <w:r w:rsidRPr="00C7160C">
              <w:rPr>
                <w:rFonts w:hint="eastAsia"/>
                <w:szCs w:val="22"/>
              </w:rPr>
              <w:t>通过模型需求拉动云业务增长</w:t>
            </w:r>
            <w:r w:rsidRPr="00C7160C">
              <w:rPr>
                <w:rFonts w:hint="eastAsia"/>
              </w:rPr>
              <w:br/>
            </w:r>
            <w:r w:rsidRPr="00C7160C">
              <w:rPr>
                <w:rFonts w:hint="eastAsia"/>
                <w:szCs w:val="22"/>
              </w:rPr>
              <w:t>算力成本通过云服务收入回收</w:t>
            </w:r>
          </w:p>
        </w:tc>
        <w:tc>
          <w:tcPr>
            <w:tcW w:w="1984" w:type="dxa"/>
            <w:hideMark/>
          </w:tcPr>
          <w:p w14:paraId="4CC0CD9E" w14:textId="77777777" w:rsidR="004F7E65" w:rsidRDefault="00000000">
            <w:pPr>
              <w:rPr>
                <w:rFonts w:hint="eastAsia"/>
              </w:rPr>
            </w:pPr>
            <w:r w:rsidRPr="00C7160C">
              <w:rPr>
                <w:rFonts w:hint="eastAsia"/>
                <w:szCs w:val="22"/>
              </w:rPr>
              <w:t>云服务费（含算力）</w:t>
            </w:r>
            <w:r w:rsidRPr="00C7160C">
              <w:rPr>
                <w:rFonts w:hint="eastAsia"/>
              </w:rPr>
              <w:br/>
            </w:r>
            <w:r w:rsidRPr="00C7160C">
              <w:rPr>
                <w:rFonts w:hint="eastAsia"/>
                <w:szCs w:val="22"/>
              </w:rPr>
              <w:t>模型调用附加费</w:t>
            </w:r>
            <w:r w:rsidRPr="00C7160C">
              <w:rPr>
                <w:rFonts w:hint="eastAsia"/>
              </w:rPr>
              <w:br/>
            </w:r>
            <w:r w:rsidRPr="00C7160C">
              <w:rPr>
                <w:rFonts w:hint="eastAsia"/>
                <w:szCs w:val="22"/>
              </w:rPr>
              <w:t>一体化定价</w:t>
            </w:r>
          </w:p>
        </w:tc>
        <w:tc>
          <w:tcPr>
            <w:tcW w:w="2126" w:type="dxa"/>
            <w:hideMark/>
          </w:tcPr>
          <w:p w14:paraId="1B9D0389" w14:textId="77777777" w:rsidR="004F7E65" w:rsidRDefault="00000000">
            <w:pPr>
              <w:rPr>
                <w:rFonts w:hint="eastAsia"/>
              </w:rPr>
            </w:pPr>
            <w:r w:rsidRPr="00C7160C">
              <w:rPr>
                <w:rFonts w:hint="eastAsia"/>
                <w:szCs w:val="22"/>
              </w:rPr>
              <w:t>阿里云</w:t>
            </w:r>
            <w:r w:rsidRPr="00C7160C">
              <w:rPr>
                <w:rFonts w:hint="eastAsia"/>
              </w:rPr>
              <w:br/>
            </w:r>
            <w:r w:rsidRPr="00C7160C">
              <w:rPr>
                <w:rFonts w:hint="eastAsia"/>
                <w:szCs w:val="22"/>
              </w:rPr>
              <w:t>百度智能云</w:t>
            </w:r>
            <w:r w:rsidRPr="00C7160C">
              <w:rPr>
                <w:rFonts w:hint="eastAsia"/>
              </w:rPr>
              <w:br/>
            </w:r>
            <w:r w:rsidRPr="00C7160C">
              <w:rPr>
                <w:rFonts w:hint="eastAsia"/>
                <w:szCs w:val="22"/>
              </w:rPr>
              <w:t>腾讯云</w:t>
            </w:r>
            <w:r w:rsidRPr="00C7160C">
              <w:rPr>
                <w:rFonts w:hint="eastAsia"/>
              </w:rPr>
              <w:br/>
            </w:r>
            <w:r w:rsidRPr="00C7160C">
              <w:rPr>
                <w:rFonts w:hint="eastAsia"/>
                <w:szCs w:val="22"/>
              </w:rPr>
              <w:t>AWS/Azure/GCP</w:t>
            </w:r>
          </w:p>
        </w:tc>
        <w:tc>
          <w:tcPr>
            <w:tcW w:w="2268" w:type="dxa"/>
            <w:hideMark/>
          </w:tcPr>
          <w:p w14:paraId="719D7024" w14:textId="77777777" w:rsidR="004F7E65" w:rsidRDefault="00000000">
            <w:pPr>
              <w:rPr>
                <w:rFonts w:hint="eastAsia"/>
              </w:rPr>
            </w:pPr>
            <w:r w:rsidRPr="00C7160C">
              <w:rPr>
                <w:rFonts w:hint="eastAsia"/>
                <w:szCs w:val="22"/>
              </w:rPr>
              <w:t>云厂商AI相关收入高速增长</w:t>
            </w:r>
            <w:r w:rsidRPr="00C7160C">
              <w:rPr>
                <w:rFonts w:hint="eastAsia"/>
              </w:rPr>
              <w:br/>
            </w:r>
            <w:r w:rsidRPr="00C7160C">
              <w:rPr>
                <w:rFonts w:hint="eastAsia"/>
                <w:szCs w:val="22"/>
              </w:rPr>
              <w:t>3Q25美国云厂商AI Capex +71% YoY</w:t>
            </w:r>
            <w:r w:rsidRPr="00C7160C">
              <w:rPr>
                <w:rFonts w:hint="eastAsia"/>
              </w:rPr>
              <w:br/>
            </w:r>
            <w:r w:rsidRPr="00C7160C">
              <w:rPr>
                <w:rFonts w:hint="eastAsia"/>
                <w:szCs w:val="22"/>
              </w:rPr>
              <w:t>但利润率受算力投入拖累</w:t>
            </w:r>
          </w:p>
        </w:tc>
      </w:tr>
      <w:tr w:rsidR="004F7E65" w14:paraId="7E5D440C" w14:textId="77777777">
        <w:trPr>
          <w:trHeight w:val="960"/>
        </w:trPr>
        <w:tc>
          <w:tcPr>
            <w:tcW w:w="1560" w:type="dxa"/>
          </w:tcPr>
          <w:p w14:paraId="27D2ADCA" w14:textId="77777777" w:rsidR="004F7E65" w:rsidRDefault="00000000">
            <w:pPr>
              <w:rPr>
                <w:rFonts w:hint="eastAsia"/>
              </w:rPr>
            </w:pPr>
            <w:r>
              <w:rPr>
                <w:rFonts w:hint="eastAsia"/>
                <w:szCs w:val="22"/>
              </w:rPr>
              <w:t>广告</w:t>
            </w:r>
          </w:p>
        </w:tc>
        <w:tc>
          <w:tcPr>
            <w:tcW w:w="1985" w:type="dxa"/>
          </w:tcPr>
          <w:p w14:paraId="5861EF9B" w14:textId="77777777" w:rsidR="004F7E65" w:rsidRDefault="00000000">
            <w:pPr>
              <w:rPr>
                <w:rFonts w:hint="eastAsia"/>
              </w:rPr>
            </w:pPr>
            <w:r>
              <w:rPr>
                <w:rFonts w:hint="eastAsia"/>
                <w:szCs w:val="22"/>
              </w:rPr>
              <w:t>分为AI赋能广告制作和AI赋能广告投放</w:t>
            </w:r>
          </w:p>
        </w:tc>
        <w:tc>
          <w:tcPr>
            <w:tcW w:w="1984" w:type="dxa"/>
          </w:tcPr>
          <w:p w14:paraId="4031E340" w14:textId="77777777" w:rsidR="004F7E65" w:rsidRDefault="00000000">
            <w:pPr>
              <w:rPr>
                <w:rFonts w:hint="eastAsia"/>
              </w:rPr>
            </w:pPr>
            <w:r>
              <w:rPr>
                <w:rFonts w:hint="eastAsia"/>
                <w:szCs w:val="22"/>
              </w:rPr>
              <w:t>商业协议合作</w:t>
            </w:r>
          </w:p>
        </w:tc>
        <w:tc>
          <w:tcPr>
            <w:tcW w:w="2126" w:type="dxa"/>
          </w:tcPr>
          <w:p w14:paraId="54E7F533" w14:textId="77777777" w:rsidR="004F7E65" w:rsidRDefault="00000000">
            <w:pPr>
              <w:rPr>
                <w:rFonts w:hint="eastAsia"/>
              </w:rPr>
            </w:pPr>
            <w:r>
              <w:rPr>
                <w:rFonts w:hint="eastAsia"/>
                <w:szCs w:val="22"/>
              </w:rPr>
              <w:t>OpenAI，Vidu，米云等</w:t>
            </w:r>
          </w:p>
        </w:tc>
        <w:tc>
          <w:tcPr>
            <w:tcW w:w="2268" w:type="dxa"/>
          </w:tcPr>
          <w:p w14:paraId="61B69565" w14:textId="77777777" w:rsidR="004F7E65" w:rsidRDefault="00000000">
            <w:pPr>
              <w:rPr>
                <w:rFonts w:hint="eastAsia"/>
              </w:rPr>
            </w:pPr>
            <w:r>
              <w:rPr>
                <w:rFonts w:hint="eastAsia"/>
                <w:szCs w:val="22"/>
              </w:rPr>
              <w:t>目前最成熟的AI变现路径之一</w:t>
            </w:r>
          </w:p>
          <w:p w14:paraId="348E24CD" w14:textId="77777777" w:rsidR="004F7E65" w:rsidRDefault="00000000">
            <w:pPr>
              <w:rPr>
                <w:rFonts w:hint="eastAsia"/>
              </w:rPr>
            </w:pPr>
            <w:r>
              <w:rPr>
                <w:rFonts w:hint="eastAsia"/>
                <w:szCs w:val="22"/>
              </w:rPr>
              <w:t>ROI可量化，广告主付费意愿强</w:t>
            </w:r>
          </w:p>
          <w:p w14:paraId="4C268F88" w14:textId="77777777" w:rsidR="004F7E65" w:rsidRDefault="00000000">
            <w:pPr>
              <w:rPr>
                <w:rFonts w:hint="eastAsia"/>
              </w:rPr>
            </w:pPr>
            <w:r>
              <w:rPr>
                <w:rFonts w:hint="eastAsia"/>
                <w:szCs w:val="22"/>
              </w:rPr>
              <w:t>AI从成本中心→利润中心</w:t>
            </w:r>
          </w:p>
        </w:tc>
      </w:tr>
    </w:tbl>
    <w:p w14:paraId="5B0872EC" w14:textId="77777777" w:rsidR="004F7E65" w:rsidRDefault="004F7E65">
      <w:pPr>
        <w:rPr>
          <w:rFonts w:hint="eastAsia"/>
        </w:rPr>
      </w:pPr>
    </w:p>
    <w:p w14:paraId="6E2DBD98" w14:textId="77777777" w:rsidR="004F7E65" w:rsidRDefault="00000000" w:rsidP="006F0C67">
      <w:pPr>
        <w:jc w:val="center"/>
        <w:rPr>
          <w:rFonts w:hint="eastAsia"/>
        </w:rPr>
      </w:pPr>
      <w:r>
        <w:rPr>
          <w:rFonts w:hint="eastAsia"/>
          <w:szCs w:val="22"/>
        </w:rPr>
        <w:t>表：C端主要商业模式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4F7E65" w14:paraId="6A8B4992" w14:textId="77777777">
        <w:trPr>
          <w:trHeight w:val="270"/>
        </w:trPr>
        <w:tc>
          <w:tcPr>
            <w:tcW w:w="1560" w:type="dxa"/>
            <w:hideMark/>
          </w:tcPr>
          <w:p w14:paraId="6BCF65B4" w14:textId="77777777" w:rsidR="004F7E65" w:rsidRDefault="00000000">
            <w:pPr>
              <w:rPr>
                <w:rFonts w:hint="eastAsia"/>
                <w:b/>
                <w:bCs/>
              </w:rPr>
            </w:pPr>
            <w:r w:rsidRPr="00C7160C">
              <w:rPr>
                <w:rFonts w:hint="eastAsia"/>
                <w:b/>
                <w:szCs w:val="22"/>
              </w:rPr>
              <w:t>模式</w:t>
            </w:r>
          </w:p>
        </w:tc>
        <w:tc>
          <w:tcPr>
            <w:tcW w:w="1985" w:type="dxa"/>
            <w:hideMark/>
          </w:tcPr>
          <w:p w14:paraId="0E7DA367" w14:textId="77777777" w:rsidR="004F7E65" w:rsidRDefault="00000000">
            <w:pPr>
              <w:rPr>
                <w:rFonts w:hint="eastAsia"/>
                <w:b/>
                <w:bCs/>
              </w:rPr>
            </w:pPr>
            <w:r w:rsidRPr="00C7160C">
              <w:rPr>
                <w:rFonts w:hint="eastAsia"/>
                <w:b/>
                <w:szCs w:val="22"/>
              </w:rPr>
              <w:t>说明</w:t>
            </w:r>
          </w:p>
        </w:tc>
        <w:tc>
          <w:tcPr>
            <w:tcW w:w="1984" w:type="dxa"/>
            <w:hideMark/>
          </w:tcPr>
          <w:p w14:paraId="04F26762" w14:textId="77777777" w:rsidR="004F7E65" w:rsidRDefault="00000000">
            <w:pPr>
              <w:rPr>
                <w:rFonts w:hint="eastAsia"/>
                <w:b/>
                <w:bCs/>
              </w:rPr>
            </w:pPr>
            <w:r w:rsidRPr="00C7160C">
              <w:rPr>
                <w:rFonts w:hint="eastAsia"/>
                <w:b/>
                <w:szCs w:val="22"/>
              </w:rPr>
              <w:t>收费方式</w:t>
            </w:r>
          </w:p>
        </w:tc>
        <w:tc>
          <w:tcPr>
            <w:tcW w:w="2126" w:type="dxa"/>
            <w:hideMark/>
          </w:tcPr>
          <w:p w14:paraId="6274E095" w14:textId="77777777" w:rsidR="004F7E65" w:rsidRDefault="00000000">
            <w:pPr>
              <w:rPr>
                <w:rFonts w:hint="eastAsia"/>
                <w:b/>
                <w:bCs/>
              </w:rPr>
            </w:pPr>
            <w:r w:rsidRPr="00C7160C">
              <w:rPr>
                <w:rFonts w:hint="eastAsia"/>
                <w:b/>
                <w:szCs w:val="22"/>
              </w:rPr>
              <w:t>代表玩家</w:t>
            </w:r>
          </w:p>
        </w:tc>
        <w:tc>
          <w:tcPr>
            <w:tcW w:w="2268" w:type="dxa"/>
            <w:hideMark/>
          </w:tcPr>
          <w:p w14:paraId="38D8A6FF" w14:textId="77777777" w:rsidR="004F7E65" w:rsidRDefault="00000000">
            <w:pPr>
              <w:rPr>
                <w:rFonts w:hint="eastAsia"/>
                <w:b/>
                <w:bCs/>
              </w:rPr>
            </w:pPr>
            <w:r w:rsidRPr="00C7160C">
              <w:rPr>
                <w:rFonts w:hint="eastAsia"/>
                <w:b/>
                <w:szCs w:val="22"/>
              </w:rPr>
              <w:t>盈利现状</w:t>
            </w:r>
          </w:p>
        </w:tc>
      </w:tr>
      <w:tr w:rsidR="004F7E65" w14:paraId="008F978D" w14:textId="77777777">
        <w:trPr>
          <w:trHeight w:val="1200"/>
        </w:trPr>
        <w:tc>
          <w:tcPr>
            <w:tcW w:w="1560" w:type="dxa"/>
            <w:hideMark/>
          </w:tcPr>
          <w:p w14:paraId="7C924412" w14:textId="77777777" w:rsidR="004F7E65" w:rsidRDefault="00000000">
            <w:pPr>
              <w:rPr>
                <w:rFonts w:hint="eastAsia"/>
              </w:rPr>
            </w:pPr>
            <w:r w:rsidRPr="00C7160C">
              <w:rPr>
                <w:rFonts w:hint="eastAsia"/>
                <w:szCs w:val="22"/>
              </w:rPr>
              <w:t>MaaS（模型即服务）</w:t>
            </w:r>
          </w:p>
        </w:tc>
        <w:tc>
          <w:tcPr>
            <w:tcW w:w="1985" w:type="dxa"/>
            <w:hideMark/>
          </w:tcPr>
          <w:p w14:paraId="124A652C" w14:textId="77777777" w:rsidR="004F7E65" w:rsidRDefault="00000000">
            <w:pPr>
              <w:rPr>
                <w:rFonts w:hint="eastAsia"/>
              </w:rPr>
            </w:pPr>
            <w:r>
              <w:rPr>
                <w:rFonts w:hint="eastAsia"/>
                <w:szCs w:val="22"/>
              </w:rPr>
              <w:t>分为API售卖，订阅制度两部分</w:t>
            </w:r>
          </w:p>
        </w:tc>
        <w:tc>
          <w:tcPr>
            <w:tcW w:w="1984" w:type="dxa"/>
            <w:hideMark/>
          </w:tcPr>
          <w:p w14:paraId="4B17FB90" w14:textId="77777777" w:rsidR="004F7E65" w:rsidRDefault="00000000">
            <w:pPr>
              <w:rPr>
                <w:rFonts w:hint="eastAsia"/>
              </w:rPr>
            </w:pPr>
            <w:r w:rsidRPr="00C7160C">
              <w:rPr>
                <w:rFonts w:hint="eastAsia"/>
                <w:szCs w:val="22"/>
              </w:rPr>
              <w:t>API售卖主要按Token消耗量计费</w:t>
            </w:r>
            <w:r w:rsidRPr="00C7160C">
              <w:rPr>
                <w:rFonts w:hint="eastAsia"/>
              </w:rPr>
              <w:br/>
            </w:r>
            <w:r>
              <w:rPr>
                <w:rFonts w:hint="eastAsia"/>
                <w:szCs w:val="22"/>
              </w:rPr>
              <w:t>，订阅制度一般为月包或者年包</w:t>
            </w:r>
          </w:p>
        </w:tc>
        <w:tc>
          <w:tcPr>
            <w:tcW w:w="2126" w:type="dxa"/>
            <w:hideMark/>
          </w:tcPr>
          <w:p w14:paraId="721A8E17" w14:textId="77777777" w:rsidR="004F7E65" w:rsidRDefault="00000000">
            <w:pPr>
              <w:rPr>
                <w:rFonts w:hint="eastAsia"/>
              </w:rPr>
            </w:pPr>
            <w:r>
              <w:rPr>
                <w:rFonts w:hint="eastAsia"/>
                <w:szCs w:val="22"/>
              </w:rPr>
              <w:t>几乎所有模型厂商</w:t>
            </w:r>
          </w:p>
        </w:tc>
        <w:tc>
          <w:tcPr>
            <w:tcW w:w="2268" w:type="dxa"/>
            <w:hideMark/>
          </w:tcPr>
          <w:p w14:paraId="7FC9ECD5" w14:textId="77777777" w:rsidR="004F7E65" w:rsidRDefault="00000000">
            <w:pPr>
              <w:rPr>
                <w:rFonts w:hint="eastAsia"/>
              </w:rPr>
            </w:pPr>
            <w:r>
              <w:rPr>
                <w:rFonts w:hint="eastAsia"/>
                <w:szCs w:val="22"/>
              </w:rPr>
              <w:t>使用量增长几块，但价格战剧烈，毛利率收到算力成本和内卷情况制约，用户量巨大但是ARPU低。</w:t>
            </w:r>
          </w:p>
        </w:tc>
      </w:tr>
      <w:tr w:rsidR="004F7E65" w14:paraId="382B6484" w14:textId="77777777">
        <w:trPr>
          <w:trHeight w:val="960"/>
        </w:trPr>
        <w:tc>
          <w:tcPr>
            <w:tcW w:w="1560" w:type="dxa"/>
            <w:hideMark/>
          </w:tcPr>
          <w:p w14:paraId="1FB5AC8E" w14:textId="77777777" w:rsidR="004F7E65" w:rsidRDefault="00000000">
            <w:pPr>
              <w:rPr>
                <w:rFonts w:hint="eastAsia"/>
              </w:rPr>
            </w:pPr>
            <w:r>
              <w:rPr>
                <w:rFonts w:hint="eastAsia"/>
                <w:szCs w:val="22"/>
              </w:rPr>
              <w:t>AIGC（AI内容生成工具）工具</w:t>
            </w:r>
          </w:p>
        </w:tc>
        <w:tc>
          <w:tcPr>
            <w:tcW w:w="1985" w:type="dxa"/>
            <w:hideMark/>
          </w:tcPr>
          <w:p w14:paraId="17A97D23" w14:textId="77777777" w:rsidR="004F7E65" w:rsidRDefault="00000000">
            <w:pPr>
              <w:rPr>
                <w:rFonts w:hint="eastAsia"/>
              </w:rPr>
            </w:pPr>
            <w:r>
              <w:rPr>
                <w:rFonts w:hint="eastAsia"/>
                <w:szCs w:val="22"/>
              </w:rPr>
              <w:t>与MaaS有一定交叉，但是更加专业化，一般有独立的窗口</w:t>
            </w:r>
          </w:p>
        </w:tc>
        <w:tc>
          <w:tcPr>
            <w:tcW w:w="1984" w:type="dxa"/>
            <w:hideMark/>
          </w:tcPr>
          <w:p w14:paraId="5C325382" w14:textId="77777777" w:rsidR="004F7E65" w:rsidRDefault="00000000">
            <w:pPr>
              <w:rPr>
                <w:rFonts w:hint="eastAsia"/>
              </w:rPr>
            </w:pPr>
            <w:r>
              <w:rPr>
                <w:rFonts w:hint="eastAsia"/>
                <w:szCs w:val="22"/>
              </w:rPr>
              <w:t>订阅制和积分制双轨收费</w:t>
            </w:r>
          </w:p>
        </w:tc>
        <w:tc>
          <w:tcPr>
            <w:tcW w:w="2126" w:type="dxa"/>
            <w:hideMark/>
          </w:tcPr>
          <w:p w14:paraId="11BA95BB" w14:textId="77777777" w:rsidR="004F7E65" w:rsidRDefault="00000000">
            <w:pPr>
              <w:rPr>
                <w:rFonts w:hint="eastAsia"/>
              </w:rPr>
            </w:pPr>
            <w:r>
              <w:rPr>
                <w:rFonts w:hint="eastAsia"/>
                <w:szCs w:val="22"/>
              </w:rPr>
              <w:t>视频类：Sora（已被放弃），即梦，云雀</w:t>
            </w:r>
          </w:p>
          <w:p w14:paraId="3E0EED84" w14:textId="77777777" w:rsidR="004F7E65" w:rsidRDefault="00000000">
            <w:pPr>
              <w:rPr>
                <w:rFonts w:hint="eastAsia"/>
              </w:rPr>
            </w:pPr>
            <w:r>
              <w:rPr>
                <w:rFonts w:hint="eastAsia"/>
                <w:szCs w:val="22"/>
              </w:rPr>
              <w:t>音乐类：Suno，Udio</w:t>
            </w:r>
          </w:p>
          <w:p w14:paraId="5DBABED6" w14:textId="77777777" w:rsidR="004F7E65" w:rsidRDefault="00000000">
            <w:pPr>
              <w:rPr>
                <w:rFonts w:hint="eastAsia"/>
              </w:rPr>
            </w:pPr>
            <w:r>
              <w:rPr>
                <w:rFonts w:hint="eastAsia"/>
                <w:szCs w:val="22"/>
              </w:rPr>
              <w:t>笔记写作类：Notion，Obsidian</w:t>
            </w:r>
          </w:p>
          <w:p w14:paraId="6038086F" w14:textId="77777777" w:rsidR="004F7E65" w:rsidRDefault="00000000">
            <w:pPr>
              <w:rPr>
                <w:rFonts w:hint="eastAsia"/>
              </w:rPr>
            </w:pPr>
            <w:r>
              <w:rPr>
                <w:rFonts w:hint="eastAsia"/>
                <w:szCs w:val="22"/>
              </w:rPr>
              <w:t>……</w:t>
            </w:r>
          </w:p>
        </w:tc>
        <w:tc>
          <w:tcPr>
            <w:tcW w:w="2268" w:type="dxa"/>
            <w:hideMark/>
          </w:tcPr>
          <w:p w14:paraId="60A86B5B" w14:textId="77777777" w:rsidR="004F7E65" w:rsidRDefault="00000000">
            <w:pPr>
              <w:rPr>
                <w:rFonts w:hint="eastAsia"/>
              </w:rPr>
            </w:pPr>
            <w:r>
              <w:rPr>
                <w:rFonts w:hint="eastAsia"/>
                <w:szCs w:val="22"/>
              </w:rPr>
              <w:t>根据具体的子分类，各自的盈利情况有所不同。整体上看市场规模均有上限，且竞争激烈，独立变现难度较大。</w:t>
            </w:r>
          </w:p>
        </w:tc>
      </w:tr>
      <w:tr w:rsidR="004F7E65" w14:paraId="338A3378" w14:textId="77777777">
        <w:trPr>
          <w:trHeight w:val="960"/>
        </w:trPr>
        <w:tc>
          <w:tcPr>
            <w:tcW w:w="1560" w:type="dxa"/>
            <w:hideMark/>
          </w:tcPr>
          <w:p w14:paraId="73BBE95A" w14:textId="77777777" w:rsidR="004F7E65" w:rsidRDefault="00000000">
            <w:pPr>
              <w:rPr>
                <w:rFonts w:hint="eastAsia"/>
              </w:rPr>
            </w:pPr>
            <w:r>
              <w:rPr>
                <w:rFonts w:hint="eastAsia"/>
                <w:szCs w:val="22"/>
              </w:rPr>
              <w:t>办公类工具</w:t>
            </w:r>
          </w:p>
        </w:tc>
        <w:tc>
          <w:tcPr>
            <w:tcW w:w="1985" w:type="dxa"/>
            <w:hideMark/>
          </w:tcPr>
          <w:p w14:paraId="0AF413E4" w14:textId="77777777" w:rsidR="004F7E65" w:rsidRDefault="00000000">
            <w:pPr>
              <w:rPr>
                <w:rFonts w:hint="eastAsia"/>
              </w:rPr>
            </w:pPr>
            <w:r>
              <w:rPr>
                <w:rFonts w:hint="eastAsia"/>
                <w:szCs w:val="22"/>
              </w:rPr>
              <w:t>包含传统办公的AI化改造板块（比如微软全家桶AI改造，会议纪</w:t>
            </w:r>
            <w:r>
              <w:rPr>
                <w:rFonts w:hint="eastAsia"/>
                <w:szCs w:val="22"/>
              </w:rPr>
              <w:lastRenderedPageBreak/>
              <w:t>要AI）以及编程辅助</w:t>
            </w:r>
          </w:p>
        </w:tc>
        <w:tc>
          <w:tcPr>
            <w:tcW w:w="1984" w:type="dxa"/>
            <w:hideMark/>
          </w:tcPr>
          <w:p w14:paraId="50ABBE69" w14:textId="77777777" w:rsidR="004F7E65" w:rsidRDefault="00000000">
            <w:pPr>
              <w:rPr>
                <w:rFonts w:hint="eastAsia"/>
              </w:rPr>
            </w:pPr>
            <w:r>
              <w:rPr>
                <w:rFonts w:hint="eastAsia"/>
                <w:szCs w:val="22"/>
              </w:rPr>
              <w:lastRenderedPageBreak/>
              <w:t>订阅制为主</w:t>
            </w:r>
          </w:p>
        </w:tc>
        <w:tc>
          <w:tcPr>
            <w:tcW w:w="2126" w:type="dxa"/>
            <w:hideMark/>
          </w:tcPr>
          <w:p w14:paraId="67B49EE7" w14:textId="77777777" w:rsidR="004F7E65" w:rsidRDefault="00000000">
            <w:pPr>
              <w:rPr>
                <w:rFonts w:hint="eastAsia"/>
              </w:rPr>
            </w:pPr>
            <w:r>
              <w:rPr>
                <w:rFonts w:hint="eastAsia"/>
                <w:szCs w:val="22"/>
              </w:rPr>
              <w:t>Microsoft copolit，WPS AI，Micosoft Office AI，Cursor，通义灵码，扣子，</w:t>
            </w:r>
            <w:r>
              <w:rPr>
                <w:rFonts w:hint="eastAsia"/>
                <w:szCs w:val="22"/>
              </w:rPr>
              <w:lastRenderedPageBreak/>
              <w:t>腾讯会议AI，Canva</w:t>
            </w:r>
          </w:p>
        </w:tc>
        <w:tc>
          <w:tcPr>
            <w:tcW w:w="2268" w:type="dxa"/>
            <w:hideMark/>
          </w:tcPr>
          <w:p w14:paraId="1740FF2E" w14:textId="77777777" w:rsidR="004F7E65" w:rsidRDefault="00000000">
            <w:pPr>
              <w:rPr>
                <w:rFonts w:hint="eastAsia"/>
              </w:rPr>
            </w:pPr>
            <w:r>
              <w:rPr>
                <w:rFonts w:hint="eastAsia"/>
                <w:szCs w:val="22"/>
              </w:rPr>
              <w:lastRenderedPageBreak/>
              <w:t>编程场景付费意愿最强，传统办公AI化仍在验证中，设计工具AI化进程较快但</w:t>
            </w:r>
            <w:r>
              <w:rPr>
                <w:rFonts w:hint="eastAsia"/>
                <w:szCs w:val="22"/>
              </w:rPr>
              <w:lastRenderedPageBreak/>
              <w:t>是竞争激烈</w:t>
            </w:r>
          </w:p>
        </w:tc>
      </w:tr>
      <w:tr w:rsidR="004F7E65" w14:paraId="53A1BBC8" w14:textId="77777777">
        <w:trPr>
          <w:trHeight w:val="960"/>
        </w:trPr>
        <w:tc>
          <w:tcPr>
            <w:tcW w:w="1560" w:type="dxa"/>
          </w:tcPr>
          <w:p w14:paraId="57E55F6E" w14:textId="77777777" w:rsidR="004F7E65" w:rsidRDefault="00000000">
            <w:pPr>
              <w:rPr>
                <w:rFonts w:hint="eastAsia"/>
              </w:rPr>
            </w:pPr>
            <w:r>
              <w:rPr>
                <w:rFonts w:hint="eastAsia"/>
                <w:szCs w:val="22"/>
              </w:rPr>
              <w:lastRenderedPageBreak/>
              <w:t>AI原生应用类</w:t>
            </w:r>
          </w:p>
        </w:tc>
        <w:tc>
          <w:tcPr>
            <w:tcW w:w="1985" w:type="dxa"/>
          </w:tcPr>
          <w:p w14:paraId="158ADAD3" w14:textId="77777777" w:rsidR="004F7E65" w:rsidRDefault="00000000">
            <w:pPr>
              <w:rPr>
                <w:rFonts w:hint="eastAsia"/>
              </w:rPr>
            </w:pPr>
            <w:r>
              <w:rPr>
                <w:rFonts w:hint="eastAsia"/>
                <w:szCs w:val="22"/>
              </w:rPr>
              <w:t>目前处于百花齐放状态，情感陪伴，教育，娱乐，游戏，内容创作社区皆有受众</w:t>
            </w:r>
          </w:p>
        </w:tc>
        <w:tc>
          <w:tcPr>
            <w:tcW w:w="1984" w:type="dxa"/>
          </w:tcPr>
          <w:p w14:paraId="0AF99EA8" w14:textId="77777777" w:rsidR="004F7E65" w:rsidRDefault="00000000">
            <w:pPr>
              <w:rPr>
                <w:rFonts w:hint="eastAsia"/>
              </w:rPr>
            </w:pPr>
            <w:r>
              <w:rPr>
                <w:rFonts w:hint="eastAsia"/>
                <w:szCs w:val="22"/>
              </w:rPr>
              <w:t>订阅制为主，参杂内购与积分次数制度</w:t>
            </w:r>
          </w:p>
        </w:tc>
        <w:tc>
          <w:tcPr>
            <w:tcW w:w="2126" w:type="dxa"/>
          </w:tcPr>
          <w:p w14:paraId="254849E1" w14:textId="77777777" w:rsidR="004F7E65" w:rsidRDefault="00000000">
            <w:pPr>
              <w:rPr>
                <w:rFonts w:hint="eastAsia"/>
              </w:rPr>
            </w:pPr>
            <w:r>
              <w:rPr>
                <w:rFonts w:hint="eastAsia"/>
                <w:szCs w:val="22"/>
              </w:rPr>
              <w:t>情感陪伴类：星野/Talkie（MiniMax）</w:t>
            </w:r>
          </w:p>
          <w:p w14:paraId="61471514" w14:textId="77777777" w:rsidR="004F7E65" w:rsidRDefault="00000000">
            <w:pPr>
              <w:rPr>
                <w:rFonts w:hint="eastAsia"/>
              </w:rPr>
            </w:pPr>
            <w:r>
              <w:rPr>
                <w:rFonts w:hint="eastAsia"/>
                <w:szCs w:val="22"/>
              </w:rPr>
              <w:t>Character.AI</w:t>
            </w:r>
          </w:p>
          <w:p w14:paraId="7F008005" w14:textId="77777777" w:rsidR="004F7E65" w:rsidRDefault="00000000">
            <w:pPr>
              <w:rPr>
                <w:rFonts w:hint="eastAsia"/>
              </w:rPr>
            </w:pPr>
            <w:r>
              <w:rPr>
                <w:rFonts w:hint="eastAsia"/>
                <w:szCs w:val="22"/>
              </w:rPr>
              <w:t>Replika"</w:t>
            </w:r>
          </w:p>
          <w:p w14:paraId="513C4543" w14:textId="77777777" w:rsidR="004F7E65" w:rsidRDefault="00000000">
            <w:pPr>
              <w:rPr>
                <w:rFonts w:hint="eastAsia"/>
              </w:rPr>
            </w:pPr>
            <w:r>
              <w:rPr>
                <w:rFonts w:hint="eastAsia"/>
                <w:szCs w:val="22"/>
              </w:rPr>
              <w:t>教育：Duolingo Max（AI辅导）</w:t>
            </w:r>
          </w:p>
          <w:p w14:paraId="103A0883" w14:textId="77777777" w:rsidR="004F7E65" w:rsidRDefault="00000000">
            <w:pPr>
              <w:rPr>
                <w:rFonts w:hint="eastAsia"/>
              </w:rPr>
            </w:pPr>
            <w:r>
              <w:rPr>
                <w:rFonts w:hint="eastAsia"/>
                <w:szCs w:val="22"/>
              </w:rPr>
              <w:t>Khan Academy（Khanmigo）</w:t>
            </w:r>
          </w:p>
        </w:tc>
        <w:tc>
          <w:tcPr>
            <w:tcW w:w="2268" w:type="dxa"/>
          </w:tcPr>
          <w:p w14:paraId="1D655605" w14:textId="77777777" w:rsidR="004F7E65" w:rsidRDefault="00000000">
            <w:pPr>
              <w:rPr>
                <w:rFonts w:hint="eastAsia"/>
              </w:rPr>
            </w:pPr>
            <w:r>
              <w:rPr>
                <w:rFonts w:hint="eastAsia"/>
                <w:szCs w:val="22"/>
              </w:rPr>
              <w:t>以情感陪伴和教育为代表的细分赛道用户粘性和付费意愿相对较高，娱乐及部分前沿类型尚未形成稳定商业模式，尚在探索中</w:t>
            </w:r>
          </w:p>
        </w:tc>
      </w:tr>
    </w:tbl>
    <w:p w14:paraId="7EADC9CF" w14:textId="77777777" w:rsidR="004F7E65" w:rsidRDefault="004F7E65">
      <w:pPr>
        <w:rPr>
          <w:rFonts w:hint="eastAsia"/>
        </w:rPr>
      </w:pPr>
    </w:p>
    <w:p w14:paraId="6C240873" w14:textId="1F49ED12" w:rsidR="004F7E65" w:rsidRDefault="00000000">
      <w:pPr>
        <w:rPr>
          <w:rFonts w:hint="eastAsia"/>
        </w:rPr>
      </w:pPr>
      <w:r>
        <w:rPr>
          <w:rFonts w:hint="eastAsia"/>
          <w:szCs w:val="22"/>
        </w:rPr>
        <w:t>目前大模型的商业格局称不上收敛。从盈利能力上来看，状况</w:t>
      </w:r>
      <w:r w:rsidR="009457F5">
        <w:rPr>
          <w:rFonts w:hint="eastAsia"/>
          <w:szCs w:val="22"/>
        </w:rPr>
        <w:t>也</w:t>
      </w:r>
      <w:r>
        <w:rPr>
          <w:rFonts w:hint="eastAsia"/>
          <w:szCs w:val="22"/>
        </w:rPr>
        <w:t>不</w:t>
      </w:r>
      <w:r w:rsidR="009457F5">
        <w:rPr>
          <w:rFonts w:hint="eastAsia"/>
          <w:szCs w:val="22"/>
        </w:rPr>
        <w:t>太</w:t>
      </w:r>
      <w:r>
        <w:rPr>
          <w:rFonts w:hint="eastAsia"/>
          <w:szCs w:val="22"/>
        </w:rPr>
        <w:t>健康。商业进程上OpenAI 是最接近跑通的样本，其2026年第一季度年化营收（ARR）已达约 250 亿美元，其中ChatGPT订阅及企业席位贡献约 70% 收入，付费订阅用户约 3,500 万。但Sam Altman亲口承认，即便定价200美元/月的ChatGPT Pro，由于重度用户的推理消耗过大，仍不盈利，公司2026年预计亏损高达 140 亿美元，整体仍靠千亿级融资续命，2026年4月最新一轮融资估值达 8,520 亿美元。其主要竞争对手Anthropic则走出了一条差异化路径：2026年4月ARR正式突破 300 亿美元，超过OpenAI，其中80%来自企业客户，年消费超100万美元的大客户突破 1,000 家，隐含估值超 1 万亿美元，预计2027年即可实现正向自由现金流。</w:t>
      </w:r>
    </w:p>
    <w:p w14:paraId="3D652687" w14:textId="77777777" w:rsidR="004F7E65" w:rsidRDefault="00000000">
      <w:pPr>
        <w:rPr>
          <w:rFonts w:hint="eastAsia"/>
        </w:rPr>
      </w:pPr>
      <w:r>
        <w:rPr>
          <w:rFonts w:hint="eastAsia"/>
          <w:szCs w:val="22"/>
        </w:rPr>
        <w:t>以已经上市的智谱和Minimax为参考。2025年Minimax C端产品（海螺AI、星野等）收入5308万美元，同比增长143%，占总收入67%。但同期经调整净亏损2.5亿美元。虽然2026年2月ARR突破1.5亿美元、毛利同比飙升437%，但距离盈亏平衡仍有距离。智谱总收入7.24亿人民币，同比增长132%</w:t>
      </w:r>
    </w:p>
    <w:p w14:paraId="6C83E188" w14:textId="70E82394" w:rsidR="004F7E65" w:rsidRDefault="00000000" w:rsidP="00864335">
      <w:pPr>
        <w:jc w:val="center"/>
        <w:rPr>
          <w:rFonts w:hint="eastAsia"/>
        </w:rPr>
      </w:pPr>
      <w:r>
        <w:rPr>
          <w:rFonts w:hint="eastAsia"/>
          <w:szCs w:val="22"/>
        </w:rPr>
        <w:t>表：</w:t>
      </w:r>
      <w:r w:rsidR="00864335">
        <w:rPr>
          <w:rFonts w:hint="eastAsia"/>
          <w:szCs w:val="22"/>
        </w:rPr>
        <w:t>智谱/minimax历年</w:t>
      </w:r>
      <w:r>
        <w:rPr>
          <w:rFonts w:hint="eastAsia"/>
          <w:szCs w:val="22"/>
        </w:rPr>
        <w:t>收入情况</w:t>
      </w:r>
      <w:r w:rsidR="00864335">
        <w:rPr>
          <w:rFonts w:hint="eastAsia"/>
          <w:szCs w:val="22"/>
        </w:rPr>
        <w:t>及预测</w:t>
      </w:r>
    </w:p>
    <w:tbl>
      <w:tblPr>
        <w:tblStyle w:val="af2"/>
        <w:tblW w:w="0" w:type="auto"/>
        <w:tblLook w:val="04A0" w:firstRow="1" w:lastRow="0" w:firstColumn="1" w:lastColumn="0" w:noHBand="0" w:noVBand="1"/>
      </w:tblPr>
      <w:tblGrid>
        <w:gridCol w:w="2538"/>
        <w:gridCol w:w="2879"/>
        <w:gridCol w:w="2879"/>
      </w:tblGrid>
      <w:tr w:rsidR="004F7E65" w14:paraId="4E3A5290" w14:textId="77777777">
        <w:trPr>
          <w:trHeight w:val="270"/>
        </w:trPr>
        <w:tc>
          <w:tcPr>
            <w:tcW w:w="2538" w:type="dxa"/>
            <w:hideMark/>
          </w:tcPr>
          <w:p w14:paraId="1A700C1B" w14:textId="77777777" w:rsidR="004F7E65" w:rsidRDefault="00000000">
            <w:pPr>
              <w:rPr>
                <w:rFonts w:hint="eastAsia"/>
                <w:b/>
                <w:bCs/>
              </w:rPr>
            </w:pPr>
            <w:r w:rsidRPr="00834FE0">
              <w:rPr>
                <w:rFonts w:hint="eastAsia"/>
                <w:b/>
                <w:szCs w:val="22"/>
              </w:rPr>
              <w:t>指标</w:t>
            </w:r>
          </w:p>
        </w:tc>
        <w:tc>
          <w:tcPr>
            <w:tcW w:w="2879" w:type="dxa"/>
            <w:hideMark/>
          </w:tcPr>
          <w:p w14:paraId="578D1849" w14:textId="72189EA2" w:rsidR="004F7E65" w:rsidRDefault="00000000">
            <w:pPr>
              <w:rPr>
                <w:rFonts w:hint="eastAsia"/>
                <w:b/>
                <w:bCs/>
              </w:rPr>
            </w:pPr>
            <w:r w:rsidRPr="00834FE0">
              <w:rPr>
                <w:rFonts w:hint="eastAsia"/>
                <w:b/>
                <w:szCs w:val="22"/>
              </w:rPr>
              <w:t>智谱</w:t>
            </w:r>
          </w:p>
        </w:tc>
        <w:tc>
          <w:tcPr>
            <w:tcW w:w="2879" w:type="dxa"/>
            <w:hideMark/>
          </w:tcPr>
          <w:p w14:paraId="5AE9965D" w14:textId="20E4C8E0" w:rsidR="004F7E65" w:rsidRDefault="00000000">
            <w:pPr>
              <w:rPr>
                <w:rFonts w:hint="eastAsia"/>
                <w:b/>
                <w:bCs/>
              </w:rPr>
            </w:pPr>
            <w:r w:rsidRPr="00834FE0">
              <w:rPr>
                <w:rFonts w:hint="eastAsia"/>
                <w:b/>
                <w:szCs w:val="22"/>
              </w:rPr>
              <w:t>MiniMax</w:t>
            </w:r>
          </w:p>
        </w:tc>
      </w:tr>
      <w:tr w:rsidR="004F7E65" w14:paraId="7C74FC31" w14:textId="77777777">
        <w:trPr>
          <w:trHeight w:val="270"/>
        </w:trPr>
        <w:tc>
          <w:tcPr>
            <w:tcW w:w="2538" w:type="dxa"/>
            <w:hideMark/>
          </w:tcPr>
          <w:p w14:paraId="2E7E43EB" w14:textId="77777777" w:rsidR="004F7E65" w:rsidRDefault="00000000">
            <w:pPr>
              <w:rPr>
                <w:rFonts w:hint="eastAsia"/>
              </w:rPr>
            </w:pPr>
            <w:r w:rsidRPr="00834FE0">
              <w:rPr>
                <w:rFonts w:hint="eastAsia"/>
                <w:szCs w:val="22"/>
              </w:rPr>
              <w:t>2022年收入</w:t>
            </w:r>
          </w:p>
        </w:tc>
        <w:tc>
          <w:tcPr>
            <w:tcW w:w="2879" w:type="dxa"/>
            <w:hideMark/>
          </w:tcPr>
          <w:p w14:paraId="3D004D89" w14:textId="77777777" w:rsidR="004F7E65" w:rsidRDefault="00000000">
            <w:pPr>
              <w:rPr>
                <w:rFonts w:hint="eastAsia"/>
              </w:rPr>
            </w:pPr>
            <w:r w:rsidRPr="00834FE0">
              <w:rPr>
                <w:rFonts w:hint="eastAsia"/>
                <w:szCs w:val="22"/>
              </w:rPr>
              <w:t>0.57亿 RMB</w:t>
            </w:r>
          </w:p>
        </w:tc>
        <w:tc>
          <w:tcPr>
            <w:tcW w:w="2879" w:type="dxa"/>
            <w:hideMark/>
          </w:tcPr>
          <w:p w14:paraId="4FAB5F54" w14:textId="77777777" w:rsidR="004F7E65" w:rsidRDefault="00000000">
            <w:pPr>
              <w:rPr>
                <w:rFonts w:hint="eastAsia"/>
              </w:rPr>
            </w:pPr>
            <w:r w:rsidRPr="00834FE0">
              <w:rPr>
                <w:rFonts w:hint="eastAsia"/>
                <w:szCs w:val="22"/>
              </w:rPr>
              <w:t>—</w:t>
            </w:r>
          </w:p>
        </w:tc>
      </w:tr>
      <w:tr w:rsidR="004F7E65" w14:paraId="78BBDE87" w14:textId="77777777">
        <w:trPr>
          <w:trHeight w:val="270"/>
        </w:trPr>
        <w:tc>
          <w:tcPr>
            <w:tcW w:w="2538" w:type="dxa"/>
            <w:hideMark/>
          </w:tcPr>
          <w:p w14:paraId="2EFBEC79" w14:textId="77777777" w:rsidR="004F7E65" w:rsidRDefault="00000000">
            <w:pPr>
              <w:rPr>
                <w:rFonts w:hint="eastAsia"/>
              </w:rPr>
            </w:pPr>
            <w:r w:rsidRPr="00834FE0">
              <w:rPr>
                <w:rFonts w:hint="eastAsia"/>
                <w:szCs w:val="22"/>
              </w:rPr>
              <w:t>2023年收入</w:t>
            </w:r>
          </w:p>
        </w:tc>
        <w:tc>
          <w:tcPr>
            <w:tcW w:w="2879" w:type="dxa"/>
            <w:hideMark/>
          </w:tcPr>
          <w:p w14:paraId="11AB9D6D" w14:textId="77777777" w:rsidR="004F7E65" w:rsidRDefault="00000000">
            <w:pPr>
              <w:rPr>
                <w:rFonts w:hint="eastAsia"/>
              </w:rPr>
            </w:pPr>
            <w:r w:rsidRPr="00834FE0">
              <w:rPr>
                <w:rFonts w:hint="eastAsia"/>
                <w:szCs w:val="22"/>
              </w:rPr>
              <w:t>1.25亿 RMB</w:t>
            </w:r>
          </w:p>
        </w:tc>
        <w:tc>
          <w:tcPr>
            <w:tcW w:w="2879" w:type="dxa"/>
            <w:hideMark/>
          </w:tcPr>
          <w:p w14:paraId="7FC30C4D" w14:textId="77777777" w:rsidR="004F7E65" w:rsidRDefault="00000000">
            <w:pPr>
              <w:rPr>
                <w:rFonts w:hint="eastAsia"/>
              </w:rPr>
            </w:pPr>
            <w:r w:rsidRPr="00834FE0">
              <w:rPr>
                <w:rFonts w:hint="eastAsia"/>
                <w:szCs w:val="22"/>
              </w:rPr>
              <w:t>~0.35亿 USD</w:t>
            </w:r>
          </w:p>
        </w:tc>
      </w:tr>
      <w:tr w:rsidR="004F7E65" w14:paraId="2CF43EE5" w14:textId="77777777">
        <w:trPr>
          <w:trHeight w:val="270"/>
        </w:trPr>
        <w:tc>
          <w:tcPr>
            <w:tcW w:w="2538" w:type="dxa"/>
            <w:hideMark/>
          </w:tcPr>
          <w:p w14:paraId="5A54EB49" w14:textId="77777777" w:rsidR="004F7E65" w:rsidRDefault="00000000">
            <w:pPr>
              <w:rPr>
                <w:rFonts w:hint="eastAsia"/>
              </w:rPr>
            </w:pPr>
            <w:r w:rsidRPr="00834FE0">
              <w:rPr>
                <w:rFonts w:hint="eastAsia"/>
                <w:szCs w:val="22"/>
              </w:rPr>
              <w:t>2024年收入</w:t>
            </w:r>
          </w:p>
        </w:tc>
        <w:tc>
          <w:tcPr>
            <w:tcW w:w="2879" w:type="dxa"/>
            <w:hideMark/>
          </w:tcPr>
          <w:p w14:paraId="06D32E4F" w14:textId="77777777" w:rsidR="004F7E65" w:rsidRDefault="00000000">
            <w:pPr>
              <w:rPr>
                <w:rFonts w:hint="eastAsia"/>
              </w:rPr>
            </w:pPr>
            <w:r w:rsidRPr="00834FE0">
              <w:rPr>
                <w:rFonts w:hint="eastAsia"/>
                <w:szCs w:val="22"/>
              </w:rPr>
              <w:t>3.12亿 RMB</w:t>
            </w:r>
          </w:p>
        </w:tc>
        <w:tc>
          <w:tcPr>
            <w:tcW w:w="2879" w:type="dxa"/>
            <w:hideMark/>
          </w:tcPr>
          <w:p w14:paraId="6EA4378E" w14:textId="77777777" w:rsidR="004F7E65" w:rsidRDefault="00000000">
            <w:pPr>
              <w:rPr>
                <w:rFonts w:hint="eastAsia"/>
              </w:rPr>
            </w:pPr>
            <w:r w:rsidRPr="00834FE0">
              <w:rPr>
                <w:rFonts w:hint="eastAsia"/>
                <w:szCs w:val="22"/>
              </w:rPr>
              <w:t>~0.31亿 USD</w:t>
            </w:r>
          </w:p>
        </w:tc>
      </w:tr>
      <w:tr w:rsidR="004F7E65" w14:paraId="737EACA0" w14:textId="77777777">
        <w:trPr>
          <w:trHeight w:val="270"/>
        </w:trPr>
        <w:tc>
          <w:tcPr>
            <w:tcW w:w="2538" w:type="dxa"/>
            <w:hideMark/>
          </w:tcPr>
          <w:p w14:paraId="311D97DB" w14:textId="77777777" w:rsidR="004F7E65" w:rsidRDefault="00000000">
            <w:pPr>
              <w:rPr>
                <w:rFonts w:hint="eastAsia"/>
              </w:rPr>
            </w:pPr>
            <w:r w:rsidRPr="00834FE0">
              <w:rPr>
                <w:rFonts w:hint="eastAsia"/>
                <w:szCs w:val="22"/>
              </w:rPr>
              <w:t>2025年收入</w:t>
            </w:r>
          </w:p>
        </w:tc>
        <w:tc>
          <w:tcPr>
            <w:tcW w:w="2879" w:type="dxa"/>
            <w:hideMark/>
          </w:tcPr>
          <w:p w14:paraId="57577D08" w14:textId="77777777" w:rsidR="004F7E65" w:rsidRDefault="00000000">
            <w:pPr>
              <w:rPr>
                <w:rFonts w:hint="eastAsia"/>
              </w:rPr>
            </w:pPr>
            <w:r w:rsidRPr="00834FE0">
              <w:rPr>
                <w:rFonts w:hint="eastAsia"/>
                <w:szCs w:val="22"/>
              </w:rPr>
              <w:t>7.24亿 RMB（+132% YoY）</w:t>
            </w:r>
          </w:p>
        </w:tc>
        <w:tc>
          <w:tcPr>
            <w:tcW w:w="2879" w:type="dxa"/>
            <w:hideMark/>
          </w:tcPr>
          <w:p w14:paraId="526478E4" w14:textId="77777777" w:rsidR="004F7E65" w:rsidRDefault="00000000">
            <w:pPr>
              <w:rPr>
                <w:rFonts w:hint="eastAsia"/>
              </w:rPr>
            </w:pPr>
            <w:r w:rsidRPr="00834FE0">
              <w:rPr>
                <w:rFonts w:hint="eastAsia"/>
                <w:szCs w:val="22"/>
              </w:rPr>
              <w:t>0.79亿 USD（+159% YoY）</w:t>
            </w:r>
          </w:p>
        </w:tc>
      </w:tr>
      <w:tr w:rsidR="004F7E65" w14:paraId="40B49EF1" w14:textId="77777777">
        <w:trPr>
          <w:trHeight w:val="270"/>
        </w:trPr>
        <w:tc>
          <w:tcPr>
            <w:tcW w:w="2538" w:type="dxa"/>
            <w:hideMark/>
          </w:tcPr>
          <w:p w14:paraId="5DB1623F" w14:textId="77777777" w:rsidR="004F7E65" w:rsidRDefault="00000000">
            <w:pPr>
              <w:rPr>
                <w:rFonts w:hint="eastAsia"/>
              </w:rPr>
            </w:pPr>
            <w:r w:rsidRPr="00834FE0">
              <w:rPr>
                <w:rFonts w:hint="eastAsia"/>
                <w:szCs w:val="22"/>
              </w:rPr>
              <w:t>2026E收入（UBS/JPM）</w:t>
            </w:r>
          </w:p>
        </w:tc>
        <w:tc>
          <w:tcPr>
            <w:tcW w:w="2879" w:type="dxa"/>
            <w:hideMark/>
          </w:tcPr>
          <w:p w14:paraId="7912E8EB" w14:textId="77777777" w:rsidR="004F7E65" w:rsidRDefault="00000000">
            <w:pPr>
              <w:rPr>
                <w:rFonts w:hint="eastAsia"/>
              </w:rPr>
            </w:pPr>
            <w:r w:rsidRPr="00834FE0">
              <w:rPr>
                <w:rFonts w:hint="eastAsia"/>
                <w:szCs w:val="22"/>
              </w:rPr>
              <w:t>32.08亿 RMB（UBS）</w:t>
            </w:r>
          </w:p>
        </w:tc>
        <w:tc>
          <w:tcPr>
            <w:tcW w:w="2879" w:type="dxa"/>
            <w:hideMark/>
          </w:tcPr>
          <w:p w14:paraId="657E7DFF" w14:textId="77777777" w:rsidR="004F7E65" w:rsidRDefault="00000000">
            <w:pPr>
              <w:rPr>
                <w:rFonts w:hint="eastAsia"/>
              </w:rPr>
            </w:pPr>
            <w:r w:rsidRPr="00834FE0">
              <w:rPr>
                <w:rFonts w:hint="eastAsia"/>
                <w:szCs w:val="22"/>
              </w:rPr>
              <w:t>2.20亿 USD（JPM）</w:t>
            </w:r>
          </w:p>
        </w:tc>
      </w:tr>
      <w:tr w:rsidR="004F7E65" w14:paraId="5EF315AB" w14:textId="77777777">
        <w:trPr>
          <w:trHeight w:val="270"/>
        </w:trPr>
        <w:tc>
          <w:tcPr>
            <w:tcW w:w="2538" w:type="dxa"/>
            <w:hideMark/>
          </w:tcPr>
          <w:p w14:paraId="6C424E54" w14:textId="77777777" w:rsidR="004F7E65" w:rsidRDefault="00000000">
            <w:pPr>
              <w:rPr>
                <w:rFonts w:hint="eastAsia"/>
              </w:rPr>
            </w:pPr>
            <w:r w:rsidRPr="00834FE0">
              <w:rPr>
                <w:rFonts w:hint="eastAsia"/>
                <w:szCs w:val="22"/>
              </w:rPr>
              <w:t>2027E收入（UBS/JPM）</w:t>
            </w:r>
          </w:p>
        </w:tc>
        <w:tc>
          <w:tcPr>
            <w:tcW w:w="2879" w:type="dxa"/>
            <w:hideMark/>
          </w:tcPr>
          <w:p w14:paraId="46C3D0FF" w14:textId="77777777" w:rsidR="004F7E65" w:rsidRDefault="00000000">
            <w:pPr>
              <w:rPr>
                <w:rFonts w:hint="eastAsia"/>
              </w:rPr>
            </w:pPr>
            <w:r w:rsidRPr="00834FE0">
              <w:rPr>
                <w:rFonts w:hint="eastAsia"/>
                <w:szCs w:val="22"/>
              </w:rPr>
              <w:t>79.41亿 RMB（UBS）</w:t>
            </w:r>
          </w:p>
        </w:tc>
        <w:tc>
          <w:tcPr>
            <w:tcW w:w="2879" w:type="dxa"/>
            <w:hideMark/>
          </w:tcPr>
          <w:p w14:paraId="61359070" w14:textId="77777777" w:rsidR="004F7E65" w:rsidRDefault="00000000">
            <w:pPr>
              <w:rPr>
                <w:rFonts w:hint="eastAsia"/>
              </w:rPr>
            </w:pPr>
            <w:r w:rsidRPr="00834FE0">
              <w:rPr>
                <w:rFonts w:hint="eastAsia"/>
                <w:szCs w:val="22"/>
              </w:rPr>
              <w:t>6.34亿 USD（JPM）</w:t>
            </w:r>
          </w:p>
        </w:tc>
      </w:tr>
      <w:tr w:rsidR="004F7E65" w14:paraId="454B2FF9" w14:textId="77777777">
        <w:trPr>
          <w:trHeight w:val="270"/>
        </w:trPr>
        <w:tc>
          <w:tcPr>
            <w:tcW w:w="2538" w:type="dxa"/>
            <w:hideMark/>
          </w:tcPr>
          <w:p w14:paraId="2E931A10" w14:textId="77777777" w:rsidR="004F7E65" w:rsidRDefault="00000000">
            <w:pPr>
              <w:rPr>
                <w:rFonts w:hint="eastAsia"/>
              </w:rPr>
            </w:pPr>
            <w:r>
              <w:rPr>
                <w:rFonts w:hint="eastAsia"/>
                <w:szCs w:val="22"/>
              </w:rPr>
              <w:t>收入CAGR（预测）</w:t>
            </w:r>
          </w:p>
        </w:tc>
        <w:tc>
          <w:tcPr>
            <w:tcW w:w="2879" w:type="dxa"/>
            <w:hideMark/>
          </w:tcPr>
          <w:p w14:paraId="5C5BA297" w14:textId="77777777" w:rsidR="004F7E65" w:rsidRDefault="00000000">
            <w:pPr>
              <w:rPr>
                <w:rFonts w:hint="eastAsia"/>
              </w:rPr>
            </w:pPr>
            <w:r w:rsidRPr="00834FE0">
              <w:rPr>
                <w:rFonts w:hint="eastAsia"/>
                <w:szCs w:val="22"/>
              </w:rPr>
              <w:t>231%（UBS，25-27E）</w:t>
            </w:r>
          </w:p>
        </w:tc>
        <w:tc>
          <w:tcPr>
            <w:tcW w:w="2879" w:type="dxa"/>
            <w:hideMark/>
          </w:tcPr>
          <w:p w14:paraId="42795F56" w14:textId="77777777" w:rsidR="004F7E65" w:rsidRDefault="00000000">
            <w:pPr>
              <w:rPr>
                <w:rFonts w:hint="eastAsia"/>
              </w:rPr>
            </w:pPr>
            <w:r w:rsidRPr="00834FE0">
              <w:rPr>
                <w:rFonts w:hint="eastAsia"/>
                <w:szCs w:val="22"/>
              </w:rPr>
              <w:t>约2年内9-10倍增长（MS）</w:t>
            </w:r>
          </w:p>
        </w:tc>
      </w:tr>
    </w:tbl>
    <w:p w14:paraId="707C331A" w14:textId="0B803CEC" w:rsidR="004F7E65" w:rsidRDefault="00000000" w:rsidP="00A1131D">
      <w:pPr>
        <w:jc w:val="center"/>
        <w:rPr>
          <w:rFonts w:hint="eastAsia"/>
        </w:rPr>
      </w:pPr>
      <w:r>
        <w:rPr>
          <w:rFonts w:hint="eastAsia"/>
          <w:szCs w:val="22"/>
        </w:rPr>
        <w:t>表：</w:t>
      </w:r>
      <w:r w:rsidR="00A1131D">
        <w:rPr>
          <w:rFonts w:hint="eastAsia"/>
          <w:szCs w:val="22"/>
        </w:rPr>
        <w:t>智谱/minimax</w:t>
      </w:r>
      <w:r>
        <w:rPr>
          <w:rFonts w:hint="eastAsia"/>
          <w:szCs w:val="22"/>
        </w:rPr>
        <w:t>盈亏情况</w:t>
      </w:r>
    </w:p>
    <w:tbl>
      <w:tblPr>
        <w:tblStyle w:val="af2"/>
        <w:tblW w:w="0" w:type="auto"/>
        <w:tblLook w:val="04A0" w:firstRow="1" w:lastRow="0" w:firstColumn="1" w:lastColumn="0" w:noHBand="0" w:noVBand="1"/>
      </w:tblPr>
      <w:tblGrid>
        <w:gridCol w:w="2426"/>
        <w:gridCol w:w="2890"/>
        <w:gridCol w:w="2980"/>
      </w:tblGrid>
      <w:tr w:rsidR="004F7E65" w14:paraId="39065758" w14:textId="77777777">
        <w:trPr>
          <w:trHeight w:val="270"/>
        </w:trPr>
        <w:tc>
          <w:tcPr>
            <w:tcW w:w="2426" w:type="dxa"/>
            <w:hideMark/>
          </w:tcPr>
          <w:p w14:paraId="67C16FDE" w14:textId="77777777" w:rsidR="004F7E65" w:rsidRDefault="00000000">
            <w:pPr>
              <w:rPr>
                <w:rFonts w:hint="eastAsia"/>
                <w:b/>
                <w:bCs/>
              </w:rPr>
            </w:pPr>
            <w:r w:rsidRPr="00394936">
              <w:rPr>
                <w:rFonts w:hint="eastAsia"/>
                <w:b/>
                <w:szCs w:val="22"/>
              </w:rPr>
              <w:lastRenderedPageBreak/>
              <w:t>指标</w:t>
            </w:r>
          </w:p>
        </w:tc>
        <w:tc>
          <w:tcPr>
            <w:tcW w:w="2890" w:type="dxa"/>
            <w:hideMark/>
          </w:tcPr>
          <w:p w14:paraId="02ED8892" w14:textId="77777777" w:rsidR="004F7E65" w:rsidRDefault="00000000">
            <w:pPr>
              <w:rPr>
                <w:rFonts w:hint="eastAsia"/>
                <w:b/>
                <w:bCs/>
              </w:rPr>
            </w:pPr>
            <w:r w:rsidRPr="00394936">
              <w:rPr>
                <w:rFonts w:hint="eastAsia"/>
                <w:b/>
                <w:szCs w:val="22"/>
              </w:rPr>
              <w:t>智谱</w:t>
            </w:r>
          </w:p>
        </w:tc>
        <w:tc>
          <w:tcPr>
            <w:tcW w:w="2980" w:type="dxa"/>
            <w:hideMark/>
          </w:tcPr>
          <w:p w14:paraId="6D9CF23F" w14:textId="77777777" w:rsidR="004F7E65" w:rsidRDefault="00000000">
            <w:pPr>
              <w:rPr>
                <w:rFonts w:hint="eastAsia"/>
                <w:b/>
                <w:bCs/>
              </w:rPr>
            </w:pPr>
            <w:r w:rsidRPr="00394936">
              <w:rPr>
                <w:rFonts w:hint="eastAsia"/>
                <w:b/>
                <w:szCs w:val="22"/>
              </w:rPr>
              <w:t>MiniMax</w:t>
            </w:r>
          </w:p>
        </w:tc>
      </w:tr>
      <w:tr w:rsidR="004F7E65" w14:paraId="7CA50B45" w14:textId="77777777">
        <w:trPr>
          <w:trHeight w:val="480"/>
        </w:trPr>
        <w:tc>
          <w:tcPr>
            <w:tcW w:w="2426" w:type="dxa"/>
            <w:hideMark/>
          </w:tcPr>
          <w:p w14:paraId="4351B07F" w14:textId="77777777" w:rsidR="004F7E65" w:rsidRDefault="00000000">
            <w:pPr>
              <w:rPr>
                <w:rFonts w:hint="eastAsia"/>
              </w:rPr>
            </w:pPr>
            <w:r w:rsidRPr="00394936">
              <w:rPr>
                <w:rFonts w:hint="eastAsia"/>
                <w:szCs w:val="22"/>
              </w:rPr>
              <w:t>2025整体毛利率</w:t>
            </w:r>
          </w:p>
        </w:tc>
        <w:tc>
          <w:tcPr>
            <w:tcW w:w="2890" w:type="dxa"/>
            <w:hideMark/>
          </w:tcPr>
          <w:p w14:paraId="2FECD6B3" w14:textId="77777777" w:rsidR="004F7E65" w:rsidRDefault="00000000">
            <w:pPr>
              <w:rPr>
                <w:rFonts w:hint="eastAsia"/>
              </w:rPr>
            </w:pPr>
            <w:r>
              <w:rPr>
                <w:rFonts w:hint="eastAsia"/>
                <w:szCs w:val="22"/>
              </w:rPr>
              <w:t>41%</w:t>
            </w:r>
          </w:p>
        </w:tc>
        <w:tc>
          <w:tcPr>
            <w:tcW w:w="2980" w:type="dxa"/>
            <w:hideMark/>
          </w:tcPr>
          <w:p w14:paraId="2BF54D59" w14:textId="77777777" w:rsidR="004F7E65" w:rsidRDefault="00000000">
            <w:pPr>
              <w:rPr>
                <w:rFonts w:hint="eastAsia"/>
              </w:rPr>
            </w:pPr>
            <w:r w:rsidRPr="00394936">
              <w:rPr>
                <w:rFonts w:hint="eastAsia"/>
                <w:szCs w:val="22"/>
              </w:rPr>
              <w:t>25.4%</w:t>
            </w:r>
          </w:p>
        </w:tc>
      </w:tr>
      <w:tr w:rsidR="004F7E65" w14:paraId="4BD25D48" w14:textId="77777777">
        <w:trPr>
          <w:trHeight w:val="270"/>
        </w:trPr>
        <w:tc>
          <w:tcPr>
            <w:tcW w:w="2426" w:type="dxa"/>
            <w:hideMark/>
          </w:tcPr>
          <w:p w14:paraId="62AE6241" w14:textId="77777777" w:rsidR="004F7E65" w:rsidRDefault="00000000">
            <w:pPr>
              <w:rPr>
                <w:rFonts w:hint="eastAsia"/>
              </w:rPr>
            </w:pPr>
            <w:r w:rsidRPr="00394936">
              <w:rPr>
                <w:rFonts w:hint="eastAsia"/>
                <w:szCs w:val="22"/>
              </w:rPr>
              <w:t>2025云端毛利率</w:t>
            </w:r>
          </w:p>
        </w:tc>
        <w:tc>
          <w:tcPr>
            <w:tcW w:w="2890" w:type="dxa"/>
            <w:hideMark/>
          </w:tcPr>
          <w:p w14:paraId="56FC521F" w14:textId="77777777" w:rsidR="004F7E65" w:rsidRDefault="00000000">
            <w:pPr>
              <w:rPr>
                <w:rFonts w:hint="eastAsia"/>
              </w:rPr>
            </w:pPr>
            <w:r w:rsidRPr="00394936">
              <w:rPr>
                <w:rFonts w:hint="eastAsia"/>
                <w:szCs w:val="22"/>
              </w:rPr>
              <w:t>18.9%</w:t>
            </w:r>
          </w:p>
        </w:tc>
        <w:tc>
          <w:tcPr>
            <w:tcW w:w="2980" w:type="dxa"/>
            <w:hideMark/>
          </w:tcPr>
          <w:p w14:paraId="28E7486E" w14:textId="77777777" w:rsidR="004F7E65" w:rsidRDefault="00000000">
            <w:pPr>
              <w:rPr>
                <w:rFonts w:hint="eastAsia"/>
              </w:rPr>
            </w:pPr>
            <w:r w:rsidRPr="00394936">
              <w:rPr>
                <w:rFonts w:hint="eastAsia"/>
                <w:szCs w:val="22"/>
              </w:rPr>
              <w:t>69.4%（前三季度）</w:t>
            </w:r>
          </w:p>
        </w:tc>
      </w:tr>
      <w:tr w:rsidR="004F7E65" w14:paraId="533D5FEB" w14:textId="77777777">
        <w:trPr>
          <w:trHeight w:val="270"/>
        </w:trPr>
        <w:tc>
          <w:tcPr>
            <w:tcW w:w="2426" w:type="dxa"/>
            <w:hideMark/>
          </w:tcPr>
          <w:p w14:paraId="60516B45" w14:textId="77777777" w:rsidR="004F7E65" w:rsidRDefault="00000000">
            <w:pPr>
              <w:rPr>
                <w:rFonts w:hint="eastAsia"/>
              </w:rPr>
            </w:pPr>
            <w:r w:rsidRPr="00394936">
              <w:rPr>
                <w:rFonts w:hint="eastAsia"/>
                <w:szCs w:val="22"/>
              </w:rPr>
              <w:t>毛利率趋势</w:t>
            </w:r>
          </w:p>
        </w:tc>
        <w:tc>
          <w:tcPr>
            <w:tcW w:w="2890" w:type="dxa"/>
            <w:hideMark/>
          </w:tcPr>
          <w:p w14:paraId="2E8D2749" w14:textId="77777777" w:rsidR="004F7E65" w:rsidRDefault="00000000">
            <w:pPr>
              <w:rPr>
                <w:rFonts w:hint="eastAsia"/>
              </w:rPr>
            </w:pPr>
            <w:r w:rsidRPr="00394936">
              <w:rPr>
                <w:rFonts w:hint="eastAsia"/>
                <w:szCs w:val="22"/>
              </w:rPr>
              <w:t>云端提升显著，本地稳定</w:t>
            </w:r>
          </w:p>
        </w:tc>
        <w:tc>
          <w:tcPr>
            <w:tcW w:w="2980" w:type="dxa"/>
            <w:hideMark/>
          </w:tcPr>
          <w:p w14:paraId="7828E09A" w14:textId="77777777" w:rsidR="004F7E65" w:rsidRDefault="00000000">
            <w:pPr>
              <w:rPr>
                <w:rFonts w:hint="eastAsia"/>
              </w:rPr>
            </w:pPr>
            <w:r w:rsidRPr="00394936">
              <w:rPr>
                <w:rFonts w:hint="eastAsia"/>
                <w:szCs w:val="22"/>
              </w:rPr>
              <w:t>2023:-25%→2024:12%→2025:25%</w:t>
            </w:r>
          </w:p>
        </w:tc>
      </w:tr>
      <w:tr w:rsidR="004F7E65" w14:paraId="7CA4964B" w14:textId="77777777">
        <w:trPr>
          <w:trHeight w:val="270"/>
        </w:trPr>
        <w:tc>
          <w:tcPr>
            <w:tcW w:w="2426" w:type="dxa"/>
            <w:hideMark/>
          </w:tcPr>
          <w:p w14:paraId="74958A77" w14:textId="77777777" w:rsidR="004F7E65" w:rsidRDefault="00000000">
            <w:pPr>
              <w:rPr>
                <w:rFonts w:hint="eastAsia"/>
              </w:rPr>
            </w:pPr>
            <w:r w:rsidRPr="00394936">
              <w:rPr>
                <w:rFonts w:hint="eastAsia"/>
                <w:szCs w:val="22"/>
              </w:rPr>
              <w:t>2025调整后净亏损</w:t>
            </w:r>
          </w:p>
        </w:tc>
        <w:tc>
          <w:tcPr>
            <w:tcW w:w="2890" w:type="dxa"/>
            <w:hideMark/>
          </w:tcPr>
          <w:p w14:paraId="27EDFE1A" w14:textId="77777777" w:rsidR="004F7E65" w:rsidRDefault="00000000">
            <w:pPr>
              <w:rPr>
                <w:rFonts w:hint="eastAsia"/>
              </w:rPr>
            </w:pPr>
            <w:r w:rsidRPr="00394936">
              <w:rPr>
                <w:rFonts w:hint="eastAsia"/>
                <w:szCs w:val="22"/>
              </w:rPr>
              <w:t>~-31.82亿 RMB（广发）</w:t>
            </w:r>
          </w:p>
        </w:tc>
        <w:tc>
          <w:tcPr>
            <w:tcW w:w="2980" w:type="dxa"/>
            <w:hideMark/>
          </w:tcPr>
          <w:p w14:paraId="703A037C" w14:textId="77777777" w:rsidR="004F7E65" w:rsidRDefault="00000000">
            <w:pPr>
              <w:rPr>
                <w:rFonts w:hint="eastAsia"/>
              </w:rPr>
            </w:pPr>
            <w:r w:rsidRPr="00394936">
              <w:rPr>
                <w:rFonts w:hint="eastAsia"/>
                <w:szCs w:val="22"/>
              </w:rPr>
              <w:t>-2.51亿 USD</w:t>
            </w:r>
          </w:p>
        </w:tc>
      </w:tr>
      <w:tr w:rsidR="004F7E65" w14:paraId="2ADB3A21" w14:textId="77777777">
        <w:trPr>
          <w:trHeight w:val="270"/>
        </w:trPr>
        <w:tc>
          <w:tcPr>
            <w:tcW w:w="2426" w:type="dxa"/>
            <w:hideMark/>
          </w:tcPr>
          <w:p w14:paraId="5126AAF7" w14:textId="77777777" w:rsidR="004F7E65" w:rsidRDefault="00000000">
            <w:pPr>
              <w:rPr>
                <w:rFonts w:hint="eastAsia"/>
              </w:rPr>
            </w:pPr>
            <w:r>
              <w:rPr>
                <w:rFonts w:hint="eastAsia"/>
                <w:szCs w:val="22"/>
              </w:rPr>
              <w:t>调整后净亏损/收入</w:t>
            </w:r>
          </w:p>
        </w:tc>
        <w:tc>
          <w:tcPr>
            <w:tcW w:w="2890" w:type="dxa"/>
            <w:hideMark/>
          </w:tcPr>
          <w:p w14:paraId="537998FA" w14:textId="77777777" w:rsidR="004F7E65" w:rsidRDefault="00000000">
            <w:pPr>
              <w:rPr>
                <w:rFonts w:hint="eastAsia"/>
              </w:rPr>
            </w:pPr>
            <w:r>
              <w:rPr>
                <w:rFonts w:hint="eastAsia"/>
                <w:szCs w:val="22"/>
              </w:rPr>
              <w:t>-439%</w:t>
            </w:r>
          </w:p>
        </w:tc>
        <w:tc>
          <w:tcPr>
            <w:tcW w:w="2980" w:type="dxa"/>
            <w:hideMark/>
          </w:tcPr>
          <w:p w14:paraId="7AEE8117" w14:textId="77777777" w:rsidR="004F7E65" w:rsidRDefault="00000000">
            <w:pPr>
              <w:rPr>
                <w:rFonts w:hint="eastAsia"/>
              </w:rPr>
            </w:pPr>
            <w:r>
              <w:rPr>
                <w:rFonts w:hint="eastAsia"/>
                <w:szCs w:val="22"/>
              </w:rPr>
              <w:t>-316%</w:t>
            </w:r>
          </w:p>
        </w:tc>
      </w:tr>
      <w:tr w:rsidR="004F7E65" w14:paraId="175E801E" w14:textId="77777777">
        <w:trPr>
          <w:trHeight w:val="270"/>
        </w:trPr>
        <w:tc>
          <w:tcPr>
            <w:tcW w:w="2426" w:type="dxa"/>
            <w:hideMark/>
          </w:tcPr>
          <w:p w14:paraId="3751D7AF" w14:textId="77777777" w:rsidR="004F7E65" w:rsidRDefault="00000000">
            <w:pPr>
              <w:rPr>
                <w:rFonts w:hint="eastAsia"/>
              </w:rPr>
            </w:pPr>
            <w:r w:rsidRPr="00394936">
              <w:rPr>
                <w:rFonts w:hint="eastAsia"/>
                <w:szCs w:val="22"/>
              </w:rPr>
              <w:t>亏损率趋势</w:t>
            </w:r>
          </w:p>
        </w:tc>
        <w:tc>
          <w:tcPr>
            <w:tcW w:w="2890" w:type="dxa"/>
            <w:hideMark/>
          </w:tcPr>
          <w:p w14:paraId="59CC2A4A" w14:textId="77777777" w:rsidR="004F7E65" w:rsidRDefault="00000000">
            <w:pPr>
              <w:rPr>
                <w:rFonts w:hint="eastAsia"/>
              </w:rPr>
            </w:pPr>
            <w:r w:rsidRPr="00394936">
              <w:rPr>
                <w:rFonts w:hint="eastAsia"/>
                <w:szCs w:val="22"/>
              </w:rPr>
              <w:t>仍在扩大（加大研发）</w:t>
            </w:r>
          </w:p>
        </w:tc>
        <w:tc>
          <w:tcPr>
            <w:tcW w:w="2980" w:type="dxa"/>
            <w:hideMark/>
          </w:tcPr>
          <w:p w14:paraId="087F514C" w14:textId="77777777" w:rsidR="004F7E65" w:rsidRDefault="00000000">
            <w:pPr>
              <w:rPr>
                <w:rFonts w:hint="eastAsia"/>
              </w:rPr>
            </w:pPr>
            <w:r w:rsidRPr="00394936">
              <w:rPr>
                <w:rFonts w:hint="eastAsia"/>
                <w:szCs w:val="22"/>
              </w:rPr>
              <w:t>收窄：-807%→-321%</w:t>
            </w:r>
          </w:p>
        </w:tc>
      </w:tr>
    </w:tbl>
    <w:p w14:paraId="1F65B885" w14:textId="77777777" w:rsidR="004F7E65" w:rsidRDefault="004F7E65">
      <w:pPr>
        <w:rPr>
          <w:rFonts w:hint="eastAsia"/>
        </w:rPr>
      </w:pPr>
    </w:p>
    <w:p w14:paraId="589F3CDD" w14:textId="11C015DB" w:rsidR="004F7E65" w:rsidRDefault="00F14E9B">
      <w:pPr>
        <w:pStyle w:val="2"/>
        <w:rPr>
          <w:rFonts w:hint="eastAsia"/>
        </w:rPr>
      </w:pPr>
      <w:r>
        <w:rPr>
          <w:rFonts w:hint="eastAsia"/>
        </w:rPr>
        <w:t>2</w:t>
      </w:r>
      <w:r w:rsidR="00000000">
        <w:rPr>
          <w:rFonts w:hint="eastAsia"/>
        </w:rPr>
        <w:t>.</w:t>
      </w:r>
      <w:r>
        <w:rPr>
          <w:rFonts w:hint="eastAsia"/>
        </w:rPr>
        <w:t>3</w:t>
      </w:r>
      <w:r w:rsidR="00000000">
        <w:rPr>
          <w:rFonts w:hint="eastAsia"/>
        </w:rPr>
        <w:t>产业瓶颈</w:t>
      </w:r>
    </w:p>
    <w:p w14:paraId="6FEEDE7F" w14:textId="339C80BC" w:rsidR="004F7E65" w:rsidRDefault="00F14E9B">
      <w:pPr>
        <w:pStyle w:val="3"/>
        <w:rPr>
          <w:rFonts w:hint="eastAsia"/>
        </w:rPr>
      </w:pPr>
      <w:r>
        <w:rPr>
          <w:rFonts w:hint="eastAsia"/>
        </w:rPr>
        <w:t>2.3.1</w:t>
      </w:r>
      <w:r w:rsidR="00000000">
        <w:rPr>
          <w:rFonts w:hint="eastAsia"/>
        </w:rPr>
        <w:t>技术瓶颈</w:t>
      </w:r>
    </w:p>
    <w:p w14:paraId="39DAA3C6" w14:textId="77777777" w:rsidR="004F7E65" w:rsidRDefault="00000000">
      <w:pPr>
        <w:rPr>
          <w:rFonts w:hint="eastAsia"/>
        </w:rPr>
      </w:pPr>
      <w:r>
        <w:rPr>
          <w:rFonts w:hint="eastAsia"/>
          <w:szCs w:val="22"/>
        </w:rPr>
        <w:t>当前，大模型的技术发展已从单纯的参数规模竞赛，转向对模型效能、可靠性及综合成本的深度攻坚，基础能力提升放缓与工程化难题并存。</w:t>
      </w:r>
    </w:p>
    <w:p w14:paraId="13C9C3AA" w14:textId="77777777" w:rsidR="004F7E65" w:rsidRDefault="00000000">
      <w:pPr>
        <w:rPr>
          <w:rFonts w:hint="eastAsia"/>
        </w:rPr>
      </w:pPr>
      <w:r>
        <w:rPr>
          <w:rFonts w:hint="eastAsia"/>
          <w:szCs w:val="22"/>
        </w:rPr>
        <w:t>首先，基座模型的能力演进进入平台期，核心能力突破放缓。根据行业分析，进入2025年后，全球通用大模型的基座能力持续演进，但迭代周期维持在3至4个月，重点在于已有能力的优化与巩固。有观点明确指出，2025年大模型的“基模型能力没有提升”，产业界将重点转向了“深度推理”等效能优化方向，而非底层能力的颠覆性革新。这标志着单纯依靠Scaling Law（规模定律）驱动性能线性增长的模式已触及阶段性天花板。</w:t>
      </w:r>
    </w:p>
    <w:p w14:paraId="3E641757" w14:textId="77777777" w:rsidR="004F7E65" w:rsidRDefault="00000000">
      <w:pPr>
        <w:rPr>
          <w:rFonts w:hint="eastAsia"/>
        </w:rPr>
      </w:pPr>
      <w:r>
        <w:rPr>
          <w:rFonts w:hint="eastAsia"/>
          <w:szCs w:val="22"/>
        </w:rPr>
        <w:t>其次，模型固有的技术缺陷仍是规模化应用的拦路虎。“幻觉”（生成错误或虚构内容）、数据安全与隐私泄露、算法偏见等问题尚未得到根本性解决。在容错率极低的工业、医疗、金融等严肃场景中，模型的“黑箱”特性和低容错问题构成了应用信任壁垒。</w:t>
      </w:r>
    </w:p>
    <w:p w14:paraId="20E0427E" w14:textId="77777777" w:rsidR="004F7E65" w:rsidRDefault="00000000">
      <w:pPr>
        <w:rPr>
          <w:rFonts w:hint="eastAsia"/>
        </w:rPr>
      </w:pPr>
      <w:r>
        <w:rPr>
          <w:rFonts w:hint="eastAsia"/>
          <w:szCs w:val="22"/>
        </w:rPr>
        <w:t>最后，算力与数据成本高企，构成难以逾越的经济门槛。训练千亿参数模型需要数千张高端GPU，成本达数亿元。</w:t>
      </w:r>
      <w:commentRangeStart w:id="2"/>
      <w:commentRangeEnd w:id="2"/>
      <w:r w:rsidR="00303327">
        <w:rPr>
          <w:rStyle w:val="af7"/>
          <w:rFonts w:hint="eastAsia"/>
          <w:sz w:val="22"/>
          <w:szCs w:val="22"/>
        </w:rPr>
        <w:commentReference w:id="2"/>
      </w:r>
      <w:r>
        <w:rPr>
          <w:rFonts w:hint="eastAsia"/>
          <w:szCs w:val="22"/>
        </w:rPr>
        <w:t>推理阶段的算力消耗同样巨大，有案例显示，明星产品的单月推理成本可高达数千万元。与此同时，“数据孤岛”问题导致高质量、专业化的领域数据稀缺，制约了模型在垂直场景中的表现优化。</w:t>
      </w:r>
    </w:p>
    <w:p w14:paraId="47E8147A" w14:textId="1AFB4381" w:rsidR="004F7E65" w:rsidRDefault="00F14E9B">
      <w:pPr>
        <w:pStyle w:val="3"/>
        <w:rPr>
          <w:rFonts w:hint="eastAsia"/>
        </w:rPr>
      </w:pPr>
      <w:r>
        <w:rPr>
          <w:rFonts w:hint="eastAsia"/>
        </w:rPr>
        <w:t>2.3.2</w:t>
      </w:r>
      <w:r w:rsidR="00000000">
        <w:rPr>
          <w:rFonts w:hint="eastAsia"/>
        </w:rPr>
        <w:t>资源瓶颈（算力）</w:t>
      </w:r>
    </w:p>
    <w:p w14:paraId="2D666EC7" w14:textId="77777777" w:rsidR="004F7E65" w:rsidRDefault="00000000">
      <w:pPr>
        <w:rPr>
          <w:rFonts w:hint="eastAsia"/>
        </w:rPr>
      </w:pPr>
      <w:r>
        <w:rPr>
          <w:rFonts w:hint="eastAsia"/>
          <w:szCs w:val="22"/>
        </w:rPr>
        <w:t>一、 算力需求井喷：从模型训练到智能体应用的结构性跃迁</w:t>
      </w:r>
    </w:p>
    <w:p w14:paraId="4DB495B2" w14:textId="77777777" w:rsidR="004F7E65" w:rsidRDefault="00000000">
      <w:pPr>
        <w:rPr>
          <w:rFonts w:hint="eastAsia"/>
        </w:rPr>
      </w:pPr>
      <w:r>
        <w:rPr>
          <w:rFonts w:hint="eastAsia"/>
          <w:szCs w:val="22"/>
        </w:rPr>
        <w:t>当前算力短缺的首要驱动力，源于AI应用范式的根本性转变。需求侧已从早期的大模型训练“军备竞赛”，演进至由智能体（Agent）和多模态应用规模化落地所引爆的推理需求“海啸”。这一转变使得算力消耗呈现指数级增长，彻底颠覆了原有的供需平衡。</w:t>
      </w:r>
    </w:p>
    <w:p w14:paraId="23DF997E" w14:textId="77777777" w:rsidR="004F7E65" w:rsidRDefault="00000000">
      <w:pPr>
        <w:rPr>
          <w:rFonts w:hint="eastAsia"/>
        </w:rPr>
      </w:pPr>
      <w:r>
        <w:rPr>
          <w:rFonts w:hint="eastAsia"/>
          <w:szCs w:val="22"/>
        </w:rPr>
        <w:t>1. 智能体与多模态应用引爆推理算力需求</w:t>
      </w:r>
    </w:p>
    <w:p w14:paraId="541049B8" w14:textId="77777777" w:rsidR="004F7E65" w:rsidRDefault="00000000">
      <w:pPr>
        <w:rPr>
          <w:rFonts w:hint="eastAsia"/>
        </w:rPr>
      </w:pPr>
      <w:r>
        <w:rPr>
          <w:rFonts w:hint="eastAsia"/>
          <w:szCs w:val="22"/>
        </w:rPr>
        <w:lastRenderedPageBreak/>
        <w:t>2026年初以来，以智能体为代表的AI原生应用进入大规模部署阶段，其常态化、长时程运行特性对算力构成了持续且庞大的消耗。与此同时，文生图、文生视频等多模态应用迅速普及，进一步推高了算力需求。根据行业数据，2026年4月，全球最大的API聚合平台OpenRouter的周度累计Token消耗量较一年前激增约7-8倍，其中国产大模型是增长的主要驱动力1。这种需求并非来自资本炒作，而是真实应用价值的体现，标志着算力市场进入了由应用驱动的新周期。</w:t>
      </w:r>
    </w:p>
    <w:p w14:paraId="0FE8F49C" w14:textId="77777777" w:rsidR="004F7E65" w:rsidRDefault="00000000">
      <w:pPr>
        <w:rPr>
          <w:rFonts w:hint="eastAsia"/>
        </w:rPr>
      </w:pPr>
      <w:r>
        <w:rPr>
          <w:rFonts w:hint="eastAsia"/>
          <w:szCs w:val="22"/>
        </w:rPr>
        <w:t>2. 商业化进程加速，云与模型厂商提价印证紧缺</w:t>
      </w:r>
    </w:p>
    <w:p w14:paraId="76FCB333" w14:textId="77777777" w:rsidR="004F7E65" w:rsidRDefault="00000000">
      <w:pPr>
        <w:rPr>
          <w:rFonts w:hint="eastAsia"/>
        </w:rPr>
      </w:pPr>
      <w:r>
        <w:rPr>
          <w:rFonts w:hint="eastAsia"/>
          <w:szCs w:val="22"/>
        </w:rPr>
        <w:t>需求的强劲增长直接体现在市场价格与商业行为上。近期，国内外云服务商和模型提供商密集上调服务价格，这并非简单的策略调整，而是高性能算力资源稀缺性的直接反映。国内方面，腾讯云、百度智能云、阿里云等均在2026年3月至5月期间对AI算力及相关产品进行提价，幅度从5%到34%不等。模型侧，智谱、商汤等也同步上调了服务费用1。海外市场，Anthropic将其企业版服务从固定费用改为按实际算力消耗计费1。这一系列动作表明，行业正从“低价换市场”的扩张阶段，转向对稀缺算力资源和高质量模型能力的“价值重估”阶段2。</w:t>
      </w:r>
    </w:p>
    <w:p w14:paraId="5773A403" w14:textId="77777777" w:rsidR="004F7E65" w:rsidRDefault="00000000">
      <w:pPr>
        <w:rPr>
          <w:rFonts w:hint="eastAsia"/>
        </w:rPr>
      </w:pPr>
      <w:r>
        <w:rPr>
          <w:rFonts w:hint="eastAsia"/>
          <w:szCs w:val="22"/>
        </w:rPr>
        <w:t>3. 租赁市场价格反弹，周期指标指向持续紧张</w:t>
      </w:r>
    </w:p>
    <w:p w14:paraId="0A67E3EE" w14:textId="77777777" w:rsidR="004F7E65" w:rsidRDefault="00000000">
      <w:pPr>
        <w:rPr>
          <w:rFonts w:hint="eastAsia"/>
        </w:rPr>
      </w:pPr>
      <w:r>
        <w:rPr>
          <w:rFonts w:hint="eastAsia"/>
          <w:szCs w:val="22"/>
        </w:rPr>
        <w:t>作为算力市场的“温度计”，高端GPU的租赁价格清晰反映了供需格局。英伟达H100的租赁价格在2025年因短期供需调整一度低于2美元/小时，但进入2026年，随着需求井喷，价格已强势回升至2.35美元/小时以上，国内月租价格高达5.5-6.0万元。新一代Blackwell GPU同样面临供应告急，交付周期已延长至2026年6-7月，其产能已被预订一空。价格曲线的“V型”反转，为本轮算力短缺的强度和持续性提供了最直观的注脚。</w:t>
      </w:r>
    </w:p>
    <w:p w14:paraId="4E9FD6F6" w14:textId="77777777" w:rsidR="004F7E65" w:rsidRDefault="00000000">
      <w:pPr>
        <w:rPr>
          <w:rFonts w:hint="eastAsia"/>
        </w:rPr>
      </w:pPr>
      <w:r>
        <w:rPr>
          <w:rFonts w:hint="eastAsia"/>
          <w:szCs w:val="22"/>
        </w:rPr>
        <w:t>二、 硬件产能瓶颈：供应链多重约束下的扩张天花板</w:t>
      </w:r>
    </w:p>
    <w:p w14:paraId="6506695E" w14:textId="77777777" w:rsidR="004F7E65" w:rsidRDefault="00000000">
      <w:pPr>
        <w:rPr>
          <w:rFonts w:hint="eastAsia"/>
        </w:rPr>
      </w:pPr>
      <w:r>
        <w:rPr>
          <w:rFonts w:hint="eastAsia"/>
          <w:szCs w:val="22"/>
        </w:rPr>
        <w:t>面对汹涌的需求，算力硬件的供给扩张却面临着一系列物理、技术和供应链上的刚性约束。瓶颈并非单一存在，而是在产业链不同环节间动态转移，最终从系统层面锁死了产能的扩张速度。</w:t>
      </w:r>
    </w:p>
    <w:p w14:paraId="4205185C" w14:textId="77777777" w:rsidR="004F7E65" w:rsidRDefault="00000000">
      <w:pPr>
        <w:rPr>
          <w:rFonts w:hint="eastAsia"/>
        </w:rPr>
      </w:pPr>
      <w:r>
        <w:rPr>
          <w:rFonts w:hint="eastAsia"/>
          <w:szCs w:val="22"/>
        </w:rPr>
        <w:t>1. 核心芯片制造：从先进制程到光刻机的终极约束</w:t>
      </w:r>
    </w:p>
    <w:p w14:paraId="588459C3" w14:textId="77777777" w:rsidR="004F7E65" w:rsidRDefault="00000000">
      <w:pPr>
        <w:rPr>
          <w:rFonts w:hint="eastAsia"/>
        </w:rPr>
      </w:pPr>
      <w:r>
        <w:rPr>
          <w:rFonts w:hint="eastAsia"/>
          <w:szCs w:val="22"/>
        </w:rPr>
        <w:t>AI芯片的制造依赖于全球最精密的半导体供应链，其中多个环节已成为瓶颈。</w:t>
      </w:r>
    </w:p>
    <w:p w14:paraId="68746D99" w14:textId="77777777" w:rsidR="004F7E65" w:rsidRDefault="00000000">
      <w:pPr>
        <w:rPr>
          <w:rFonts w:hint="eastAsia"/>
        </w:rPr>
      </w:pPr>
      <w:r>
        <w:rPr>
          <w:rFonts w:hint="eastAsia"/>
          <w:szCs w:val="22"/>
        </w:rPr>
        <w:t>先进制程产能集中且紧缺：台积电垄断了全球80%以上的先进制程产能。建设1GW（吉瓦）算力的数据中心，约需5.5万片3nm和6000片5nm晶圆，英伟达已提前锁定台积电大量3nm产能。国内CPU供给亦因台积电产能不足及英特尔自身制程良率问题而紧张。</w:t>
      </w:r>
    </w:p>
    <w:p w14:paraId="559D65AA" w14:textId="77777777" w:rsidR="004F7E65" w:rsidRDefault="00000000">
      <w:pPr>
        <w:rPr>
          <w:rFonts w:hint="eastAsia"/>
        </w:rPr>
      </w:pPr>
      <w:r>
        <w:rPr>
          <w:rFonts w:hint="eastAsia"/>
          <w:szCs w:val="22"/>
        </w:rPr>
        <w:t>EUV光刻机成为物理天花板：产能扩张的终极瓶颈指向了半导体设备，尤其是极紫外（EUV）光刻机。目前全球EUV光刻机由ASML独家供应，年产量仅约70台，未来几年缓慢增长至80-100台5。据测算，支撑1GW AI芯片产能需要约3.5台EUV光刻机</w:t>
      </w:r>
      <w:r>
        <w:rPr>
          <w:rFonts w:hint="eastAsia"/>
          <w:szCs w:val="22"/>
        </w:rPr>
        <w:lastRenderedPageBreak/>
        <w:t>全年运转，而建设这1GW数据中心的总投资高达500亿美元。光刻机供应链（如蔡司的镜头、Cymer的光源）高度复杂且专业化，扩产周期极长，从物理上限定了全球每年可新增的先进算力总规模。</w:t>
      </w:r>
    </w:p>
    <w:p w14:paraId="125217DB" w14:textId="77777777" w:rsidR="004F7E65" w:rsidRDefault="00000000">
      <w:pPr>
        <w:rPr>
          <w:rFonts w:hint="eastAsia"/>
        </w:rPr>
      </w:pPr>
      <w:r>
        <w:rPr>
          <w:rFonts w:hint="eastAsia"/>
          <w:szCs w:val="22"/>
        </w:rPr>
        <w:t>2. 存储与封装：HBM短缺与先进封装产能制约</w:t>
      </w:r>
    </w:p>
    <w:p w14:paraId="7269F204" w14:textId="77777777" w:rsidR="004F7E65" w:rsidRDefault="00000000">
      <w:pPr>
        <w:rPr>
          <w:rFonts w:hint="eastAsia"/>
        </w:rPr>
      </w:pPr>
      <w:r>
        <w:rPr>
          <w:rFonts w:hint="eastAsia"/>
          <w:szCs w:val="22"/>
        </w:rPr>
        <w:t>HBM内存供需严重失衡：大语言模型的瓶颈往往是内存带宽而非算力。HBM作为高性能AI芯片的标配，其生产效率远低于普通DRAM，同样晶圆面积产出容量仅为后者的1/3到1/43。需求爆发导致HBM价格飙升，英伟达为确保供应，签订了价值约900亿美元的长期采购合同。DRAM产能整体紧张，2025年DDR4价格大幅上涨，其背后是供给年增约10%而需求增长超20%的尖锐矛盾。</w:t>
      </w:r>
    </w:p>
    <w:p w14:paraId="65766BE7" w14:textId="77777777" w:rsidR="004F7E65" w:rsidRDefault="00000000">
      <w:pPr>
        <w:rPr>
          <w:rFonts w:hint="eastAsia"/>
        </w:rPr>
      </w:pPr>
      <w:r>
        <w:rPr>
          <w:rFonts w:hint="eastAsia"/>
          <w:szCs w:val="22"/>
        </w:rPr>
        <w:t>先进封装产能持续紧张：CoWoS等2.5D/3D先进封装技术是集成HBM与逻辑芯片的关键，其产能自2023年起便持续紧张。尽管台积电等厂商努力扩产，但仍难以满足需求。封装基板（如ABF）的供应也因上游特种材料（玻纤布、铜箔、干膜）被少数日本厂商垄断且扩产缓慢而受限。</w:t>
      </w:r>
    </w:p>
    <w:p w14:paraId="0B165EDA" w14:textId="77777777" w:rsidR="004F7E65" w:rsidRDefault="00000000">
      <w:pPr>
        <w:rPr>
          <w:rFonts w:hint="eastAsia"/>
        </w:rPr>
      </w:pPr>
      <w:r>
        <w:rPr>
          <w:rFonts w:hint="eastAsia"/>
          <w:szCs w:val="22"/>
        </w:rPr>
        <w:t>3. 光互连与系统配套：瓶颈向上游传导</w:t>
      </w:r>
    </w:p>
    <w:p w14:paraId="7441942E" w14:textId="77777777" w:rsidR="004F7E65" w:rsidRDefault="00000000">
      <w:pPr>
        <w:rPr>
          <w:rFonts w:hint="eastAsia"/>
        </w:rPr>
      </w:pPr>
      <w:r>
        <w:rPr>
          <w:rFonts w:hint="eastAsia"/>
          <w:szCs w:val="22"/>
        </w:rPr>
        <w:t>随着AI集群规模扩大，算力瓶颈从GPU芯片本身向确保集群高效互联的“系统配套”环节扩散。</w:t>
      </w:r>
    </w:p>
    <w:p w14:paraId="12DE9164" w14:textId="77777777" w:rsidR="004F7E65" w:rsidRDefault="00000000">
      <w:pPr>
        <w:rPr>
          <w:rFonts w:hint="eastAsia"/>
        </w:rPr>
      </w:pPr>
      <w:r>
        <w:rPr>
          <w:rFonts w:hint="eastAsia"/>
          <w:szCs w:val="22"/>
        </w:rPr>
        <w:t>光器件与光模块成为新瓶颈：高速光互连是万卡乃至更大规模集群的“神经网络”。光通信龙头Lumentum表示，若需求趋势延续，其在未来两个季度内就可能将2028年底前的产能预订一空。这反映出网络侧扩容需求已远超当前产能规划。磷化铟等高端光器件制造工艺复杂、供应链迁移难度大，扩产非简单增加设备即可完成。</w:t>
      </w:r>
    </w:p>
    <w:p w14:paraId="7F7C535C" w14:textId="77777777" w:rsidR="004F7E65" w:rsidRDefault="00000000">
      <w:pPr>
        <w:rPr>
          <w:rFonts w:hint="eastAsia"/>
        </w:rPr>
      </w:pPr>
      <w:r>
        <w:rPr>
          <w:rFonts w:hint="eastAsia"/>
          <w:szCs w:val="22"/>
        </w:rPr>
        <w:t>电力与基础设施的长期挑战：虽然短期内芯片是更紧的瓶颈，但电力供应是潜在的长期约束。AI数据中心功耗惊人，Blackwell机柜功率超过120千瓦。重型燃气轮机等关键电力设备的交付周期长达3-4年，产能也已排满。尽管可通过“电表后”解决方案缓解，但成本将上升。</w:t>
      </w:r>
    </w:p>
    <w:p w14:paraId="5F96ECCD" w14:textId="6A947BB7" w:rsidR="004F7E65" w:rsidRDefault="00F14E9B">
      <w:pPr>
        <w:pStyle w:val="3"/>
        <w:rPr>
          <w:rFonts w:hint="eastAsia"/>
        </w:rPr>
      </w:pPr>
      <w:r>
        <w:rPr>
          <w:rFonts w:hint="eastAsia"/>
        </w:rPr>
        <w:t>2.3.3</w:t>
      </w:r>
      <w:r w:rsidR="00000000">
        <w:rPr>
          <w:rFonts w:hint="eastAsia"/>
        </w:rPr>
        <w:t>商业瓶颈</w:t>
      </w:r>
    </w:p>
    <w:p w14:paraId="3C076265" w14:textId="77777777" w:rsidR="004F7E65" w:rsidRDefault="00000000">
      <w:pPr>
        <w:rPr>
          <w:rFonts w:hint="eastAsia"/>
        </w:rPr>
      </w:pPr>
      <w:r>
        <w:rPr>
          <w:rFonts w:hint="eastAsia"/>
          <w:szCs w:val="22"/>
        </w:rPr>
        <w:t>产业已从商业模式探索期进入初步规模化阶段，但“叫好不叫座”的困境普遍存在，盈利闭环难以形成。</w:t>
      </w:r>
    </w:p>
    <w:p w14:paraId="02568214" w14:textId="77777777" w:rsidR="004F7E65" w:rsidRDefault="00000000">
      <w:pPr>
        <w:rPr>
          <w:rFonts w:hint="eastAsia"/>
        </w:rPr>
      </w:pPr>
      <w:r>
        <w:rPr>
          <w:rFonts w:hint="eastAsia"/>
          <w:szCs w:val="22"/>
        </w:rPr>
        <w:t>商业化压力主要体现在市场分化、成本失控和盈利模式单一三个方面。市场已清晰分化为To B（企业/政府）和To C（消费者）两个割裂的战场，两者逻辑迥异。To B市场强调模型的高生产力与可靠性，客户愿意为顶级能力支付溢价，但决策周期长、定制化要求高；To C市场用户对智能的感知阈值低，更多将大模型视为加强版搜索引擎，付费意愿薄弱。成本端，从训练到推理的全流程都依赖高额算力投入，无论B端私有化部署的定制开发，还是C端规模扩张所需的算力扩容，成本均随业务推进持续</w:t>
      </w:r>
      <w:r>
        <w:rPr>
          <w:rFonts w:hint="eastAsia"/>
          <w:szCs w:val="22"/>
        </w:rPr>
        <w:lastRenderedPageBreak/>
        <w:t>攀升。盈利模式上，单纯的API调用模式因算力成本高企和头部企业的价格战，导致中小厂商陷入“用户越多亏损越大”的困境。尽管行业转向高附加值的解决方案与模型授权，但多数大模型应用仍处试验阶段，并未实现规模化盈利。</w:t>
      </w:r>
    </w:p>
    <w:p w14:paraId="4BC8F462" w14:textId="4834A90C" w:rsidR="004F7E65" w:rsidRDefault="00F14E9B">
      <w:pPr>
        <w:pStyle w:val="3"/>
        <w:rPr>
          <w:rFonts w:hint="eastAsia"/>
        </w:rPr>
      </w:pPr>
      <w:r>
        <w:rPr>
          <w:rFonts w:hint="eastAsia"/>
        </w:rPr>
        <w:t>2.3.4</w:t>
      </w:r>
      <w:r w:rsidR="00000000">
        <w:rPr>
          <w:rFonts w:hint="eastAsia"/>
        </w:rPr>
        <w:t>生态瓶颈</w:t>
      </w:r>
    </w:p>
    <w:p w14:paraId="77543981" w14:textId="77777777" w:rsidR="004F7E65" w:rsidRDefault="00000000">
      <w:pPr>
        <w:rPr>
          <w:rFonts w:hint="eastAsia"/>
        </w:rPr>
      </w:pPr>
      <w:r>
        <w:rPr>
          <w:rFonts w:hint="eastAsia"/>
          <w:szCs w:val="22"/>
        </w:rPr>
        <w:t>产业分化加剧，竞争格局快速固化，创业公司生存空间受到严重挤压，行业进入“大厂游戏”阶段。</w:t>
      </w:r>
    </w:p>
    <w:p w14:paraId="752EFBE7" w14:textId="77777777" w:rsidR="004F7E65" w:rsidRDefault="00000000">
      <w:pPr>
        <w:rPr>
          <w:rFonts w:hint="eastAsia"/>
        </w:rPr>
      </w:pPr>
      <w:r>
        <w:rPr>
          <w:rFonts w:hint="eastAsia"/>
          <w:szCs w:val="22"/>
        </w:rPr>
        <w:t>一方面，产业主导权向巨头集中，创业窗口期关闭。大模型竞赛已成为一场拼算力、数据、资本和生态的持久战。头部互联网公司（如阿里、腾讯、字节）和云厂商（如阿里云、百度智能云）依托庞大的现金流、全栈技术能力及自有应用场景，构建了极高的竞争壁垒。它们可以承受长期亏损，通过“云+AI”一体化服务或流量生态进行市场覆盖，使缺乏生态支撑的创业公司在技术窗口期被抹平后，陷入生存困境。另一方面，开源模型的冲击加剧了行业“内卷”。以DeepSeek为代表的优秀开源模型大幅降低了技术使用门槛，使得模型能力本身的价值被稀释。企业更倾向于基于开源模型搭建自有应用，这对以提供通用模型API为主业的公司构成了直接冲击，迫使其要么陷入价格战，要么向更垂直、更重服务的模式转型。</w:t>
      </w:r>
    </w:p>
    <w:p w14:paraId="2682B871" w14:textId="77777777" w:rsidR="004F7E65" w:rsidRDefault="00000000">
      <w:pPr>
        <w:rPr>
          <w:rFonts w:hint="eastAsia"/>
        </w:rPr>
      </w:pPr>
      <w:r>
        <w:rPr>
          <w:rFonts w:hint="eastAsia"/>
          <w:szCs w:val="22"/>
        </w:rPr>
        <w:t>此外，产业协同与标准缺失。工业等领域数据碎片化、封闭性特征与大模型训练所需的大规模高质量数据之间存在矛盾，数据共享和流通机制不完善。同时，模型评估、安全伦理等方面的行业标准仍在建设中，增加了应用落地的复杂性和不确定性。</w:t>
      </w:r>
    </w:p>
    <w:p w14:paraId="7FEA93B3" w14:textId="77777777" w:rsidR="004F7E65" w:rsidRDefault="004F7E65">
      <w:pPr>
        <w:rPr>
          <w:rFonts w:hint="eastAsia"/>
        </w:rPr>
      </w:pPr>
    </w:p>
    <w:p w14:paraId="65313342" w14:textId="4786F9E9" w:rsidR="004F7E65" w:rsidRDefault="00F14E9B">
      <w:pPr>
        <w:pStyle w:val="1"/>
        <w:rPr>
          <w:rFonts w:hint="eastAsia"/>
        </w:rPr>
      </w:pPr>
      <w:r>
        <w:rPr>
          <w:rFonts w:hint="eastAsia"/>
        </w:rPr>
        <w:t>3</w:t>
      </w:r>
      <w:r w:rsidR="00E0149C">
        <w:rPr>
          <w:rFonts w:hint="eastAsia"/>
        </w:rPr>
        <w:t>.竞争格局与企业竞争力分析</w:t>
      </w:r>
    </w:p>
    <w:p w14:paraId="2B886749" w14:textId="1D767B32" w:rsidR="004F7E65" w:rsidRDefault="00F14E9B">
      <w:pPr>
        <w:pStyle w:val="2"/>
        <w:rPr>
          <w:rFonts w:hint="eastAsia"/>
        </w:rPr>
      </w:pPr>
      <w:r>
        <w:rPr>
          <w:rFonts w:hint="eastAsia"/>
        </w:rPr>
        <w:t>3.1</w:t>
      </w:r>
      <w:r w:rsidR="00000000">
        <w:rPr>
          <w:rFonts w:hint="eastAsia"/>
        </w:rPr>
        <w:t>市场集中度与竞争态势</w:t>
      </w:r>
    </w:p>
    <w:p w14:paraId="2AEF1C1C" w14:textId="3C929CE4" w:rsidR="004F7E65" w:rsidRDefault="00F14E9B">
      <w:pPr>
        <w:pStyle w:val="3"/>
        <w:rPr>
          <w:rFonts w:hint="eastAsia"/>
        </w:rPr>
      </w:pPr>
      <w:r>
        <w:rPr>
          <w:rFonts w:hint="eastAsia"/>
        </w:rPr>
        <w:t>3.1.1</w:t>
      </w:r>
      <w:r w:rsidR="00000000">
        <w:rPr>
          <w:rFonts w:hint="eastAsia"/>
        </w:rPr>
        <w:t>市场集中度上</w:t>
      </w:r>
    </w:p>
    <w:p w14:paraId="321627AD" w14:textId="77777777" w:rsidR="004F7E65" w:rsidRDefault="00A670C9">
      <w:pPr>
        <w:rPr>
          <w:rFonts w:hint="eastAsia"/>
        </w:rPr>
      </w:pPr>
      <w:r w:rsidRPr="00A670C9">
        <w:rPr>
          <w:rFonts w:hint="eastAsia"/>
          <w:szCs w:val="22"/>
        </w:rPr>
        <w:t>全球大模型市场呈现出显著向头部厂商集中的趋势。随着LLM技术路径的收敛和Scaling Law的推进，行业已从早期的“百模大战”逐渐收敛至由少数具备算法、算力与数据积累优势的头部厂商主导的阶段。这一现象由多种原因造成。首先，资本与研发壁垒持续提高，持续的研发投入是维持技术领先的前提。行业普遍处于“高增长、高研发投入、高亏损”的早期阶段，头部企业在此过程中更具备相对优势。其次，Transformer架构及MoE（混合专家模型）等成为主流，技术突破的门槛提升，后发者难以通过简单模仿实现超越。第三，资本市场关注点已从技术叙事转向收入质量、毛利率改善等商业化本质指标。能否展示清晰的盈利拐点预期，成为支撑长期价值的关</w:t>
      </w:r>
      <w:r w:rsidRPr="00A670C9">
        <w:rPr>
          <w:rFonts w:hint="eastAsia"/>
          <w:szCs w:val="22"/>
        </w:rPr>
        <w:lastRenderedPageBreak/>
        <w:t>键，这进一步有利于已建立初步规模优势的头部公司</w:t>
      </w:r>
    </w:p>
    <w:p w14:paraId="16FCF8F5" w14:textId="5548E7A4" w:rsidR="004F7E65" w:rsidRDefault="00F14E9B">
      <w:pPr>
        <w:pStyle w:val="3"/>
        <w:rPr>
          <w:rFonts w:hint="eastAsia"/>
        </w:rPr>
      </w:pPr>
      <w:r>
        <w:rPr>
          <w:rFonts w:hint="eastAsia"/>
        </w:rPr>
        <w:t>3.</w:t>
      </w:r>
      <w:r w:rsidR="001205E7">
        <w:rPr>
          <w:rFonts w:hint="eastAsia"/>
        </w:rPr>
        <w:t>1.</w:t>
      </w:r>
      <w:r>
        <w:rPr>
          <w:rFonts w:hint="eastAsia"/>
        </w:rPr>
        <w:t>2</w:t>
      </w:r>
      <w:r w:rsidR="00000000">
        <w:t>竞争态势</w:t>
      </w:r>
    </w:p>
    <w:p w14:paraId="01E79212" w14:textId="796BF5B9" w:rsidR="004F7E65" w:rsidRDefault="001205E7">
      <w:pPr>
        <w:pStyle w:val="4"/>
        <w:rPr>
          <w:rFonts w:hint="eastAsia"/>
        </w:rPr>
      </w:pPr>
      <w:r>
        <w:rPr>
          <w:rFonts w:hint="eastAsia"/>
        </w:rPr>
        <w:t>3.1.2.1</w:t>
      </w:r>
      <w:r w:rsidR="00000000">
        <w:rPr>
          <w:rFonts w:hint="eastAsia"/>
        </w:rPr>
        <w:t>竞争主体：独立模型厂商和互联网大厂“分层竞合”</w:t>
      </w:r>
    </w:p>
    <w:p w14:paraId="2BDB5F75" w14:textId="77777777" w:rsidR="004F7E65" w:rsidRDefault="00000000">
      <w:pPr>
        <w:rPr>
          <w:rFonts w:hint="eastAsia"/>
        </w:rPr>
      </w:pPr>
      <w:r>
        <w:rPr>
          <w:rFonts w:hint="eastAsia"/>
          <w:szCs w:val="22"/>
        </w:rPr>
        <w:t>全球的市场的竞争格局都呈现出互联网大厂与独立大模型厂商分层竞合、互补共生的特点</w:t>
      </w:r>
    </w:p>
    <w:p w14:paraId="19E9D7B6" w14:textId="77777777" w:rsidR="004F7E65" w:rsidRDefault="00B81B1A">
      <w:pPr>
        <w:rPr>
          <w:rFonts w:hint="eastAsia"/>
        </w:rPr>
      </w:pPr>
      <w:r>
        <w:rPr>
          <w:rFonts w:hint="eastAsia"/>
          <w:szCs w:val="22"/>
        </w:rPr>
        <w:t>互联网大厂（如阿里-qwen、腾讯-混元、字节-火山系、小米-mimo）：大厂的优势在于雄厚的资金、庞大的用户基础及成熟的业务生态，可将大模型快速嵌入现有产品，形成流量闭环。在海外，谷歌依托自身完整生态和技术积累，在gemini上实现了厚积薄发，奠定了海外三大模型之一的地位，阿里推动千问App接入集团生态和旗下应用，被视为Agent广泛化使用的先驱。字节通过自身丰富的视频，文本语料，通过“内部赛马”孵化机制，快速推出豆包等系列AI应用。此类主体在面对AI发展的挑战在于大模型业务战略优先级可能受到集团多元业务牵制，决策灵活性相对较低。如今逐渐没落的meta就是例子之一，由于集团业务多元化导致的资源牵制和对方向把控的失误，曾经占据优势的meta系已经在全球大模型竞争中失去主导权。</w:t>
      </w:r>
    </w:p>
    <w:p w14:paraId="3B05212E" w14:textId="77777777" w:rsidR="004F7E65" w:rsidRDefault="00EC4FE3">
      <w:pPr>
        <w:rPr>
          <w:rFonts w:hint="eastAsia"/>
        </w:rPr>
      </w:pPr>
      <w:r>
        <w:rPr>
          <w:rFonts w:hint="eastAsia"/>
          <w:szCs w:val="22"/>
        </w:rPr>
        <w:t>独立大模型厂商（如MiniMax、智谱-glm、月之暗面-kimi）：独立模型厂商的核心优势在于极致的专注力和灵活的决策机制，能够All in大模型核心技术迭代，并更灵活地选择开源或商业策略。它们并未在技术能力上被大厂拉开差距，甚至常常可以做到青出于蓝。在海外，独立大模型厂商的代表就是在行业中常年保持领先地位的OpenAI-GPT系列模型和Anthropic-Claude系列模型。在国内，则以智谱，minimax，阶跃星辰等独立模型厂商为代表。有时，独立模型厂商还会通过获得互联网大厂战略投资，和大厂形成了“竞合并存”的共生关系。如阿里对minimax的基石投资，间接持有了minimax 13.66%的股权，和谷歌在2026年四月对Anthropic的400亿美元投资，都反映了大厂和独立模型厂商之间的竞合关系。</w:t>
      </w:r>
    </w:p>
    <w:p w14:paraId="4ED6C72A" w14:textId="00BAB676" w:rsidR="004F7E65" w:rsidRDefault="001205E7">
      <w:pPr>
        <w:pStyle w:val="4"/>
        <w:rPr>
          <w:rFonts w:hint="eastAsia"/>
        </w:rPr>
      </w:pPr>
      <w:r>
        <w:rPr>
          <w:rFonts w:hint="eastAsia"/>
        </w:rPr>
        <w:t>3.1.2.2</w:t>
      </w:r>
      <w:r w:rsidR="00000000" w:rsidRPr="00502A8D">
        <w:rPr>
          <w:rFonts w:hint="eastAsia"/>
        </w:rPr>
        <w:t>技术竞赛：全球范围内的轮番领跑</w:t>
      </w:r>
    </w:p>
    <w:p w14:paraId="20A36DDA" w14:textId="77777777" w:rsidR="004F7E65" w:rsidRDefault="00000000">
      <w:pPr>
        <w:rPr>
          <w:rFonts w:hint="eastAsia"/>
        </w:rPr>
      </w:pPr>
      <w:r w:rsidRPr="00D4502A">
        <w:rPr>
          <w:szCs w:val="22"/>
        </w:rPr>
        <w:t>在全球范围内，头部厂商表现出“竞相迭代、轮番领跑”的态势。模型能力的提升呈间歇性跃升，任何一家厂商的重大突破都可能暂时领先。大模型的你追我赶一直是产业的重要常态，在拥有可比数量级的硬件算力和充分竞争的情况下，大模型的性能榜单从来没有稳坐第一的赢家，从2023年GPT3问世以来，最初是GPT和claude的竞争，后来发展到GPT，claude，gemini的激烈角逐。2025年deepseek问世后，经过近一年的沉淀，国产大模型也逐步发力，智谱的GLM系列模型，minimax和kimi的模型都曾经在主流人工智能成绩榜单上交出过亮眼的表现，同时，国产大模型也正逐渐凭借性能和价格的平衡得到市场的认可。截至2026年4月27日，kimi的最新模型kimi 2.6仍然在OpenRouter开源模型记录中保持第一的态势。这表明技术领先地位是动态且不稳固的，持续创新能力是保持竞争力的关键。</w:t>
      </w:r>
    </w:p>
    <w:p w14:paraId="57E0B5DD" w14:textId="056FAA8D" w:rsidR="008D5F95" w:rsidRDefault="008D5F95" w:rsidP="008D5F95">
      <w:pPr>
        <w:jc w:val="center"/>
        <w:rPr>
          <w:rFonts w:hint="eastAsia"/>
        </w:rPr>
      </w:pPr>
      <w:r>
        <w:rPr>
          <w:rFonts w:hint="eastAsia"/>
        </w:rPr>
        <w:lastRenderedPageBreak/>
        <w:t>图：2026.4.27 OpenRouter开源模型调用排名榜单</w:t>
      </w:r>
    </w:p>
    <w:p w14:paraId="6433B6B1" w14:textId="7AF79197" w:rsidR="008D5F95" w:rsidRDefault="008D5F95" w:rsidP="00502A8D">
      <w:pPr>
        <w:rPr>
          <w:rFonts w:hint="eastAsia"/>
        </w:rPr>
      </w:pPr>
      <w:r>
        <w:rPr>
          <w:noProof/>
        </w:rPr>
        <w:drawing>
          <wp:inline distT="0" distB="0" distL="0" distR="0" wp14:anchorId="069951A8" wp14:editId="3C4175E4">
            <wp:extent cx="5274310" cy="4338955"/>
            <wp:effectExtent l="0" t="0" r="2540" b="4445"/>
            <wp:docPr id="2010349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49834" name=""/>
                    <pic:cNvPicPr/>
                  </pic:nvPicPr>
                  <pic:blipFill>
                    <a:blip r:embed="rId20"/>
                    <a:stretch>
                      <a:fillRect/>
                    </a:stretch>
                  </pic:blipFill>
                  <pic:spPr>
                    <a:xfrm>
                      <a:off x="0" y="0"/>
                      <a:ext cx="5274310" cy="4338955"/>
                    </a:xfrm>
                    <a:prstGeom prst="rect">
                      <a:avLst/>
                    </a:prstGeom>
                  </pic:spPr>
                </pic:pic>
              </a:graphicData>
            </a:graphic>
          </wp:inline>
        </w:drawing>
      </w:r>
    </w:p>
    <w:p w14:paraId="710F0C53" w14:textId="77777777" w:rsidR="008D5F95" w:rsidRPr="00502A8D" w:rsidRDefault="008D5F95" w:rsidP="00502A8D">
      <w:pPr>
        <w:rPr>
          <w:rFonts w:hint="eastAsia"/>
        </w:rPr>
      </w:pPr>
    </w:p>
    <w:p w14:paraId="000F535C" w14:textId="520C053A" w:rsidR="00EB5EA6" w:rsidRDefault="001205E7" w:rsidP="00EB5EA6">
      <w:pPr>
        <w:pStyle w:val="2"/>
        <w:rPr>
          <w:rFonts w:hint="eastAsia"/>
        </w:rPr>
      </w:pPr>
      <w:r>
        <w:rPr>
          <w:rFonts w:hint="eastAsia"/>
        </w:rPr>
        <w:t>3.2</w:t>
      </w:r>
      <w:r w:rsidR="00EB5EA6">
        <w:rPr>
          <w:rFonts w:hint="eastAsia"/>
        </w:rPr>
        <w:t>参与者类型（pureplay and non pureplay</w:t>
      </w:r>
      <w:r w:rsidR="00EB5EA6">
        <w:t>）</w:t>
      </w:r>
    </w:p>
    <w:p w14:paraId="16C13FE4" w14:textId="50B20009" w:rsidR="00152E11" w:rsidRDefault="00152E11" w:rsidP="00152E11">
      <w:pPr>
        <w:rPr>
          <w:rFonts w:hint="eastAsia"/>
        </w:rPr>
      </w:pPr>
      <w:r>
        <w:rPr>
          <w:rFonts w:hint="eastAsia"/>
        </w:rPr>
        <w:t>大模型产业已形成层次分明、角色多元的生态系统。参与者基于其技术基因、资源禀赋和商业模式，在产业链的不同环节占据生态位，共同推动技术落地与价值实现。本报告将产业参与者划分为四大核心层级：基础层、模型层、中间层与应用层，并深入剖析各层参与者的核心特征、竞争策略与相互间的协同博弈关系。</w:t>
      </w:r>
    </w:p>
    <w:p w14:paraId="0EBCDCE1" w14:textId="572570C0" w:rsidR="00152E11" w:rsidRDefault="001205E7" w:rsidP="001205E7">
      <w:pPr>
        <w:pStyle w:val="3"/>
        <w:rPr>
          <w:rFonts w:hint="eastAsia"/>
        </w:rPr>
      </w:pPr>
      <w:r>
        <w:rPr>
          <w:rFonts w:hint="eastAsia"/>
        </w:rPr>
        <w:t>3.2.1</w:t>
      </w:r>
      <w:r w:rsidR="00152E11">
        <w:rPr>
          <w:rFonts w:hint="eastAsia"/>
        </w:rPr>
        <w:t>产业参与者全景图谱：基于技术架构的四层划分</w:t>
      </w:r>
    </w:p>
    <w:p w14:paraId="422CF90A" w14:textId="757CD2DB" w:rsidR="00152E11" w:rsidRDefault="00152E11" w:rsidP="00152E11">
      <w:pPr>
        <w:rPr>
          <w:rFonts w:hint="eastAsia"/>
        </w:rPr>
      </w:pPr>
      <w:r>
        <w:rPr>
          <w:rFonts w:hint="eastAsia"/>
        </w:rPr>
        <w:t>当前大模型产业的技术架构可清晰划分为基础层、模型层、中间层与应用层。不同背景的厂商依据自身优势，选择在不同层级深度布局或进行全栈式整合。</w:t>
      </w:r>
    </w:p>
    <w:p w14:paraId="53E6244E" w14:textId="77777777" w:rsidR="00152E11" w:rsidRDefault="00152E11" w:rsidP="00152E11">
      <w:pPr>
        <w:rPr>
          <w:rFonts w:hint="eastAsia"/>
        </w:rPr>
      </w:pPr>
      <w:r>
        <w:rPr>
          <w:rFonts w:hint="eastAsia"/>
        </w:rPr>
        <w:t>基础层是产业运行的物理与虚拟资源底座，核心是提供算力、存储、网络及数据基础设施。该层参与者主要包括大型云服务商（如阿里云、腾讯云、AWS）以及专注于数据基础设施的“AI+Data技术提供商”。后者提供分析型数据库、数据集成、向量数据库等能力，构建数据、分析和AI应用的可复用底座，通常保持“模型中立”，强调处理海量数据的工程能力与可靠性，代表厂商如星环科技、拓尔思等。</w:t>
      </w:r>
    </w:p>
    <w:p w14:paraId="23010085" w14:textId="77777777" w:rsidR="00152E11" w:rsidRDefault="00152E11" w:rsidP="00152E11">
      <w:pPr>
        <w:rPr>
          <w:rFonts w:hint="eastAsia"/>
        </w:rPr>
      </w:pPr>
      <w:r>
        <w:rPr>
          <w:rFonts w:hint="eastAsia"/>
        </w:rPr>
        <w:lastRenderedPageBreak/>
        <w:t>模型层是产业的价值中枢与“智能大脑”，聚焦于基础大模型及微调优化后的各类模型。参与者可分为两类：一是研发通用基础模型的“Pureplay”厂商（如OpenAI、MiniMax、智谱AI），其核心资源与商业模式高度聚焦于模型本身；二是“Non-pureplay”厂商，通常是大型互联网平台（如谷歌、阿里、百度、字节跳动），在原有业务上切入大模型，具备强大的资本、算力与场景整合能力。</w:t>
      </w:r>
    </w:p>
    <w:p w14:paraId="4E114DDD" w14:textId="77777777" w:rsidR="00152E11" w:rsidRDefault="00152E11" w:rsidP="00152E11">
      <w:pPr>
        <w:rPr>
          <w:rFonts w:hint="eastAsia"/>
        </w:rPr>
      </w:pPr>
      <w:r>
        <w:rPr>
          <w:rFonts w:hint="eastAsia"/>
        </w:rPr>
        <w:t>中间层（工具/平台层）是连接模型能力与具体应用的“桥梁”，其价值在于将复杂的模型能力模块化、工具化，降低应用开发门槛。该层包括大模型应用开发管理工具、LLMOps平台、Agent开发平台等。参与者既有独立工具开发商，也有模型层厂商向下延伸提供的平台服务。</w:t>
      </w:r>
    </w:p>
    <w:p w14:paraId="69E8BF0F" w14:textId="0A0A7403" w:rsidR="00152E11" w:rsidRDefault="00152E11" w:rsidP="00152E11">
      <w:pPr>
        <w:rPr>
          <w:rFonts w:hint="eastAsia"/>
        </w:rPr>
      </w:pPr>
      <w:r>
        <w:rPr>
          <w:rFonts w:hint="eastAsia"/>
        </w:rPr>
        <w:t>应用层是技术价值的最终出口，指将大模型能力嵌入具体业务场景的解决方案和终端产品，如智能客服、知识库问答、AI原生应用（如ChatGPT、海螺AI）。参与者最为广泛，包括所有将大模型作为核心能力组件的软件公司、行业解决方案商及创业公司。</w:t>
      </w:r>
    </w:p>
    <w:p w14:paraId="20F696BD" w14:textId="15736858" w:rsidR="00152E11" w:rsidRDefault="001C7828" w:rsidP="001C7828">
      <w:pPr>
        <w:pStyle w:val="3"/>
        <w:rPr>
          <w:rFonts w:hint="eastAsia"/>
        </w:rPr>
      </w:pPr>
      <w:r>
        <w:rPr>
          <w:rFonts w:hint="eastAsia"/>
        </w:rPr>
        <w:t>3.2.2</w:t>
      </w:r>
      <w:r w:rsidR="00152E11">
        <w:rPr>
          <w:rFonts w:hint="eastAsia"/>
        </w:rPr>
        <w:t xml:space="preserve"> 核心参与者类型深度剖析</w:t>
      </w:r>
    </w:p>
    <w:p w14:paraId="6D6CC861" w14:textId="39949E69" w:rsidR="00152E11" w:rsidRDefault="00152E11" w:rsidP="00152E11">
      <w:pPr>
        <w:rPr>
          <w:rFonts w:hint="eastAsia"/>
        </w:rPr>
      </w:pPr>
      <w:r>
        <w:rPr>
          <w:rFonts w:hint="eastAsia"/>
        </w:rPr>
        <w:t>基于上述四层架构，大模型市场上的参与者可进一步归纳为以下几种核心类型，其战略定位与竞争逻辑各有不同。</w:t>
      </w:r>
    </w:p>
    <w:p w14:paraId="015010A0" w14:textId="77777777" w:rsidR="00152E11" w:rsidRDefault="00152E11" w:rsidP="00152E11">
      <w:pPr>
        <w:rPr>
          <w:rFonts w:hint="eastAsia"/>
        </w:rPr>
      </w:pPr>
      <w:r>
        <w:rPr>
          <w:rFonts w:hint="eastAsia"/>
        </w:rPr>
        <w:t>1. 互联网科技巨头：全栈生态与平台化主导者</w:t>
      </w:r>
    </w:p>
    <w:p w14:paraId="7E247F5B" w14:textId="66F71495" w:rsidR="00152E11" w:rsidRDefault="00152E11" w:rsidP="00152E11">
      <w:pPr>
        <w:rPr>
          <w:rFonts w:hint="eastAsia"/>
        </w:rPr>
      </w:pPr>
      <w:r>
        <w:rPr>
          <w:rFonts w:hint="eastAsia"/>
        </w:rPr>
        <w:t>此类参与者（如阿里、百度、腾讯、字节跳动）通常打造“芯片/框架-模型-应用-场景”的全栈式生态。其核心优势在于：第一，拥有海量自有场景与用户流量，为模型训练提供高质量数据飞轮，并为应用落地提供天然试验田。第二，掌控算力入口与云基础设施，在训练成本控制和推理服务稳定性上具备工程化优势。第三，采取“平台+应用”模式，既提供基础的MaaS（模型即服务）吸引开发者和企业客户，又推出标杆性C端应用（如豆包、文心一言）定义用户体验，旨在构建以自身为核心的产业生态。他们的竞争焦点在于通过生态协同效应最大化用户停留时间与数据价值，将大模型能力渗透至所有业务线。</w:t>
      </w:r>
    </w:p>
    <w:p w14:paraId="5936B76D" w14:textId="77777777" w:rsidR="00152E11" w:rsidRDefault="00152E11" w:rsidP="00152E11">
      <w:pPr>
        <w:rPr>
          <w:rFonts w:hint="eastAsia"/>
        </w:rPr>
      </w:pPr>
      <w:r>
        <w:rPr>
          <w:rFonts w:hint="eastAsia"/>
        </w:rPr>
        <w:t>2. 专注模型研发的Pureplay厂商：技术驱动与敏捷创新者</w:t>
      </w:r>
    </w:p>
    <w:p w14:paraId="1496DD8B" w14:textId="71B5CFF0" w:rsidR="00152E11" w:rsidRDefault="00152E11" w:rsidP="00152E11">
      <w:pPr>
        <w:rPr>
          <w:rFonts w:hint="eastAsia"/>
        </w:rPr>
      </w:pPr>
      <w:r>
        <w:rPr>
          <w:rFonts w:hint="eastAsia"/>
        </w:rPr>
        <w:t>这类公司（以MiniMax、智谱AI、月之暗面等为代表）自成立起便高度聚焦于大模型技术的研发与迭代。根据灼识咨询数据，按2024年全球基于模型的收入计，MiniMax在Pureplay玩家中排名第四。其特点是：第一，组织架构扁平，研发高度集中。例如MiniMax研发人员占比超70%，决策链条短，利于技术快速迭代。第二，追求模型性能的极致突破，尤其在多模态、长上下文、推理能力等前沿方向投入坚决，试图通过技术代差建立壁垒。第三，商业化路径清晰，通过“模型驱动产品”的逻辑，同步发展C端AI原生产品（如Talkie、海螺AI）与B端开放平台API服务，形成双向验证与收入来源。他们的核心挑战在于持续的高强度研发投入与商业化规模扩张之间的平衡。</w:t>
      </w:r>
    </w:p>
    <w:p w14:paraId="7ABDCCEC" w14:textId="77777777" w:rsidR="00152E11" w:rsidRDefault="00152E11" w:rsidP="00152E11">
      <w:pPr>
        <w:rPr>
          <w:rFonts w:hint="eastAsia"/>
        </w:rPr>
      </w:pPr>
      <w:r>
        <w:rPr>
          <w:rFonts w:hint="eastAsia"/>
        </w:rPr>
        <w:t>3. AI+Data技术提供商与软件技术转型者：行业Know-how与存量客户的价值重构者</w:t>
      </w:r>
    </w:p>
    <w:p w14:paraId="5C121F48" w14:textId="1A70D65D" w:rsidR="00152E11" w:rsidRDefault="00152E11" w:rsidP="00152E11">
      <w:pPr>
        <w:rPr>
          <w:rFonts w:hint="eastAsia"/>
        </w:rPr>
      </w:pPr>
      <w:r>
        <w:rPr>
          <w:rFonts w:hint="eastAsia"/>
        </w:rPr>
        <w:lastRenderedPageBreak/>
        <w:t>此类参与者又可细分为两类：一是专注于数据基础设施的“AI+Data技术提供商”，二是从传统企业软件或决策式AI转型而来的“技术转型者”。前者（如星环科技、Zilliz）的核心价值在于为企业构建高效、安全的数据治理与处理底座，是模型层运行的“燃料”供应商。后者（如用友、金蝶、科大讯飞、第四范式）则拥有深厚的行业知识、成熟的客户基础与强大的销售渠道。他们的战略并非颠覆客户现有业务流程，而是将大模型能力快速融入其已有的软件产品矩阵（如ERP、MES、CRM）中，实现产品功能的智能化升级。</w:t>
      </w:r>
      <w:r w:rsidR="001C7828">
        <w:rPr>
          <w:rFonts w:hint="eastAsia"/>
        </w:rPr>
        <w:t>飞书就是其中的一个典型，依托常年对于办公机器人领域的深耕，在2026年初的Agent浪潮中转型迅速，已经成为国内Agent</w:t>
      </w:r>
      <w:r w:rsidR="00914D6F">
        <w:rPr>
          <w:rFonts w:hint="eastAsia"/>
        </w:rPr>
        <w:t xml:space="preserve"> 接口应用企业的代表。</w:t>
      </w:r>
      <w:r>
        <w:rPr>
          <w:rFonts w:hint="eastAsia"/>
        </w:rPr>
        <w:t>这类参与者的优势在于对垂直行业痛点的深刻理解以及较低的客户迁移成本，是大模型在B端规模化落地的关键推动力量。</w:t>
      </w:r>
    </w:p>
    <w:p w14:paraId="3E46ED84" w14:textId="77777777" w:rsidR="00152E11" w:rsidRDefault="00152E11" w:rsidP="00152E11">
      <w:pPr>
        <w:rPr>
          <w:rFonts w:hint="eastAsia"/>
        </w:rPr>
      </w:pPr>
      <w:r>
        <w:rPr>
          <w:rFonts w:hint="eastAsia"/>
        </w:rPr>
        <w:t>4. 开源社区与开源模型贡献者：生态基石与成本颠覆者</w:t>
      </w:r>
    </w:p>
    <w:p w14:paraId="7ED97A40" w14:textId="4212AB0F" w:rsidR="00152E11" w:rsidRPr="00152E11" w:rsidRDefault="00152E11" w:rsidP="00152E11">
      <w:pPr>
        <w:rPr>
          <w:rFonts w:hint="eastAsia"/>
        </w:rPr>
      </w:pPr>
      <w:r>
        <w:rPr>
          <w:rFonts w:hint="eastAsia"/>
        </w:rPr>
        <w:t>以Meta（Llama系列）、DeepSeek、通义千问等为代表的开源模型势力，正深刻改变产业格局。根据沙利文调研，2025年上半年中国企业采用开源模型的占比已达44.4%。开源模型的崛起得益于：第一，显著降低技术使用门槛与成本，使中小企业能够基于开源底座定制专属模型。第二，透明性与可定制性，满足了企业对技术自主可控和安全审查的需求。第三，活跃的社区驱动快速迭代。开源模型通过“发布-社区反馈-迭代”的循环，不断缩小与顶尖闭源模型的性能差距，甚至在某些细分领域实现反超。开源生态的繁荣促进了技术的民主化，也迫使闭源厂商不断提升效率与性价比以维持优势。</w:t>
      </w:r>
    </w:p>
    <w:p w14:paraId="0D44BC9B" w14:textId="037B139B" w:rsidR="00EB5EA6" w:rsidRDefault="00914D6F" w:rsidP="00EB5EA6">
      <w:pPr>
        <w:pStyle w:val="2"/>
        <w:rPr>
          <w:rFonts w:hint="eastAsia"/>
        </w:rPr>
      </w:pPr>
      <w:r>
        <w:rPr>
          <w:rFonts w:hint="eastAsia"/>
        </w:rPr>
        <w:t>3.3</w:t>
      </w:r>
      <w:r w:rsidR="00EB5EA6">
        <w:rPr>
          <w:rFonts w:hint="eastAsia"/>
        </w:rPr>
        <w:t>企业核心竞争力评价维度</w:t>
      </w:r>
    </w:p>
    <w:p w14:paraId="50120EBB" w14:textId="62A9E111" w:rsidR="007C2934" w:rsidRDefault="00914D6F" w:rsidP="00914D6F">
      <w:pPr>
        <w:pStyle w:val="3"/>
        <w:rPr>
          <w:rFonts w:hint="eastAsia"/>
        </w:rPr>
      </w:pPr>
      <w:r>
        <w:rPr>
          <w:rFonts w:hint="eastAsia"/>
        </w:rPr>
        <w:t>3.3.1</w:t>
      </w:r>
      <w:r w:rsidR="007C2934">
        <w:rPr>
          <w:rFonts w:hint="eastAsia"/>
        </w:rPr>
        <w:t>生态构建能力：从规模积累到体系化自演进</w:t>
      </w:r>
    </w:p>
    <w:p w14:paraId="2D616CF5" w14:textId="65EB8C11" w:rsidR="007C2934" w:rsidRDefault="007C2934" w:rsidP="007C2934">
      <w:pPr>
        <w:rPr>
          <w:rFonts w:hint="eastAsia"/>
        </w:rPr>
      </w:pPr>
      <w:r>
        <w:rPr>
          <w:rFonts w:hint="eastAsia"/>
        </w:rPr>
        <w:t>生态构建能力是衡量大模型企业能否从产品技术成功迈向商业生态化的关键。当前，行业竞争已超越简单的开发者数量积累，进入到构建高活性、高粘性、具备自演进能力的生态体系阶段。</w:t>
      </w:r>
    </w:p>
    <w:p w14:paraId="7946F1F5" w14:textId="3F6E8461" w:rsidR="007C2934" w:rsidRDefault="007C2934" w:rsidP="007C2934">
      <w:pPr>
        <w:rPr>
          <w:rFonts w:hint="eastAsia"/>
        </w:rPr>
      </w:pPr>
      <w:r>
        <w:rPr>
          <w:rFonts w:hint="eastAsia"/>
        </w:rPr>
        <w:t>在开发者生态方面，领先企业正通过提供精细化工具链、优化计费策略与强化调试支持，系统提升开发效率与应用创新活力。与此相对应，除了注册开发者规模，API月度调用总量与高质量原生应用产出率成为能够真实反映生态活跃度与价值转化能力的关键指标。例如，科大讯飞依托开放平台的全栈能力，已汇聚超过150万大模型开发者，在行业内保持市占率领先，形成了明显的生态规模与协同优势。生态的广度与深度共同构成了企业的护城河，一个能够持续吸引开发者并高效转化价值的生态，是企业实现网络效应、降低获客成本、加速技术迭代的基石。</w:t>
      </w:r>
    </w:p>
    <w:p w14:paraId="31BD3D64" w14:textId="3711F059" w:rsidR="007C2934" w:rsidRDefault="00914D6F" w:rsidP="00914D6F">
      <w:pPr>
        <w:pStyle w:val="3"/>
        <w:rPr>
          <w:rFonts w:hint="eastAsia"/>
        </w:rPr>
      </w:pPr>
      <w:r>
        <w:rPr>
          <w:rFonts w:hint="eastAsia"/>
        </w:rPr>
        <w:t>3.3.2</w:t>
      </w:r>
      <w:r w:rsidR="007C2934">
        <w:rPr>
          <w:rFonts w:hint="eastAsia"/>
        </w:rPr>
        <w:t>技术研发能力：持续迭代与战略路线的双重壁垒</w:t>
      </w:r>
    </w:p>
    <w:p w14:paraId="584D9770" w14:textId="4078A8BC" w:rsidR="007C2934" w:rsidRDefault="007C2934" w:rsidP="007C2934">
      <w:pPr>
        <w:rPr>
          <w:rFonts w:hint="eastAsia"/>
        </w:rPr>
      </w:pPr>
      <w:r>
        <w:rPr>
          <w:rFonts w:hint="eastAsia"/>
        </w:rPr>
        <w:t>技术研发能力是企业维持长期竞争力的根本，其评价需关注投入强度、迭代效率与战</w:t>
      </w:r>
      <w:r>
        <w:rPr>
          <w:rFonts w:hint="eastAsia"/>
        </w:rPr>
        <w:lastRenderedPageBreak/>
        <w:t>略路径选择。</w:t>
      </w:r>
    </w:p>
    <w:p w14:paraId="33B7762F" w14:textId="30A96395" w:rsidR="007C2934" w:rsidRDefault="007C2934" w:rsidP="007C2934">
      <w:pPr>
        <w:rPr>
          <w:rFonts w:hint="eastAsia"/>
        </w:rPr>
      </w:pPr>
      <w:r>
        <w:rPr>
          <w:rFonts w:hint="eastAsia"/>
        </w:rPr>
        <w:t>研发投入与迭代速度：高比例的研发投入与稳定的大版本更新频率是维持技术领先的关键保障。例如，字节跳动2024年在AI领域的资本开支达800亿元，2025年更计划提升至1,600亿元，其中900亿元专项用于AI算力采购。科大讯飞2024年研发费用占营收比重达19.62%，其中16.2%专项用于大模型研发，支撑其模型实现季度级功能迭代。</w:t>
      </w:r>
      <w:commentRangeStart w:id="3"/>
      <w:commentRangeStart w:id="4"/>
      <w:r>
        <w:rPr>
          <w:rFonts w:hint="eastAsia"/>
        </w:rPr>
        <w:t>（有点老）</w:t>
      </w:r>
      <w:commentRangeEnd w:id="3"/>
      <w:r>
        <w:rPr>
          <w:rStyle w:val="af7"/>
          <w:rFonts w:hint="eastAsia"/>
          <w:sz w:val="22"/>
          <w:szCs w:val="24"/>
        </w:rPr>
        <w:commentReference w:id="3"/>
      </w:r>
      <w:commentRangeEnd w:id="4"/>
      <w:r>
        <w:rPr>
          <w:rStyle w:val="af7"/>
          <w:rFonts w:hint="eastAsia"/>
          <w:sz w:val="22"/>
          <w:szCs w:val="24"/>
        </w:rPr>
        <w:commentReference w:id="4"/>
      </w:r>
    </w:p>
    <w:p w14:paraId="7C573D95" w14:textId="77777777" w:rsidR="007C2934" w:rsidRDefault="007C2934" w:rsidP="007C2934">
      <w:pPr>
        <w:rPr>
          <w:rFonts w:hint="eastAsia"/>
        </w:rPr>
      </w:pPr>
      <w:r>
        <w:rPr>
          <w:rFonts w:hint="eastAsia"/>
        </w:rPr>
        <w:t>核心能力指标：技术能力的先进性具体体现在上下文长度、多模态任务支持数、可调用工具数及任务执行可靠性等方面，这些直接决定了模型处理复杂场景的上限。</w:t>
      </w:r>
    </w:p>
    <w:p w14:paraId="39E2735E" w14:textId="6A0AE6E6" w:rsidR="007C2934" w:rsidRDefault="00914D6F" w:rsidP="00914D6F">
      <w:pPr>
        <w:pStyle w:val="3"/>
        <w:rPr>
          <w:rFonts w:hint="eastAsia"/>
        </w:rPr>
      </w:pPr>
      <w:r>
        <w:rPr>
          <w:rFonts w:hint="eastAsia"/>
        </w:rPr>
        <w:t>3.3.3</w:t>
      </w:r>
      <w:r w:rsidR="007C2934">
        <w:rPr>
          <w:rFonts w:hint="eastAsia"/>
        </w:rPr>
        <w:t>行业赋能能力：从技术工具到业务流程的重构</w:t>
      </w:r>
    </w:p>
    <w:p w14:paraId="600C71E5" w14:textId="2E9C389C" w:rsidR="007C2934" w:rsidRDefault="007C2934" w:rsidP="007C2934">
      <w:pPr>
        <w:rPr>
          <w:rFonts w:hint="eastAsia"/>
        </w:rPr>
      </w:pPr>
      <w:r>
        <w:rPr>
          <w:rFonts w:hint="eastAsia"/>
        </w:rPr>
        <w:t>行业赋能能力直接衡量大模型技术从实验室走向产业实践的深度与实效，是检验其商业价值的核心维度。这一过程正经历从技术工具的单点应用向与行业知识、业务流程深度重构的根本性转变。</w:t>
      </w:r>
    </w:p>
    <w:p w14:paraId="64D2906B" w14:textId="19A33ECA" w:rsidR="007C2934" w:rsidRDefault="007C2934" w:rsidP="007C2934">
      <w:pPr>
        <w:rPr>
          <w:rFonts w:hint="eastAsia"/>
        </w:rPr>
      </w:pPr>
      <w:r>
        <w:rPr>
          <w:rFonts w:hint="eastAsia"/>
        </w:rPr>
        <w:t>竞争力的核心首先体现在解决方案的深度与广度上。企业已发布的行业解决方案总数反映其技术应用的覆盖范围，而解决方案是否深度集成行业知识库、工作流和业务逻辑，则决定了其解决实际问题的精准度与有效性。其次，应用效果的量化验证成为最具说服力的竞争要素，典型客户案例中通过效率提升百分比、成本降低率等具体数据，直观展现技术带来的实际价值。最后，持续的用户满意度是解决方案成熟度与客户忠诚度的体现。在金融、政务、工业等垂直领域，能够提供深度融合的端到端解决方案并展现出显著降本增效成果的企业，正在构筑起差异化竞争力。</w:t>
      </w:r>
    </w:p>
    <w:p w14:paraId="7CFB54E0" w14:textId="6CCDE79F" w:rsidR="007C2934" w:rsidRDefault="00914D6F" w:rsidP="00914D6F">
      <w:pPr>
        <w:pStyle w:val="3"/>
        <w:rPr>
          <w:rFonts w:hint="eastAsia"/>
        </w:rPr>
      </w:pPr>
      <w:r>
        <w:rPr>
          <w:rFonts w:hint="eastAsia"/>
        </w:rPr>
        <w:t>3.3.4</w:t>
      </w:r>
      <w:r w:rsidR="007C2934">
        <w:rPr>
          <w:rFonts w:hint="eastAsia"/>
        </w:rPr>
        <w:t>商业变现能力：从探索期到规模化变现的跨越</w:t>
      </w:r>
    </w:p>
    <w:p w14:paraId="3CB65A11" w14:textId="3EAE55D3" w:rsidR="007C2934" w:rsidRDefault="007C2934" w:rsidP="007C2934">
      <w:pPr>
        <w:rPr>
          <w:rFonts w:hint="eastAsia"/>
        </w:rPr>
      </w:pPr>
      <w:r>
        <w:rPr>
          <w:rFonts w:hint="eastAsia"/>
        </w:rPr>
        <w:t>商业变现能力是将技术投资转化为可持续增长的动力源泉。2024-2025年，中国大模型行业整体从商业模式探索期迈入初步的规模化变现阶段。</w:t>
      </w:r>
    </w:p>
    <w:p w14:paraId="3AAA055C" w14:textId="77777777" w:rsidR="007C2934" w:rsidRDefault="007C2934" w:rsidP="007C2934">
      <w:pPr>
        <w:rPr>
          <w:rFonts w:hint="eastAsia"/>
        </w:rPr>
      </w:pPr>
      <w:r>
        <w:rPr>
          <w:rFonts w:hint="eastAsia"/>
        </w:rPr>
        <w:t>市场占有率与模式升级：市场占有率通过API调用付费金额这一硬指标得以体现。然而，单纯的API调用模式面临算力成本高和价格战压缩利润的挑战。因此，商业模式转向高附加值的解决方案与模型授权成为趋势，这直接体现在年度经常性收入（ARR） 和企业级客户平均合同金额（ACV） 的提升上。</w:t>
      </w:r>
    </w:p>
    <w:p w14:paraId="279C6354" w14:textId="6A5E3C71" w:rsidR="007C2934" w:rsidRDefault="007C2934" w:rsidP="007C2934">
      <w:pPr>
        <w:rPr>
          <w:rFonts w:hint="eastAsia"/>
        </w:rPr>
      </w:pPr>
      <w:r>
        <w:rPr>
          <w:rFonts w:hint="eastAsia"/>
        </w:rPr>
        <w:t>政企市场的主导地位：政企市场已成为变现主阵地。2024年全年，可统计的有931家央国企开展大模型招标，数量占比为61.25%，其中551个披露金额的项目总额约32.2亿元，占整体市场的49.8%。这类项目金额大、周期长，对企业的品牌公信力、服务能力和安全合规要求极高。因此，在政企市场斩获重大订单的能力，是衡量企业商业化落地实力的关键标尺。</w:t>
      </w:r>
    </w:p>
    <w:p w14:paraId="359B5D3E" w14:textId="04089D28" w:rsidR="007C2934" w:rsidRDefault="00914D6F" w:rsidP="00914D6F">
      <w:pPr>
        <w:pStyle w:val="3"/>
        <w:rPr>
          <w:rFonts w:hint="eastAsia"/>
        </w:rPr>
      </w:pPr>
      <w:r>
        <w:rPr>
          <w:rFonts w:hint="eastAsia"/>
        </w:rPr>
        <w:lastRenderedPageBreak/>
        <w:t>3.3.5</w:t>
      </w:r>
      <w:r w:rsidR="007C2934">
        <w:rPr>
          <w:rFonts w:hint="eastAsia"/>
        </w:rPr>
        <w:t>创新拓展能力：抢占未来生态制高点的前瞻布局</w:t>
      </w:r>
    </w:p>
    <w:p w14:paraId="64EA0B15" w14:textId="6342A889" w:rsidR="007C2934" w:rsidRDefault="007C2934" w:rsidP="007C2934">
      <w:pPr>
        <w:rPr>
          <w:rFonts w:hint="eastAsia"/>
        </w:rPr>
      </w:pPr>
      <w:r>
        <w:rPr>
          <w:rFonts w:hint="eastAsia"/>
        </w:rPr>
        <w:t>创新拓展能力直接关乎企业在下一代产业变革中的生态位争夺，体现了其面向未来的战略布局与前瞻视野。</w:t>
      </w:r>
    </w:p>
    <w:p w14:paraId="01B80D02" w14:textId="77777777" w:rsidR="007C2934" w:rsidRDefault="007C2934" w:rsidP="007C2934">
      <w:pPr>
        <w:rPr>
          <w:rFonts w:hint="eastAsia"/>
        </w:rPr>
      </w:pPr>
      <w:r>
        <w:rPr>
          <w:rFonts w:hint="eastAsia"/>
        </w:rPr>
        <w:t>软硬一体整合：大模型正加速与各类终端设备深度融合，其开放平台累计覆盖的终端设备数量成为衡量生态延展广度与未来影响力的关键先行指标。</w:t>
      </w:r>
    </w:p>
    <w:p w14:paraId="025F2BDA" w14:textId="4B0E2FE2" w:rsidR="00152E11" w:rsidRPr="00152E11" w:rsidRDefault="007C2934" w:rsidP="007C2934">
      <w:pPr>
        <w:rPr>
          <w:rFonts w:hint="eastAsia"/>
        </w:rPr>
      </w:pPr>
      <w:r>
        <w:rPr>
          <w:rFonts w:hint="eastAsia"/>
        </w:rPr>
        <w:t>前沿领域探索：具身智能作为公认的万亿级蓝海市场，吸引了战略性投入。其中，机器人/具身大模型作为实现智能体自主决策的“中枢大脑”已成为竞争焦点。这一探索的强度，通过企业的年度研发投入总额以及在相关领域的专利积累和行业标准制定参与度得以体现。例如，科大讯飞已赋能超过500家机器人企业，在机器人语音交互市占率领先，并作为起草单位参与制定《人形机器人语音交互技术规范》，展现了前瞻布局与产业影响力。</w:t>
      </w:r>
    </w:p>
    <w:p w14:paraId="587865CD" w14:textId="2941D96D" w:rsidR="0056725F" w:rsidRDefault="00914D6F" w:rsidP="0056725F">
      <w:pPr>
        <w:pStyle w:val="1"/>
        <w:rPr>
          <w:rFonts w:hint="eastAsia"/>
        </w:rPr>
      </w:pPr>
      <w:r>
        <w:rPr>
          <w:rFonts w:hint="eastAsia"/>
        </w:rPr>
        <w:t>4</w:t>
      </w:r>
      <w:r w:rsidR="00B23F1D">
        <w:rPr>
          <w:rFonts w:hint="eastAsia"/>
        </w:rPr>
        <w:t>.</w:t>
      </w:r>
      <w:r w:rsidR="0056725F">
        <w:rPr>
          <w:rFonts w:hint="eastAsia"/>
        </w:rPr>
        <w:t>未来趋势与展望</w:t>
      </w:r>
    </w:p>
    <w:p w14:paraId="6224EA46" w14:textId="6CFE6C06" w:rsidR="0056725F" w:rsidRDefault="00914D6F" w:rsidP="00B358D3">
      <w:pPr>
        <w:pStyle w:val="2"/>
        <w:rPr>
          <w:rFonts w:hint="eastAsia"/>
        </w:rPr>
      </w:pPr>
      <w:r>
        <w:rPr>
          <w:rFonts w:hint="eastAsia"/>
        </w:rPr>
        <w:t>4.1</w:t>
      </w:r>
      <w:r w:rsidR="0056725F">
        <w:rPr>
          <w:rFonts w:hint="eastAsia"/>
        </w:rPr>
        <w:t>技术趋势</w:t>
      </w:r>
    </w:p>
    <w:p w14:paraId="3B9EBE5A" w14:textId="56AD42CB" w:rsidR="00621C0E" w:rsidRDefault="005C5417" w:rsidP="005C5417">
      <w:pPr>
        <w:pStyle w:val="3"/>
        <w:rPr>
          <w:rFonts w:hint="eastAsia"/>
        </w:rPr>
      </w:pPr>
      <w:r>
        <w:rPr>
          <w:rFonts w:hint="eastAsia"/>
        </w:rPr>
        <w:t xml:space="preserve">4.1.1 </w:t>
      </w:r>
      <w:r w:rsidR="007C2934">
        <w:rPr>
          <w:rFonts w:hint="eastAsia"/>
        </w:rPr>
        <w:t>应用模式</w:t>
      </w:r>
      <w:r w:rsidR="00621C0E">
        <w:rPr>
          <w:rFonts w:hint="eastAsia"/>
        </w:rPr>
        <w:t>：Agent崛起拉动</w:t>
      </w:r>
      <w:r w:rsidR="004E59A8">
        <w:rPr>
          <w:rFonts w:hint="eastAsia"/>
        </w:rPr>
        <w:t>需求增长</w:t>
      </w:r>
      <w:r w:rsidR="0098006A">
        <w:rPr>
          <w:rFonts w:hint="eastAsia"/>
        </w:rPr>
        <w:t xml:space="preserve"> </w:t>
      </w:r>
    </w:p>
    <w:p w14:paraId="2C07B242" w14:textId="4DD9E7CF" w:rsidR="00621C0E" w:rsidRDefault="00621C0E" w:rsidP="00621C0E">
      <w:pPr>
        <w:rPr>
          <w:rFonts w:hint="eastAsia"/>
        </w:rPr>
      </w:pPr>
      <w:r w:rsidRPr="00F72912">
        <w:t>Agent的爆发，正是将宏大叙事转化为即时</w:t>
      </w:r>
      <w:r>
        <w:rPr>
          <w:rFonts w:hint="eastAsia"/>
        </w:rPr>
        <w:t>可被观察的商业现象</w:t>
      </w:r>
      <w:r w:rsidRPr="00F72912">
        <w:t>。Agent不是大模型的又一个应用场景，而是人机交互范式的根本转移——从"人类提问、机器回答"的单点对话，转向"机器感知、规划、执行、协作"的自主闭环。当多个Agent开始相互调用、分工协作时，人类逐渐从交互回路中退居监督位，机器间交互成为智能经济的主流形态。</w:t>
      </w:r>
      <w:r>
        <w:rPr>
          <w:rFonts w:hint="eastAsia"/>
        </w:rPr>
        <w:t>Agent从沙盒环境向物理网关的入驻意义重大，本质上是人工智能朝着AGI前进的一个重要进步，某种程度上标志着AI 2.0时代的开启。</w:t>
      </w:r>
    </w:p>
    <w:p w14:paraId="3E4E4799" w14:textId="77777777" w:rsidR="00621C0E" w:rsidRDefault="00621C0E" w:rsidP="00621C0E">
      <w:pPr>
        <w:rPr>
          <w:rFonts w:hint="eastAsia"/>
        </w:rPr>
      </w:pPr>
      <w:r w:rsidRPr="00352BE2">
        <w:t>单轮人机对话的平均Token消耗在数百至千级，且用户发起频率受限于人类注意力。但Agent的工作流是自主连续运转的：一个中等复杂度的企业任务（如"生成季度财报分析并邮件发送给董事会"）通常需要分解为10-20个子步骤，涉及长上下文理解（万级Token）、多轮工具调用（每次调用伴随独立推理）、错误自检与重试（失败路径的冗余计算）。实测数据显示，同等用户基数下，Agent活跃账户的月均Token消耗是传统对话式AI的15-40倍。更关键的是，Agent一旦部署即7×24小时待命，其调用曲线不是人类作息的峰谷波动，而是持续平滑的工业级负载。这意味着基模厂面对的推理需求，已从"流量型"转向"产能型"——是可被年化预测、可被合同锁定的算力订单，而非不可预估的突发查询。</w:t>
      </w:r>
    </w:p>
    <w:p w14:paraId="5C1D8635" w14:textId="77777777" w:rsidR="00621C0E" w:rsidRDefault="00621C0E" w:rsidP="00621C0E">
      <w:pPr>
        <w:jc w:val="center"/>
        <w:rPr>
          <w:rFonts w:hint="eastAsia"/>
        </w:rPr>
      </w:pPr>
      <w:r>
        <w:rPr>
          <w:rFonts w:hint="eastAsia"/>
        </w:rPr>
        <w:t>图：Agent App一览</w:t>
      </w:r>
    </w:p>
    <w:p w14:paraId="73B27FFC" w14:textId="77777777" w:rsidR="00621C0E" w:rsidRDefault="00621C0E" w:rsidP="00621C0E">
      <w:pPr>
        <w:rPr>
          <w:rFonts w:hint="eastAsia"/>
        </w:rPr>
      </w:pPr>
      <w:r>
        <w:rPr>
          <w:noProof/>
        </w:rPr>
        <w:lastRenderedPageBreak/>
        <w:drawing>
          <wp:inline distT="0" distB="0" distL="0" distR="0" wp14:anchorId="111C0D06" wp14:editId="7C2C5C05">
            <wp:extent cx="5274310" cy="2520315"/>
            <wp:effectExtent l="0" t="0" r="2540" b="0"/>
            <wp:docPr id="22815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9750" name=""/>
                    <pic:cNvPicPr/>
                  </pic:nvPicPr>
                  <pic:blipFill>
                    <a:blip r:embed="rId21"/>
                    <a:stretch>
                      <a:fillRect/>
                    </a:stretch>
                  </pic:blipFill>
                  <pic:spPr>
                    <a:xfrm>
                      <a:off x="0" y="0"/>
                      <a:ext cx="5274310" cy="2520315"/>
                    </a:xfrm>
                    <a:prstGeom prst="rect">
                      <a:avLst/>
                    </a:prstGeom>
                  </pic:spPr>
                </pic:pic>
              </a:graphicData>
            </a:graphic>
          </wp:inline>
        </w:drawing>
      </w:r>
    </w:p>
    <w:p w14:paraId="21E4D37F" w14:textId="77777777" w:rsidR="00621C0E" w:rsidRDefault="00621C0E" w:rsidP="00621C0E">
      <w:pPr>
        <w:rPr>
          <w:rFonts w:hint="eastAsia"/>
        </w:rPr>
      </w:pPr>
      <w:r>
        <w:rPr>
          <w:rFonts w:hint="eastAsia"/>
        </w:rPr>
        <w:t>数据来源：OpenRounter</w:t>
      </w:r>
    </w:p>
    <w:p w14:paraId="083C388F" w14:textId="4FE84055" w:rsidR="004E59A8" w:rsidRDefault="005C5417" w:rsidP="00270210">
      <w:pPr>
        <w:pStyle w:val="3"/>
        <w:rPr>
          <w:rFonts w:hint="eastAsia"/>
        </w:rPr>
      </w:pPr>
      <w:r>
        <w:rPr>
          <w:rFonts w:hint="eastAsia"/>
        </w:rPr>
        <w:t xml:space="preserve">4.1.2 </w:t>
      </w:r>
      <w:r w:rsidR="004E59A8">
        <w:rPr>
          <w:rFonts w:hint="eastAsia"/>
        </w:rPr>
        <w:t>模型架构与训练范式演进：Scaling Law重现与效率优化</w:t>
      </w:r>
    </w:p>
    <w:p w14:paraId="2BA60D4F" w14:textId="6C97A7F1" w:rsidR="00621C0E" w:rsidRDefault="004E59A8" w:rsidP="004E59A8">
      <w:pPr>
        <w:rPr>
          <w:rFonts w:hint="eastAsia"/>
        </w:rPr>
      </w:pPr>
      <w:r>
        <w:rPr>
          <w:rFonts w:hint="eastAsia"/>
        </w:rPr>
        <w:t>混合专家模型（MoE）架构因其能在保持性能的同时显著降低推理成本，已成为行业主流架构选择。展望2026年，随着英伟达GB系列等更高性能芯片的成熟与普及，预训练阶段的Scaling Law预计将重现，模型参数量和智能上限将再上一个台阶。与此同时，强化学习的重要性日益凸显，它通过“自我生成数据+多轮迭代”的方式，成为解锁模型高级逻辑与推理能力的关键，预计2026年海内外模型厂商对强化学习的投入占比将进一步提升。为应对大模型固有的“灾难性遗忘”问题，持续学习与模型记忆技术正成为研发重点，旨在让模型具备选择性记忆机制，实现更接近人类的学习方式。</w:t>
      </w:r>
    </w:p>
    <w:p w14:paraId="6103915E" w14:textId="347F5899" w:rsidR="004E59A8" w:rsidRDefault="005C5417" w:rsidP="00270210">
      <w:pPr>
        <w:pStyle w:val="3"/>
        <w:rPr>
          <w:rFonts w:hint="eastAsia"/>
        </w:rPr>
      </w:pPr>
      <w:r>
        <w:rPr>
          <w:rFonts w:hint="eastAsia"/>
        </w:rPr>
        <w:t>4.1.</w:t>
      </w:r>
      <w:r w:rsidR="004E59A8">
        <w:rPr>
          <w:rFonts w:hint="eastAsia"/>
        </w:rPr>
        <w:t>3</w:t>
      </w:r>
      <w:r w:rsidR="004E59A8" w:rsidRPr="004E59A8">
        <w:rPr>
          <w:rFonts w:hint="eastAsia"/>
        </w:rPr>
        <w:t xml:space="preserve"> </w:t>
      </w:r>
      <w:r w:rsidR="004E59A8">
        <w:rPr>
          <w:rFonts w:hint="eastAsia"/>
        </w:rPr>
        <w:t>多模态融合与物理世界理解：从感知到生成一体化</w:t>
      </w:r>
    </w:p>
    <w:p w14:paraId="18AF45A9" w14:textId="0AA5BAD4" w:rsidR="004E59A8" w:rsidRPr="004E59A8" w:rsidRDefault="004E59A8" w:rsidP="004E59A8">
      <w:pPr>
        <w:rPr>
          <w:rFonts w:hint="eastAsia"/>
        </w:rPr>
      </w:pPr>
      <w:r>
        <w:rPr>
          <w:rFonts w:hint="eastAsia"/>
        </w:rPr>
        <w:t>原生多模态理解与生成能力持续深化，已成为大模型的关键基础设施与交互界面2。技术前沿正从早期的模态对齐向“理解-生成一体化”演进，例如通过特定架构将视觉理解与生成结合，大幅提高模型的一致性与可编辑性，推动多模态应用从随机“抽卡”进入确定性创作阶段。另一方面，“世界模型”正从学界走向产业落地，旨在让AI理解物理世界的因果规律。例如，通过生成可交互的、符合物理法则的视频环境或直接创建可编辑的3D场景，为机器人训练、复杂模拟等应用奠定基础</w:t>
      </w:r>
    </w:p>
    <w:p w14:paraId="6DE6B60C" w14:textId="2EBDD0AF" w:rsidR="0056725F" w:rsidRDefault="00914D6F" w:rsidP="00B358D3">
      <w:pPr>
        <w:pStyle w:val="2"/>
        <w:rPr>
          <w:rFonts w:hint="eastAsia"/>
        </w:rPr>
      </w:pPr>
      <w:r>
        <w:rPr>
          <w:rFonts w:hint="eastAsia"/>
        </w:rPr>
        <w:t>4.2</w:t>
      </w:r>
      <w:r w:rsidR="0056725F">
        <w:rPr>
          <w:rFonts w:hint="eastAsia"/>
        </w:rPr>
        <w:t>商业趋势</w:t>
      </w:r>
    </w:p>
    <w:p w14:paraId="6069BB8D" w14:textId="3E12149B" w:rsidR="004E59A8" w:rsidRDefault="005C5417" w:rsidP="00270210">
      <w:pPr>
        <w:pStyle w:val="3"/>
        <w:rPr>
          <w:rFonts w:hint="eastAsia"/>
        </w:rPr>
      </w:pPr>
      <w:r>
        <w:rPr>
          <w:rFonts w:hint="eastAsia"/>
        </w:rPr>
        <w:t>4.2.</w:t>
      </w:r>
      <w:r w:rsidR="004E59A8">
        <w:rPr>
          <w:rFonts w:hint="eastAsia"/>
        </w:rPr>
        <w:t>1 商业化落地：从试点到规模化</w:t>
      </w:r>
      <w:r w:rsidR="00270210">
        <w:rPr>
          <w:rFonts w:hint="eastAsia"/>
        </w:rPr>
        <w:t>展开至具体细分行业</w:t>
      </w:r>
    </w:p>
    <w:p w14:paraId="1A60CE5A" w14:textId="77777777" w:rsidR="00270210" w:rsidRDefault="004E59A8" w:rsidP="004E59A8">
      <w:pPr>
        <w:rPr>
          <w:rFonts w:hint="eastAsia"/>
        </w:rPr>
      </w:pPr>
      <w:r>
        <w:rPr>
          <w:rFonts w:hint="eastAsia"/>
        </w:rPr>
        <w:t>2025年以来，全球大模型Token调用量呈现指数级增长，例如2025年第四季度单周</w:t>
      </w:r>
      <w:r>
        <w:rPr>
          <w:rFonts w:hint="eastAsia"/>
        </w:rPr>
        <w:lastRenderedPageBreak/>
        <w:t>峰值已突破7万亿，较前一季度峰值接近翻倍，标志着AI产业正加速从技术验证走向规模化应用。商业化落地已进入规模化复制阶段，尤其在金融、公共服务、能源等行业，大模型解决方案开始批量落地，成为行业收入增长的核心驱动力。</w:t>
      </w:r>
    </w:p>
    <w:p w14:paraId="4BAA77BB" w14:textId="0ED90BDE" w:rsidR="004E59A8" w:rsidRDefault="00270210" w:rsidP="004E59A8">
      <w:pPr>
        <w:rPr>
          <w:rFonts w:hint="eastAsia"/>
        </w:rPr>
      </w:pPr>
      <w:r>
        <w:rPr>
          <w:rFonts w:hint="eastAsia"/>
          <w:noProof/>
        </w:rPr>
        <w:drawing>
          <wp:inline distT="0" distB="0" distL="0" distR="0" wp14:anchorId="37A90DD4" wp14:editId="435D4151">
            <wp:extent cx="5274310" cy="3055620"/>
            <wp:effectExtent l="0" t="0" r="2540" b="0"/>
            <wp:docPr id="410389910" name="图片 1" descr="各行业AI导入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行业AI导入率"/>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055620"/>
                    </a:xfrm>
                    <a:prstGeom prst="rect">
                      <a:avLst/>
                    </a:prstGeom>
                    <a:noFill/>
                    <a:ln>
                      <a:noFill/>
                    </a:ln>
                  </pic:spPr>
                </pic:pic>
              </a:graphicData>
            </a:graphic>
          </wp:inline>
        </w:drawing>
      </w:r>
      <w:r w:rsidR="004E59A8">
        <w:rPr>
          <w:rFonts w:hint="eastAsia"/>
        </w:rPr>
        <w:t>市场增长动力清晰，据预测，全球生成式AI收入总市场规模将从2023年的929亿美元增长至2032年的1.62万亿美元，年复合增长率约37%。</w:t>
      </w:r>
    </w:p>
    <w:p w14:paraId="65C018E6" w14:textId="080397F1" w:rsidR="004E59A8" w:rsidRDefault="005C5417" w:rsidP="00270210">
      <w:pPr>
        <w:pStyle w:val="3"/>
        <w:rPr>
          <w:rFonts w:hint="eastAsia"/>
        </w:rPr>
      </w:pPr>
      <w:r>
        <w:rPr>
          <w:rFonts w:hint="eastAsia"/>
        </w:rPr>
        <w:t>4.2.</w:t>
      </w:r>
      <w:r w:rsidR="004E59A8">
        <w:rPr>
          <w:rFonts w:hint="eastAsia"/>
        </w:rPr>
        <w:t>2 竞争与效率：格局收敛与盈利拐点</w:t>
      </w:r>
    </w:p>
    <w:p w14:paraId="62873704" w14:textId="1E310CC9" w:rsidR="00621C0E" w:rsidRPr="00621C0E" w:rsidRDefault="004E59A8" w:rsidP="004E59A8">
      <w:pPr>
        <w:rPr>
          <w:rFonts w:hint="eastAsia"/>
        </w:rPr>
      </w:pPr>
      <w:r>
        <w:rPr>
          <w:rFonts w:hint="eastAsia"/>
        </w:rPr>
        <w:t>市场竞争正快速收敛至头部厂商，领先厂商如OpenAI、Anthropic已展现出强劲的商业化爆发力，营收规模实现数量级跨越。在此背景下，商业化效率已成为核心估值锚。资本市场的关注点已从最初的技术叙事，转向收入质量、毛利率改善、现金流管理等本质指标。能否展示出清晰的盈利拐点预期，是支撑长期市值的关键。与此同时，模型调用成本随着时间推移持续下降，相同智能水平下的使用门槛不断降低，进一步推动了应用生态的繁荣。</w:t>
      </w:r>
    </w:p>
    <w:p w14:paraId="4320D140" w14:textId="313C390A" w:rsidR="0056725F" w:rsidRDefault="00914D6F" w:rsidP="00B358D3">
      <w:pPr>
        <w:pStyle w:val="2"/>
        <w:rPr>
          <w:rFonts w:hint="eastAsia"/>
        </w:rPr>
      </w:pPr>
      <w:r>
        <w:rPr>
          <w:rFonts w:hint="eastAsia"/>
        </w:rPr>
        <w:t>4.3</w:t>
      </w:r>
      <w:r w:rsidR="00B358D3">
        <w:rPr>
          <w:rFonts w:hint="eastAsia"/>
        </w:rPr>
        <w:t>战略选项和行动建议</w:t>
      </w:r>
    </w:p>
    <w:p w14:paraId="63AB9431" w14:textId="5FBE7334" w:rsidR="00F06836" w:rsidRDefault="005C5417" w:rsidP="00522A5F">
      <w:pPr>
        <w:pStyle w:val="3"/>
        <w:rPr>
          <w:rFonts w:hint="eastAsia"/>
        </w:rPr>
      </w:pPr>
      <w:r>
        <w:rPr>
          <w:rFonts w:hint="eastAsia"/>
        </w:rPr>
        <w:t>4.3.1</w:t>
      </w:r>
      <w:r w:rsidR="00F06836">
        <w:rPr>
          <w:rFonts w:hint="eastAsia"/>
        </w:rPr>
        <w:t xml:space="preserve"> 政策参与者：构建生态与引导规范</w:t>
      </w:r>
    </w:p>
    <w:p w14:paraId="4DC76334" w14:textId="5726C08C" w:rsidR="00F06836" w:rsidRDefault="00F06836" w:rsidP="00F06836">
      <w:pPr>
        <w:rPr>
          <w:rFonts w:hint="eastAsia"/>
        </w:rPr>
      </w:pPr>
      <w:r>
        <w:rPr>
          <w:rFonts w:hint="eastAsia"/>
        </w:rPr>
        <w:t>战略定位：作为产业顶层设计者与规则制定者，政策参与者的核心目标是构建健康、自主、可持续的产业生态，确保技术发展服务于国家战略与公共利益。</w:t>
      </w:r>
    </w:p>
    <w:p w14:paraId="23EF0EC1" w14:textId="7AA2EB38" w:rsidR="00F06836" w:rsidRDefault="00F06836" w:rsidP="00F06836">
      <w:pPr>
        <w:rPr>
          <w:rFonts w:hint="eastAsia"/>
        </w:rPr>
      </w:pPr>
      <w:r>
        <w:rPr>
          <w:rFonts w:hint="eastAsia"/>
        </w:rPr>
        <w:t>战略选项与行动建议：</w:t>
      </w:r>
    </w:p>
    <w:p w14:paraId="2515D2AA" w14:textId="6BE63C44" w:rsidR="00F06836" w:rsidRDefault="00F06836" w:rsidP="00F06836">
      <w:pPr>
        <w:pStyle w:val="a9"/>
        <w:numPr>
          <w:ilvl w:val="0"/>
          <w:numId w:val="8"/>
        </w:numPr>
        <w:rPr>
          <w:rFonts w:hint="eastAsia"/>
        </w:rPr>
      </w:pPr>
      <w:r>
        <w:rPr>
          <w:rFonts w:hint="eastAsia"/>
        </w:rPr>
        <w:t>定立标准、构筑底座：加快推动大模型标准体系建设，为技术研发与产品互联互通提供依据。同时，将“算力网”与“新型电网”的联动建设提升至基础设施高度，为</w:t>
      </w:r>
      <w:r>
        <w:rPr>
          <w:rFonts w:hint="eastAsia"/>
        </w:rPr>
        <w:lastRenderedPageBreak/>
        <w:t>核心生产要素的成本边际下降奠定基础。行动上，应优先推动条件成熟的“六张网”重大工程项目开工，形成有效投资拉动。</w:t>
      </w:r>
    </w:p>
    <w:p w14:paraId="513F8159" w14:textId="018D7386" w:rsidR="00F06836" w:rsidRDefault="00F06836" w:rsidP="00F06836">
      <w:pPr>
        <w:pStyle w:val="a9"/>
        <w:numPr>
          <w:ilvl w:val="0"/>
          <w:numId w:val="8"/>
        </w:numPr>
        <w:rPr>
          <w:rFonts w:hint="eastAsia"/>
        </w:rPr>
      </w:pPr>
      <w:r>
        <w:rPr>
          <w:rFonts w:hint="eastAsia"/>
        </w:rPr>
        <w:t>促进模型自主、确保科技安全：大力支持基于全国产算力训练的大模型研发与应用，保障AI核心技术底座自主可控。对承担重大项目的企业给予研发补助与税收支持，巩固“人工智能国家队”的产业地位。</w:t>
      </w:r>
    </w:p>
    <w:p w14:paraId="0FCB8820" w14:textId="463A47DC" w:rsidR="00F06836" w:rsidRDefault="00F06836" w:rsidP="00F06836">
      <w:pPr>
        <w:pStyle w:val="a9"/>
        <w:numPr>
          <w:ilvl w:val="0"/>
          <w:numId w:val="8"/>
        </w:numPr>
        <w:rPr>
          <w:rFonts w:hint="eastAsia"/>
        </w:rPr>
      </w:pPr>
      <w:r>
        <w:rPr>
          <w:rFonts w:hint="eastAsia"/>
        </w:rPr>
        <w:t>拓宽应用场景、重视相关治理：全面实施“人工智能+”行动，引导大模型在工业、教育、医疗、政务等关键领域深度融合。同步完善人工智能治理框架，在数据使用、算法公平与伦理规范方面前瞻立法，实现发展与安全的平衡。</w:t>
      </w:r>
    </w:p>
    <w:p w14:paraId="2CDA25A4" w14:textId="3628F784" w:rsidR="00522A5F" w:rsidRDefault="005C5417" w:rsidP="00522A5F">
      <w:pPr>
        <w:pStyle w:val="3"/>
        <w:rPr>
          <w:rFonts w:hint="eastAsia"/>
        </w:rPr>
      </w:pPr>
      <w:r>
        <w:rPr>
          <w:rFonts w:hint="eastAsia"/>
        </w:rPr>
        <w:t>4.3.2</w:t>
      </w:r>
      <w:r w:rsidR="00522A5F">
        <w:rPr>
          <w:rFonts w:hint="eastAsia"/>
        </w:rPr>
        <w:t xml:space="preserve"> 行业龙头：巩固壁垒与定义赛道</w:t>
      </w:r>
    </w:p>
    <w:p w14:paraId="658F9FA3" w14:textId="1AD6180F" w:rsidR="00522A5F" w:rsidRDefault="00522A5F" w:rsidP="00522A5F">
      <w:pPr>
        <w:rPr>
          <w:rFonts w:hint="eastAsia"/>
        </w:rPr>
      </w:pPr>
      <w:r>
        <w:rPr>
          <w:rFonts w:hint="eastAsia"/>
        </w:rPr>
        <w:t>战略定位：作为技术引领与市场定义者，行业龙头的目标是建立并扩大全栈技术优势，主导平台生态，同时将技术优势高效转化为商业回报。</w:t>
      </w:r>
    </w:p>
    <w:p w14:paraId="68A65D1B" w14:textId="2265ACF3" w:rsidR="00522A5F" w:rsidRDefault="00522A5F" w:rsidP="00522A5F">
      <w:pPr>
        <w:rPr>
          <w:rFonts w:hint="eastAsia"/>
        </w:rPr>
      </w:pPr>
      <w:r>
        <w:rPr>
          <w:rFonts w:hint="eastAsia"/>
        </w:rPr>
        <w:t>战略选项与行动建议：</w:t>
      </w:r>
    </w:p>
    <w:p w14:paraId="514ED4A3" w14:textId="7991D32C" w:rsidR="00522A5F" w:rsidRDefault="00522A5F" w:rsidP="00522A5F">
      <w:pPr>
        <w:pStyle w:val="a9"/>
        <w:numPr>
          <w:ilvl w:val="0"/>
          <w:numId w:val="9"/>
        </w:numPr>
        <w:rPr>
          <w:rFonts w:hint="eastAsia"/>
        </w:rPr>
      </w:pPr>
      <w:r>
        <w:rPr>
          <w:rFonts w:hint="eastAsia"/>
        </w:rPr>
        <w:t>技术纵深战略：持续加大研发投入，保持在算法、算力、数据等核心要素上的领先性。行业龙头2026年研发投入占营收比重可接近20%，致力于实现整体技术指标对标全球第一梯队。行动上，应聚焦于提升大模型的通用能力与多模态能力，并大力投入智能体（Agent）开发平台，构建开发者生态。</w:t>
      </w:r>
    </w:p>
    <w:p w14:paraId="58404668" w14:textId="3A8FCB0F" w:rsidR="00522A5F" w:rsidRDefault="00522A5F" w:rsidP="00522A5F">
      <w:pPr>
        <w:pStyle w:val="a9"/>
        <w:numPr>
          <w:ilvl w:val="0"/>
          <w:numId w:val="9"/>
        </w:numPr>
        <w:rPr>
          <w:rFonts w:hint="eastAsia"/>
        </w:rPr>
      </w:pPr>
      <w:r>
        <w:rPr>
          <w:rFonts w:hint="eastAsia"/>
        </w:rPr>
        <w:t>垂直深耕战略：利用自身行业优势地位形成的标杆效应，将经过验证的模型能力快速向B端和C端复制。例如，将教育、医疗、金融、学术等领域已验证的解决方案，通过开放平台或行业模型授权方式，实现规模化收入。</w:t>
      </w:r>
    </w:p>
    <w:p w14:paraId="2C059BE9" w14:textId="34D9F1C7" w:rsidR="00F06836" w:rsidRDefault="00522A5F" w:rsidP="00522A5F">
      <w:pPr>
        <w:pStyle w:val="a9"/>
        <w:numPr>
          <w:ilvl w:val="0"/>
          <w:numId w:val="9"/>
        </w:numPr>
        <w:rPr>
          <w:rFonts w:hint="eastAsia"/>
        </w:rPr>
      </w:pPr>
      <w:r>
        <w:rPr>
          <w:rFonts w:hint="eastAsia"/>
        </w:rPr>
        <w:t>业务优化与出海战略：主动优化业务结构，对定制化程度高、回款慢的项目采取审慎策略，聚焦于高毛利、强现金流的C端硬件与B端解决方案。同时，将出海作为第二增长曲线，聚焦东南亚、中东等关键市场，实现营收的规模化增长。</w:t>
      </w:r>
    </w:p>
    <w:p w14:paraId="7BB7F686" w14:textId="654CA857" w:rsidR="000B5933" w:rsidRDefault="00B04FB9" w:rsidP="000B5933">
      <w:pPr>
        <w:pStyle w:val="3"/>
        <w:rPr>
          <w:rFonts w:hint="eastAsia"/>
        </w:rPr>
      </w:pPr>
      <w:r>
        <w:rPr>
          <w:rFonts w:hint="eastAsia"/>
        </w:rPr>
        <w:t>4.3.3</w:t>
      </w:r>
      <w:r w:rsidR="000B5933">
        <w:rPr>
          <w:rFonts w:hint="eastAsia"/>
        </w:rPr>
        <w:t xml:space="preserve"> 新进企业：聚焦场景与差异化竞争</w:t>
      </w:r>
    </w:p>
    <w:p w14:paraId="5B89ED3F" w14:textId="3E94BF97" w:rsidR="000B5933" w:rsidRPr="000B5933" w:rsidRDefault="000B5933" w:rsidP="000B5933">
      <w:pPr>
        <w:rPr>
          <w:rFonts w:hint="eastAsia"/>
        </w:rPr>
      </w:pPr>
      <w:r>
        <w:rPr>
          <w:rFonts w:hint="eastAsia"/>
        </w:rPr>
        <w:t>战略定位：作为市场的挑战者与创新者，新进企业需避免与龙头在通用大模型上正面竞争，而应凭借灵活性与专注度，在细分领域建立绝对优势。</w:t>
      </w:r>
    </w:p>
    <w:p w14:paraId="4922757D" w14:textId="783FC5A1" w:rsidR="000B5933" w:rsidRDefault="000B5933" w:rsidP="000B5933">
      <w:pPr>
        <w:rPr>
          <w:rFonts w:hint="eastAsia"/>
        </w:rPr>
      </w:pPr>
      <w:r>
        <w:rPr>
          <w:rFonts w:hint="eastAsia"/>
        </w:rPr>
        <w:t>战略选项与行动建议：</w:t>
      </w:r>
    </w:p>
    <w:p w14:paraId="4A02260F" w14:textId="6B86EB1B" w:rsidR="000B5933" w:rsidRDefault="000B5933" w:rsidP="000B5933">
      <w:pPr>
        <w:pStyle w:val="a9"/>
        <w:numPr>
          <w:ilvl w:val="0"/>
          <w:numId w:val="10"/>
        </w:numPr>
        <w:rPr>
          <w:rFonts w:hint="eastAsia"/>
        </w:rPr>
      </w:pPr>
      <w:r>
        <w:rPr>
          <w:rFonts w:hint="eastAsia"/>
        </w:rPr>
        <w:t>场景专精战略：选择一个需求明确、行业Know-how深的垂直赛道（如医疗康养、工业质检、金融风控）进行饱和攻击。战略核心是成为该领域“最懂业务”的AI公司，而非拥有最大参数模型的公司。可参考人形机器人领域中，专注于医疗康养或工业重载的专精特新企业成长路径。</w:t>
      </w:r>
    </w:p>
    <w:p w14:paraId="4F7AEBA2" w14:textId="77777777" w:rsidR="000B5933" w:rsidRDefault="000B5933" w:rsidP="000B5933">
      <w:pPr>
        <w:pStyle w:val="a9"/>
        <w:numPr>
          <w:ilvl w:val="0"/>
          <w:numId w:val="10"/>
        </w:numPr>
        <w:rPr>
          <w:rFonts w:hint="eastAsia"/>
        </w:rPr>
      </w:pPr>
      <w:r>
        <w:rPr>
          <w:rFonts w:hint="eastAsia"/>
        </w:rPr>
        <w:t>生态依附战略：积极融入头部企业构建的开放平台生态。利用龙头提供的MaaS（模型即服务）底座和开发工具，快速构建面向特定场景的智能体应用，降低底层研发成本，共享生态流量。</w:t>
      </w:r>
    </w:p>
    <w:p w14:paraId="68EBC54C" w14:textId="22428411" w:rsidR="000B5933" w:rsidRDefault="000B5933" w:rsidP="000B5933">
      <w:pPr>
        <w:pStyle w:val="a9"/>
        <w:numPr>
          <w:ilvl w:val="0"/>
          <w:numId w:val="10"/>
        </w:numPr>
        <w:rPr>
          <w:rFonts w:hint="eastAsia"/>
        </w:rPr>
      </w:pPr>
      <w:r>
        <w:rPr>
          <w:rFonts w:hint="eastAsia"/>
        </w:rPr>
        <w:t>轻资产敏捷战略：在商业模式上，优先采用SaaS订阅、API调用量计费等轻资</w:t>
      </w:r>
      <w:r>
        <w:rPr>
          <w:rFonts w:hint="eastAsia"/>
        </w:rPr>
        <w:lastRenderedPageBreak/>
        <w:t>产、高粘性的模式。在研发上，注重工程化落地能力与客户需求反馈的快速迭代，以敏捷开发，快速反馈的方式验证产品市场匹配度。</w:t>
      </w:r>
    </w:p>
    <w:p w14:paraId="7F14E471" w14:textId="44E5E4C7" w:rsidR="000B5933" w:rsidRDefault="00B04FB9" w:rsidP="000B5933">
      <w:pPr>
        <w:pStyle w:val="3"/>
        <w:rPr>
          <w:rFonts w:hint="eastAsia"/>
        </w:rPr>
      </w:pPr>
      <w:r>
        <w:rPr>
          <w:rFonts w:hint="eastAsia"/>
        </w:rPr>
        <w:t>4.3.4</w:t>
      </w:r>
      <w:r w:rsidR="000B5933">
        <w:rPr>
          <w:rFonts w:hint="eastAsia"/>
        </w:rPr>
        <w:t xml:space="preserve"> 下游用户：积极融合与价值重构</w:t>
      </w:r>
    </w:p>
    <w:p w14:paraId="34D555AD" w14:textId="5D52C0E7" w:rsidR="000B5933" w:rsidRDefault="000B5933" w:rsidP="000B5933">
      <w:pPr>
        <w:rPr>
          <w:rFonts w:hint="eastAsia"/>
        </w:rPr>
      </w:pPr>
      <w:r>
        <w:rPr>
          <w:rFonts w:hint="eastAsia"/>
        </w:rPr>
        <w:t>战略定位：作为技术应用方与价值实现者，下游用户（企业/政府）的目标是利用大模型降本增效、创新商业模式或提升公共服务能力。</w:t>
      </w:r>
    </w:p>
    <w:p w14:paraId="1E918BBE" w14:textId="4ABF55A7" w:rsidR="000B5933" w:rsidRDefault="000B5933" w:rsidP="000B5933">
      <w:pPr>
        <w:rPr>
          <w:rFonts w:hint="eastAsia"/>
        </w:rPr>
      </w:pPr>
      <w:r>
        <w:rPr>
          <w:rFonts w:hint="eastAsia"/>
        </w:rPr>
        <w:t>战略选项与行动建议：</w:t>
      </w:r>
    </w:p>
    <w:p w14:paraId="50AAC0EE" w14:textId="77777777" w:rsidR="000B5933" w:rsidRDefault="000B5933" w:rsidP="000B5933">
      <w:pPr>
        <w:pStyle w:val="a9"/>
        <w:numPr>
          <w:ilvl w:val="0"/>
          <w:numId w:val="11"/>
        </w:numPr>
        <w:rPr>
          <w:rFonts w:hint="eastAsia"/>
        </w:rPr>
      </w:pPr>
      <w:r>
        <w:rPr>
          <w:rFonts w:hint="eastAsia"/>
        </w:rPr>
        <w:t>需求评估与路径选择：首先内部评估数据基础、业务痛点和投入预算。对于IT能力强的头部企业，可考虑采购通用大模型进行私有化部署与精调；对于大多数企业，优先选择行业龙头或垂直厂商提供的标准化解决方案或API服务。</w:t>
      </w:r>
    </w:p>
    <w:p w14:paraId="41B83A2F" w14:textId="3B0199FD" w:rsidR="000B5933" w:rsidRDefault="000B5933" w:rsidP="000B5933">
      <w:pPr>
        <w:pStyle w:val="a9"/>
        <w:numPr>
          <w:ilvl w:val="0"/>
          <w:numId w:val="11"/>
        </w:numPr>
        <w:rPr>
          <w:rFonts w:hint="eastAsia"/>
        </w:rPr>
      </w:pPr>
      <w:r>
        <w:rPr>
          <w:rFonts w:hint="eastAsia"/>
        </w:rPr>
        <w:t>聚焦“Token经营”转型：对于拥有规模用户客群和互联网资源的企业，战略重点应是从传统的流量经营向“Token经营”转型，即基于大模型能力提供智能服务和业务改造，目标实现算力与智能服务收入的第二曲线上扬，完成AI时代产业赋能。</w:t>
      </w:r>
    </w:p>
    <w:p w14:paraId="0AA912BF" w14:textId="539D011A" w:rsidR="000B5933" w:rsidRDefault="000B5933" w:rsidP="000B5933">
      <w:pPr>
        <w:pStyle w:val="a9"/>
        <w:numPr>
          <w:ilvl w:val="0"/>
          <w:numId w:val="11"/>
        </w:numPr>
        <w:rPr>
          <w:rFonts w:hint="eastAsia"/>
        </w:rPr>
      </w:pPr>
      <w:r>
        <w:rPr>
          <w:rFonts w:hint="eastAsia"/>
        </w:rPr>
        <w:t>成本管控与人才储备：密切关注算力成本上升趋势，在采购云服务或算力时考虑多元化供应商以平衡成本与安全。同时，启动内部员工的AI技能培训计划，培养一批既懂业务又懂AI的复合型人才，确保技术能用、好用。</w:t>
      </w:r>
    </w:p>
    <w:p w14:paraId="30C58128" w14:textId="0F32AA22" w:rsidR="000B5933" w:rsidRDefault="00B04FB9" w:rsidP="000B5933">
      <w:pPr>
        <w:pStyle w:val="3"/>
        <w:rPr>
          <w:rFonts w:hint="eastAsia"/>
        </w:rPr>
      </w:pPr>
      <w:r>
        <w:rPr>
          <w:rFonts w:hint="eastAsia"/>
        </w:rPr>
        <w:t>4.3.5</w:t>
      </w:r>
      <w:r w:rsidR="000B5933">
        <w:rPr>
          <w:rFonts w:hint="eastAsia"/>
        </w:rPr>
        <w:t xml:space="preserve"> 投资方：前瞻布局与阶段匹配</w:t>
      </w:r>
    </w:p>
    <w:p w14:paraId="154D6677" w14:textId="77B9D907" w:rsidR="000B5933" w:rsidRDefault="000B5933" w:rsidP="000B5933">
      <w:pPr>
        <w:rPr>
          <w:rFonts w:hint="eastAsia"/>
        </w:rPr>
      </w:pPr>
      <w:r>
        <w:rPr>
          <w:rFonts w:hint="eastAsia"/>
        </w:rPr>
        <w:t>战略定位：作为产业发展的资本助推器与价值发现者，投资方需基于产业不同发展阶段的风险收益特征，进行系统性布局。</w:t>
      </w:r>
    </w:p>
    <w:p w14:paraId="775F99F4" w14:textId="2FC7EA23" w:rsidR="000B5933" w:rsidRDefault="000B5933" w:rsidP="000B5933">
      <w:pPr>
        <w:rPr>
          <w:rFonts w:hint="eastAsia"/>
        </w:rPr>
      </w:pPr>
      <w:r>
        <w:rPr>
          <w:rFonts w:hint="eastAsia"/>
        </w:rPr>
        <w:t>战略选项与行动建议：</w:t>
      </w:r>
    </w:p>
    <w:p w14:paraId="29A22BD7" w14:textId="77777777" w:rsidR="000B5933" w:rsidRDefault="000B5933" w:rsidP="000B5933">
      <w:pPr>
        <w:rPr>
          <w:rFonts w:hint="eastAsia"/>
        </w:rPr>
      </w:pPr>
      <w:r>
        <w:rPr>
          <w:rFonts w:hint="eastAsia"/>
        </w:rPr>
        <w:t>分阶段布局策略：</w:t>
      </w:r>
    </w:p>
    <w:p w14:paraId="4D7896DE" w14:textId="236E1FA7" w:rsidR="000B5933" w:rsidRDefault="000B5933" w:rsidP="000B5933">
      <w:pPr>
        <w:pStyle w:val="a9"/>
        <w:numPr>
          <w:ilvl w:val="0"/>
          <w:numId w:val="12"/>
        </w:numPr>
        <w:rPr>
          <w:rFonts w:hint="eastAsia"/>
        </w:rPr>
      </w:pPr>
      <w:r>
        <w:rPr>
          <w:rFonts w:hint="eastAsia"/>
        </w:rPr>
        <w:t>早期/VC阶段：聚焦技术前沿，投资于具身智能大模型、高端传感、下一代AI芯片架构等可能占据未来“制高点”的初创团队，发挥耐心资本作用。</w:t>
      </w:r>
    </w:p>
    <w:p w14:paraId="2640B298" w14:textId="7761FE29" w:rsidR="000B5933" w:rsidRDefault="000B5933" w:rsidP="000B5933">
      <w:pPr>
        <w:pStyle w:val="a9"/>
        <w:numPr>
          <w:ilvl w:val="0"/>
          <w:numId w:val="12"/>
        </w:numPr>
        <w:rPr>
          <w:rFonts w:hint="eastAsia"/>
        </w:rPr>
      </w:pPr>
      <w:r>
        <w:rPr>
          <w:rFonts w:hint="eastAsia"/>
        </w:rPr>
        <w:t>成长期/PE阶段：重点布局已实现关键技术突破、切入头部供应链的上游核心环节企业，如AI芯片、高速光模块/光芯片、高质量训练数据提供商等，这些领域技术壁垒高，国产替代逻辑清晰，业绩兑现快。</w:t>
      </w:r>
    </w:p>
    <w:p w14:paraId="1B1032EF" w14:textId="77777777" w:rsidR="000B5933" w:rsidRDefault="000B5933" w:rsidP="000B5933">
      <w:pPr>
        <w:pStyle w:val="a9"/>
        <w:numPr>
          <w:ilvl w:val="0"/>
          <w:numId w:val="12"/>
        </w:numPr>
        <w:rPr>
          <w:rFonts w:hint="eastAsia"/>
        </w:rPr>
      </w:pPr>
      <w:r>
        <w:rPr>
          <w:rFonts w:hint="eastAsia"/>
        </w:rPr>
        <w:t>成熟期/二级市场：持续跟踪已实现规模化营收的行业龙头，以及在中游平台或下游细分场景中建立起强大护城河的公司。关注其技术迭代、成本控制与商业化落地能力。</w:t>
      </w:r>
    </w:p>
    <w:p w14:paraId="577EB9C3" w14:textId="77777777" w:rsidR="000B5933" w:rsidRDefault="000B5933" w:rsidP="000B5933">
      <w:pPr>
        <w:rPr>
          <w:rFonts w:hint="eastAsia"/>
        </w:rPr>
      </w:pPr>
      <w:r>
        <w:rPr>
          <w:rFonts w:hint="eastAsia"/>
        </w:rPr>
        <w:t>产业链价值投资：沿产业链进行系统化配置。上游关注算力基础设施（芯片、光模块）的确定性机会；中游关注模型能力与平台生态的领先者；下游关注在工业、医疗、汽车等领域率先实现商业闭环的应用厂商。</w:t>
      </w:r>
    </w:p>
    <w:p w14:paraId="5FF37262" w14:textId="33A95DDC" w:rsidR="000B5933" w:rsidRPr="00F06836" w:rsidRDefault="000B5933" w:rsidP="000B5933">
      <w:pPr>
        <w:rPr>
          <w:rFonts w:hint="eastAsia"/>
        </w:rPr>
      </w:pPr>
      <w:r>
        <w:rPr>
          <w:rFonts w:hint="eastAsia"/>
        </w:rPr>
        <w:t>风险识别与管理：警惕技术路线快速迭代、行业竞争加剧及地缘政治带来的供应链风</w:t>
      </w:r>
      <w:r>
        <w:rPr>
          <w:rFonts w:hint="eastAsia"/>
        </w:rPr>
        <w:lastRenderedPageBreak/>
        <w:t>险。投资决策应基于深度的技术尽调与市场验证，优先选择团队背景扎实、客户订单可见度高、现金流稳健的企业。</w:t>
      </w:r>
    </w:p>
    <w:p w14:paraId="31E29365" w14:textId="79FEAD94" w:rsidR="00715D18" w:rsidRDefault="00914D6F" w:rsidP="00715D18">
      <w:pPr>
        <w:pStyle w:val="2"/>
        <w:rPr>
          <w:rFonts w:hint="eastAsia"/>
        </w:rPr>
      </w:pPr>
      <w:r>
        <w:rPr>
          <w:rFonts w:hint="eastAsia"/>
        </w:rPr>
        <w:t>4.4</w:t>
      </w:r>
      <w:r w:rsidR="00715D18">
        <w:rPr>
          <w:rFonts w:hint="eastAsia"/>
        </w:rPr>
        <w:t>潜在风险提示</w:t>
      </w:r>
    </w:p>
    <w:p w14:paraId="506F2F4C" w14:textId="71DA189A" w:rsidR="00323214" w:rsidRDefault="00B04FB9" w:rsidP="00323214">
      <w:pPr>
        <w:pStyle w:val="3"/>
        <w:rPr>
          <w:rFonts w:hint="eastAsia"/>
        </w:rPr>
      </w:pPr>
      <w:r>
        <w:rPr>
          <w:rFonts w:hint="eastAsia"/>
        </w:rPr>
        <w:t xml:space="preserve">4.4.1 </w:t>
      </w:r>
      <w:r w:rsidR="00323214">
        <w:rPr>
          <w:rFonts w:hint="eastAsia"/>
        </w:rPr>
        <w:t>商业模式与盈利路径的不确定性</w:t>
      </w:r>
    </w:p>
    <w:p w14:paraId="597AA323" w14:textId="618F6396" w:rsidR="00323214" w:rsidRDefault="00323214" w:rsidP="00323214">
      <w:pPr>
        <w:rPr>
          <w:rFonts w:hint="eastAsia"/>
        </w:rPr>
      </w:pPr>
      <w:r>
        <w:rPr>
          <w:rFonts w:hint="eastAsia"/>
        </w:rPr>
        <w:t>当前大模型产业面临的核心商业风险在于，天文数字级的资本投入与清晰、可持续的盈利模式之间存在巨大鸿沟。产业尚未证明其能产生与互联网时代相匹敌的规模经济与垄断利润。</w:t>
      </w:r>
    </w:p>
    <w:p w14:paraId="0D01DCEE" w14:textId="0E8F3EB2" w:rsidR="00323214" w:rsidRDefault="00323214" w:rsidP="00323214">
      <w:pPr>
        <w:rPr>
          <w:rFonts w:hint="eastAsia"/>
        </w:rPr>
      </w:pPr>
      <w:r>
        <w:rPr>
          <w:rFonts w:hint="eastAsia"/>
        </w:rPr>
        <w:t>高昂成本与模糊的变现能力构成根本矛盾：大模型的训练与推理消耗巨大的算力与电力，属于典型的重资产投入。然而，其商业模式却面临双重挑战：在收益端，AI产品的用户效用通常不具备网络效应，即用户数量的增加并不直接提升单个用户的体验或产品的护城河，这限制了企业的定价权。在成本端，随着用户规模扩大，所需的算力成本几乎线性甚至指数增长（由于transformer架构的特性，即使良优化后的模型结构，其成本也是几近于线性的），难以实现互联网式的边际成本递减。这使得“烧钱换增长”的互联网经典模式在大模型领域可能难以为继。</w:t>
      </w:r>
    </w:p>
    <w:p w14:paraId="1B080D16" w14:textId="6AB47F17" w:rsidR="00323214" w:rsidRDefault="00323214" w:rsidP="00323214">
      <w:pPr>
        <w:rPr>
          <w:rFonts w:hint="eastAsia"/>
        </w:rPr>
      </w:pPr>
      <w:r>
        <w:rPr>
          <w:rFonts w:hint="eastAsia"/>
        </w:rPr>
        <w:t>产业内部存在“循环融资”与利润虚高的风险。以美国为例，AI产业呈现一种头部企业相互投资、互为客户的紧密生态。科技巨头的资本开支流向英伟达等算力公司，后者再将部分利润以投资形式投向应用层企业。这种内部循环能够在财务报表上层层计提巨额利润，但真正的价值源泉——终端用户实际支付的费用——规模相对有限（2025年估计约460亿美元），与支撑万亿级别美元市值的产业利润预期形成巨大反差。这种结构使得整个产业的真实盈利能力和健康状况被掩盖，存在巨大的财务泡沫风险。</w:t>
      </w:r>
    </w:p>
    <w:p w14:paraId="01B02D38" w14:textId="0A5173F4" w:rsidR="00323214" w:rsidRDefault="00B04FB9" w:rsidP="00323214">
      <w:pPr>
        <w:pStyle w:val="3"/>
        <w:rPr>
          <w:rFonts w:hint="eastAsia"/>
        </w:rPr>
      </w:pPr>
      <w:r>
        <w:rPr>
          <w:rFonts w:hint="eastAsia"/>
        </w:rPr>
        <w:t xml:space="preserve">4.4.2 </w:t>
      </w:r>
      <w:r w:rsidR="00323214">
        <w:rPr>
          <w:rFonts w:hint="eastAsia"/>
        </w:rPr>
        <w:t>数据瓶颈与治理挑战</w:t>
      </w:r>
    </w:p>
    <w:p w14:paraId="0D1EFF32" w14:textId="0B90145B" w:rsidR="00323214" w:rsidRDefault="00323214" w:rsidP="00323214">
      <w:pPr>
        <w:rPr>
          <w:rFonts w:hint="eastAsia"/>
        </w:rPr>
      </w:pPr>
      <w:r>
        <w:rPr>
          <w:rFonts w:hint="eastAsia"/>
        </w:rPr>
        <w:t>数据是AI的“燃料”，但其质量、获取与使用的可持续性正成为产业发展的关键制约。</w:t>
      </w:r>
    </w:p>
    <w:p w14:paraId="635FD1F8" w14:textId="3E4B698F" w:rsidR="00323214" w:rsidRDefault="00323214" w:rsidP="00323214">
      <w:pPr>
        <w:rPr>
          <w:rFonts w:hint="eastAsia"/>
        </w:rPr>
      </w:pPr>
      <w:r>
        <w:rPr>
          <w:rFonts w:hint="eastAsia"/>
        </w:rPr>
        <w:t>高质量训练数据面临枯竭风险。当前大语言模型的训练主要基于互联网公开文本数据（从字节到字节）。随着模型参数规模指数级增长，互联网上有价值的高质量数据即将被耗尽。产业下一步发展需要转向“从原子到字节”，即从现实世界实时获取并处理数据，而这需要与实体经济深度融合，其复杂度和成本将呈数量级上升。</w:t>
      </w:r>
    </w:p>
    <w:p w14:paraId="5D6886DD" w14:textId="17322ECD" w:rsidR="00323214" w:rsidRDefault="00323214" w:rsidP="00323214">
      <w:pPr>
        <w:rPr>
          <w:rFonts w:hint="eastAsia"/>
        </w:rPr>
      </w:pPr>
      <w:r>
        <w:rPr>
          <w:rFonts w:hint="eastAsia"/>
        </w:rPr>
        <w:t>数据质量、隐私与版权问题日益尖锐。数据的污染（如故意投喂虚假信息）可直接导致模型输出错误，甚至被用于操纵金融市场。同时，使用受版权保护的内容进行训练引发的法律诉讼，以及由于数据隔离失效，导致用户隐私数据泄露的风险，都将使企业面临严峻的法律和合规挑战，增加运营成本与不确定性。</w:t>
      </w:r>
    </w:p>
    <w:p w14:paraId="70DABC53" w14:textId="6EA6A694" w:rsidR="00323214" w:rsidRDefault="00B04FB9" w:rsidP="00323214">
      <w:pPr>
        <w:pStyle w:val="3"/>
        <w:rPr>
          <w:rFonts w:hint="eastAsia"/>
        </w:rPr>
      </w:pPr>
      <w:r>
        <w:rPr>
          <w:rFonts w:hint="eastAsia"/>
        </w:rPr>
        <w:lastRenderedPageBreak/>
        <w:t xml:space="preserve">4.4.3 </w:t>
      </w:r>
      <w:r w:rsidR="00323214">
        <w:rPr>
          <w:rFonts w:hint="eastAsia"/>
        </w:rPr>
        <w:t>社会接受度与监管风险</w:t>
      </w:r>
    </w:p>
    <w:p w14:paraId="1725995D" w14:textId="2B09A727" w:rsidR="00323214" w:rsidRDefault="00323214" w:rsidP="00323214">
      <w:pPr>
        <w:rPr>
          <w:rFonts w:hint="eastAsia"/>
        </w:rPr>
      </w:pPr>
      <w:r>
        <w:rPr>
          <w:rFonts w:hint="eastAsia"/>
        </w:rPr>
        <w:t>技术的快速迭代远超社会规范与法律框架建立的速度，导致“技术-社会”摩擦加剧。</w:t>
      </w:r>
    </w:p>
    <w:p w14:paraId="7CA9DCEF" w14:textId="27A7CC30" w:rsidR="00323214" w:rsidRDefault="00323214" w:rsidP="00323214">
      <w:pPr>
        <w:rPr>
          <w:rFonts w:hint="eastAsia"/>
        </w:rPr>
      </w:pPr>
      <w:r>
        <w:rPr>
          <w:rFonts w:hint="eastAsia"/>
        </w:rPr>
        <w:t>“幻觉”等技术缺陷严重制约关键领域落地。在金融、医疗等要求高确定性与高精度的领域，大模型存在的“幻觉”（生成不准确或虚构内容）风险是致命伤。这导致许多严肃应用场景持观望态度，阻碍了技术的大规模商业化渗透。</w:t>
      </w:r>
    </w:p>
    <w:p w14:paraId="0074761C" w14:textId="19D8A7BD" w:rsidR="00323214" w:rsidRDefault="00323214" w:rsidP="00323214">
      <w:pPr>
        <w:rPr>
          <w:rFonts w:hint="eastAsia"/>
        </w:rPr>
      </w:pPr>
      <w:r>
        <w:rPr>
          <w:rFonts w:hint="eastAsia"/>
        </w:rPr>
        <w:t>监管滞后与伦理困境带来政策不确定性。全球各国政府对AI的监管仍处于探索阶段，未来在数据安全、算法透明度、内容责任、就业冲击等方面的政策收紧是大概率事件。严厉的监管可能大幅增加研发和合规成本，甚至限制某些技术路径的应用。此外，AI深度伪造技术已导致声纹识别等传统安全手段失效，人脸识别等也可能面临挑战，社会信任体系的修复与重建需要巨大的监管与技术成本。</w:t>
      </w:r>
    </w:p>
    <w:p w14:paraId="2AE05530" w14:textId="1B42D9B5" w:rsidR="00323214" w:rsidRDefault="00B04FB9" w:rsidP="00323214">
      <w:pPr>
        <w:pStyle w:val="3"/>
        <w:rPr>
          <w:rFonts w:hint="eastAsia"/>
        </w:rPr>
      </w:pPr>
      <w:r>
        <w:rPr>
          <w:rFonts w:hint="eastAsia"/>
        </w:rPr>
        <w:t xml:space="preserve">4.4.4 </w:t>
      </w:r>
      <w:r w:rsidR="00323214">
        <w:rPr>
          <w:rFonts w:hint="eastAsia"/>
        </w:rPr>
        <w:t>地缘政治与供应链风险</w:t>
      </w:r>
    </w:p>
    <w:p w14:paraId="29F28C4E" w14:textId="5ACDD6DE" w:rsidR="00323214" w:rsidRDefault="00323214" w:rsidP="00323214">
      <w:pPr>
        <w:rPr>
          <w:rFonts w:hint="eastAsia"/>
        </w:rPr>
      </w:pPr>
      <w:r>
        <w:rPr>
          <w:rFonts w:hint="eastAsia"/>
        </w:rPr>
        <w:t>AI作为战略技术，已深度卷入大国竞争，其全球产业链的稳定性面临挑战。技术封锁与市场分割成为新常态。地缘政治紧张导致AI芯片、先进制造设备等关键技术的国际流动受到限制。例如，美国从2025年末开始就英伟达芯片出口问题一事上进行反复的政治操弄，将AI算力基建供应链武器化。其现实迫使企业构建本土化供应链</w:t>
      </w:r>
      <w:r w:rsidR="00B9788C">
        <w:rPr>
          <w:rFonts w:hint="eastAsia"/>
        </w:rPr>
        <w:t>（一个案例是即将在2026年下半年面试的华为昇腾超节点服务器），</w:t>
      </w:r>
      <w:r>
        <w:rPr>
          <w:rFonts w:hint="eastAsia"/>
        </w:rPr>
        <w:t>但在短期内可能面临成本上升、性能折衷和技术迭代速度放缓的问题。</w:t>
      </w:r>
    </w:p>
    <w:p w14:paraId="0B262AF5" w14:textId="626DE3B1" w:rsidR="00323214" w:rsidRDefault="00323214" w:rsidP="00323214">
      <w:pPr>
        <w:rPr>
          <w:rFonts w:hint="eastAsia"/>
        </w:rPr>
      </w:pPr>
      <w:r>
        <w:rPr>
          <w:rFonts w:hint="eastAsia"/>
        </w:rPr>
        <w:t>全球市场可能分裂为不同技术标准与生态的“孤岛”。各国出于数据主权和安全考虑，可能要求数据本地化并培育本土AI企业，这将碎片化全球统一市场，削弱领先企业的规模优势，并导致重复建设和资源浪费。</w:t>
      </w:r>
    </w:p>
    <w:p w14:paraId="524AA224" w14:textId="399548B7" w:rsidR="00323214" w:rsidRDefault="00B04FB9" w:rsidP="00323214">
      <w:pPr>
        <w:pStyle w:val="3"/>
        <w:rPr>
          <w:rFonts w:hint="eastAsia"/>
        </w:rPr>
      </w:pPr>
      <w:r>
        <w:rPr>
          <w:rFonts w:hint="eastAsia"/>
        </w:rPr>
        <w:t xml:space="preserve">4.4.5 </w:t>
      </w:r>
      <w:r w:rsidR="00323214">
        <w:rPr>
          <w:rFonts w:hint="eastAsia"/>
        </w:rPr>
        <w:t>竞争失焦风险</w:t>
      </w:r>
    </w:p>
    <w:p w14:paraId="1CDC8332" w14:textId="6D8475E1" w:rsidR="00323214" w:rsidRDefault="00323214" w:rsidP="00323214">
      <w:pPr>
        <w:rPr>
          <w:rFonts w:hint="eastAsia"/>
        </w:rPr>
      </w:pPr>
      <w:r>
        <w:rPr>
          <w:rFonts w:hint="eastAsia"/>
        </w:rPr>
        <w:t>产业的爆炸式增长掩盖了其底层生态的某些脆弱性，并可能引发非理性的竞争。</w:t>
      </w:r>
    </w:p>
    <w:p w14:paraId="27FC1AD1" w14:textId="26BE712D" w:rsidR="00323214" w:rsidRDefault="00323214" w:rsidP="00323214">
      <w:pPr>
        <w:rPr>
          <w:rFonts w:hint="eastAsia"/>
        </w:rPr>
      </w:pPr>
      <w:r>
        <w:rPr>
          <w:rFonts w:hint="eastAsia"/>
        </w:rPr>
        <w:t>早期阶段的激烈竞争可能导致资源错配。尽管产业处于早期，但竞争已白热化。知名投资人指出，对于最终技术路线和胜出者的判断“难度非常大”。在不确定性极高的情况下，大量资本可能涌入相似或尚未验证的赛道，造成泡沫。同时，企业为争夺人才和算力资源而进行的非理性投入，可能透支长期发展潜力。</w:t>
      </w:r>
    </w:p>
    <w:p w14:paraId="1FADCAE3" w14:textId="2899AFC2" w:rsidR="00323214" w:rsidRDefault="00323214" w:rsidP="00323214">
      <w:pPr>
        <w:rPr>
          <w:rFonts w:hint="eastAsia"/>
        </w:rPr>
      </w:pPr>
      <w:r>
        <w:rPr>
          <w:rFonts w:hint="eastAsia"/>
        </w:rPr>
        <w:t>竞争焦点可能从技术创新转向资本与宣传战。当技术突破进入平台期，部分企业或投资者可能倾向于通过制造营销热点、进行复杂的资本运作来维持估值，而非沉心于艰苦的底层技术创新，这将对产业的健康发展造成损害。</w:t>
      </w:r>
      <w:r w:rsidR="00B9788C">
        <w:rPr>
          <w:rFonts w:hint="eastAsia"/>
        </w:rPr>
        <w:t>Kimi与minimax</w:t>
      </w:r>
      <w:r w:rsidR="009C2B03">
        <w:rPr>
          <w:rFonts w:hint="eastAsia"/>
        </w:rPr>
        <w:t>的高层都</w:t>
      </w:r>
      <w:r w:rsidR="00A803F3">
        <w:rPr>
          <w:rFonts w:hint="eastAsia"/>
        </w:rPr>
        <w:t>曾坦言经历过对于宣发的痴迷阶段，但是最终</w:t>
      </w:r>
      <w:r w:rsidR="009C2B03">
        <w:rPr>
          <w:rFonts w:hint="eastAsia"/>
        </w:rPr>
        <w:t>调用量和业绩的反馈</w:t>
      </w:r>
      <w:r w:rsidR="00A803F3">
        <w:rPr>
          <w:rFonts w:hint="eastAsia"/>
        </w:rPr>
        <w:t>还是</w:t>
      </w:r>
      <w:r w:rsidR="009C2B03">
        <w:rPr>
          <w:rFonts w:hint="eastAsia"/>
        </w:rPr>
        <w:t>使之</w:t>
      </w:r>
      <w:r w:rsidR="00A803F3">
        <w:rPr>
          <w:rFonts w:hint="eastAsia"/>
        </w:rPr>
        <w:t>回归</w:t>
      </w:r>
      <w:r w:rsidR="009C2B03">
        <w:rPr>
          <w:rFonts w:hint="eastAsia"/>
        </w:rPr>
        <w:t>到</w:t>
      </w:r>
      <w:r w:rsidR="00A803F3">
        <w:rPr>
          <w:rFonts w:hint="eastAsia"/>
        </w:rPr>
        <w:t>了以技术和效率优先的道路上。</w:t>
      </w:r>
    </w:p>
    <w:p w14:paraId="4B4DC7B2" w14:textId="655BC9CB" w:rsidR="00A803F3" w:rsidRDefault="00AB21D0" w:rsidP="00A803F3">
      <w:pPr>
        <w:pStyle w:val="3"/>
        <w:rPr>
          <w:rFonts w:hint="eastAsia"/>
        </w:rPr>
      </w:pPr>
      <w:r>
        <w:rPr>
          <w:rFonts w:hint="eastAsia"/>
        </w:rPr>
        <w:lastRenderedPageBreak/>
        <w:t xml:space="preserve">4.4.6 </w:t>
      </w:r>
      <w:r w:rsidR="00A803F3">
        <w:rPr>
          <w:rFonts w:hint="eastAsia"/>
        </w:rPr>
        <w:t xml:space="preserve">远期技术路线错误的可能性 </w:t>
      </w:r>
    </w:p>
    <w:p w14:paraId="01F2E6C9" w14:textId="531AAA75" w:rsidR="00A803F3" w:rsidRDefault="00A803F3" w:rsidP="00A803F3">
      <w:pPr>
        <w:rPr>
          <w:rFonts w:hint="eastAsia"/>
        </w:rPr>
      </w:pPr>
      <w:r>
        <w:rPr>
          <w:rFonts w:hint="eastAsia"/>
        </w:rPr>
        <w:t>当前大模型产业将核心赌注押在改良</w:t>
      </w:r>
      <w:r w:rsidR="00FF5EF9">
        <w:rPr>
          <w:rFonts w:hint="eastAsia"/>
        </w:rPr>
        <w:t>的</w:t>
      </w:r>
      <w:r>
        <w:rPr>
          <w:rFonts w:hint="eastAsia"/>
        </w:rPr>
        <w:t>Transformer</w:t>
      </w:r>
      <w:r w:rsidR="009C2B03">
        <w:rPr>
          <w:rFonts w:hint="eastAsia"/>
        </w:rPr>
        <w:t>和MoE</w:t>
      </w:r>
      <w:r w:rsidR="00FF5EF9">
        <w:rPr>
          <w:rFonts w:hint="eastAsia"/>
        </w:rPr>
        <w:t>混合</w:t>
      </w:r>
      <w:r>
        <w:rPr>
          <w:rFonts w:hint="eastAsia"/>
        </w:rPr>
        <w:t>架构、Scaling Law与预训练范式的组合上。</w:t>
      </w:r>
      <w:r w:rsidR="009C2B03">
        <w:rPr>
          <w:rFonts w:hint="eastAsia"/>
        </w:rPr>
        <w:t>本质并未脱离植根于Transformer这一窠臼。</w:t>
      </w:r>
      <w:r>
        <w:rPr>
          <w:rFonts w:hint="eastAsia"/>
        </w:rPr>
        <w:t>这一路线虽带来惊人进展，但存在被证伪或边际失效的系统性风险。</w:t>
      </w:r>
    </w:p>
    <w:p w14:paraId="5E8C6ECE" w14:textId="0574E188" w:rsidR="00A803F3" w:rsidRDefault="00A803F3" w:rsidP="00A803F3">
      <w:pPr>
        <w:rPr>
          <w:rFonts w:hint="eastAsia"/>
        </w:rPr>
      </w:pPr>
      <w:r>
        <w:rPr>
          <w:rFonts w:hint="eastAsia"/>
        </w:rPr>
        <w:t>第一，Transformer可能不是通用智能的终极载体。 注意力机制的计算复杂度与序列长度呈平方关系，导致长上下文扩展面临严峻的算力边际递减。</w:t>
      </w:r>
      <w:r w:rsidR="00281984">
        <w:rPr>
          <w:rFonts w:hint="eastAsia"/>
        </w:rPr>
        <w:t>在成本上面临着和RNN时代类似的扩张不经济性。</w:t>
      </w:r>
      <w:r>
        <w:rPr>
          <w:rFonts w:hint="eastAsia"/>
        </w:rPr>
        <w:t>更根本的是，Transformer的"一次性前向生成"缺乏人类认知中系统性的迭代回溯与因果验证能力，当前的"思维链"只是外部补丁而非架构内生。Mamba、状态空间模型及神经符号</w:t>
      </w:r>
      <w:r w:rsidR="00805DE6">
        <w:rPr>
          <w:rFonts w:hint="eastAsia"/>
        </w:rPr>
        <w:t>等将人类认知底层逻辑内化更深的</w:t>
      </w:r>
      <w:r>
        <w:rPr>
          <w:rFonts w:hint="eastAsia"/>
        </w:rPr>
        <w:t>路线正在积蓄替代力量。</w:t>
      </w:r>
    </w:p>
    <w:p w14:paraId="4C83C11C" w14:textId="7E1D1DA7" w:rsidR="00A803F3" w:rsidRDefault="00A803F3" w:rsidP="00A803F3">
      <w:pPr>
        <w:rPr>
          <w:rFonts w:hint="eastAsia"/>
        </w:rPr>
      </w:pPr>
      <w:r>
        <w:rPr>
          <w:rFonts w:hint="eastAsia"/>
        </w:rPr>
        <w:t>第二，Scaling Law的信仰面临三重裂痕。 优质文本数据即将耗尽，合成数据存在自我污染与分布坍缩风险；从GPT-3到GPT-4的跨越惊艳，但后续代际提升已现收敛态势；所谓的"能力涌现"可能只是评测基准的粒度效应，而非真正的智能跃迁。</w:t>
      </w:r>
      <w:r w:rsidR="0036035B">
        <w:rPr>
          <w:rFonts w:hint="eastAsia"/>
        </w:rPr>
        <w:t>近年来顶级大模型在一些简单形式逻辑计算问题上屡屡遭遇阻碍的现实已经体现</w:t>
      </w:r>
      <w:r w:rsidR="00135835">
        <w:rPr>
          <w:rFonts w:hint="eastAsia"/>
        </w:rPr>
        <w:t>这一观点的正确性。</w:t>
      </w:r>
      <w:r>
        <w:rPr>
          <w:rFonts w:hint="eastAsia"/>
        </w:rPr>
        <w:t>若</w:t>
      </w:r>
      <w:r w:rsidR="00135835">
        <w:rPr>
          <w:rFonts w:hint="eastAsia"/>
        </w:rPr>
        <w:t>现有的模型</w:t>
      </w:r>
      <w:r>
        <w:rPr>
          <w:rFonts w:hint="eastAsia"/>
        </w:rPr>
        <w:t>智能本质是</w:t>
      </w:r>
      <w:r w:rsidR="0036035B">
        <w:rPr>
          <w:rFonts w:hint="eastAsia"/>
        </w:rPr>
        <w:t>高复杂度下的</w:t>
      </w:r>
      <w:r>
        <w:rPr>
          <w:rFonts w:hint="eastAsia"/>
        </w:rPr>
        <w:t>因果建模而非模式压缩，Scaling Law或只是在制造更大的鹦鹉。</w:t>
      </w:r>
    </w:p>
    <w:p w14:paraId="75942BB5" w14:textId="77777777" w:rsidR="00A803F3" w:rsidRDefault="00A803F3" w:rsidP="00A803F3">
      <w:pPr>
        <w:rPr>
          <w:rFonts w:hint="eastAsia"/>
        </w:rPr>
      </w:pPr>
      <w:r>
        <w:rPr>
          <w:rFonts w:hint="eastAsia"/>
        </w:rPr>
        <w:t>第三，"预训练+对齐"范式可能误解了智能的形成机制。 预训练本质是对人类知识分布的记忆压缩与插值，而非因果发现与假设生成。RLHF对齐在提升安全性的同时，系统性地抑制了模型的探索性与创造性，可能难以产生真正的科学洞见。此外，当前路线是"语言中心主义"的，缺乏对世界物理因果的直接建模，可能本末倒置。</w:t>
      </w:r>
    </w:p>
    <w:p w14:paraId="505DA51B" w14:textId="1081ED20" w:rsidR="00A803F3" w:rsidRDefault="00A803F3" w:rsidP="00A803F3">
      <w:pPr>
        <w:rPr>
          <w:rFonts w:hint="eastAsia"/>
        </w:rPr>
      </w:pPr>
      <w:r>
        <w:rPr>
          <w:rFonts w:hint="eastAsia"/>
        </w:rPr>
        <w:t>第四，算法效率革命可能瞬间瓦解算力壁垒。 DeepSeek以极低成本达到第一梯队性能，表明当前性能差距很大程度上源于工程优化不足而非算力投入不足。若算法效率存在十倍甚至百倍的提升空间，基于"算力军备竞赛"的产业格局将面临需求崩塌风险，巨额资本开支的叙事逻辑也将被撕裂。</w:t>
      </w:r>
      <w:r w:rsidR="00AB21D0">
        <w:rPr>
          <w:rFonts w:hint="eastAsia"/>
        </w:rPr>
        <w:t>押注工程能力还是算法总量将是长期内一个不能不深思熟虑</w:t>
      </w:r>
      <w:r w:rsidR="006D3DF1">
        <w:rPr>
          <w:rFonts w:hint="eastAsia"/>
        </w:rPr>
        <w:t>重要抉择。</w:t>
      </w:r>
    </w:p>
    <w:p w14:paraId="4A5667B3" w14:textId="77777777" w:rsidR="00A803F3" w:rsidRPr="00D6092B" w:rsidRDefault="00A803F3" w:rsidP="00A803F3">
      <w:pPr>
        <w:rPr>
          <w:rFonts w:hint="eastAsia"/>
        </w:rPr>
      </w:pPr>
      <w:r>
        <w:rPr>
          <w:rFonts w:hint="eastAsia"/>
        </w:rPr>
        <w:t>对投资而言，当前路线短期内仍具产业惯性，但若未来2-4年出现Scaling Law显著边际失效、替代架构代际超越或算法效率持续跃升等信号，行业将面临范式级别的重估。大模型投资的核心风险不是技术失败，而是"当前路线能走多远"的技术路线二元风险。</w:t>
      </w:r>
    </w:p>
    <w:p w14:paraId="45579076" w14:textId="77777777" w:rsidR="00A803F3" w:rsidRPr="00A803F3" w:rsidRDefault="00A803F3" w:rsidP="00323214">
      <w:pPr>
        <w:rPr>
          <w:rFonts w:hint="eastAsia"/>
        </w:rPr>
      </w:pPr>
    </w:p>
    <w:p w14:paraId="179062D1" w14:textId="210ED67F" w:rsidR="002B152A" w:rsidRDefault="006D3DF1" w:rsidP="00186848">
      <w:pPr>
        <w:pStyle w:val="3"/>
        <w:rPr>
          <w:rFonts w:hint="eastAsia"/>
        </w:rPr>
      </w:pPr>
      <w:r>
        <w:rPr>
          <w:rFonts w:hint="eastAsia"/>
        </w:rPr>
        <w:t>4.4.7</w:t>
      </w:r>
      <w:r w:rsidR="007677E5">
        <w:rPr>
          <w:rFonts w:hint="eastAsia"/>
        </w:rPr>
        <w:t>特斯拉时刻和OGAS时刻的可能性</w:t>
      </w:r>
      <w:r w:rsidR="00D6092B">
        <w:rPr>
          <w:rFonts w:hint="eastAsia"/>
        </w:rPr>
        <w:t xml:space="preserve"> </w:t>
      </w:r>
    </w:p>
    <w:p w14:paraId="39A6BE62" w14:textId="4085D844" w:rsidR="00186848" w:rsidRDefault="00186848" w:rsidP="00186848">
      <w:pPr>
        <w:rPr>
          <w:rFonts w:hint="eastAsia"/>
        </w:rPr>
      </w:pPr>
      <w:r>
        <w:rPr>
          <w:rFonts w:hint="eastAsia"/>
        </w:rPr>
        <w:t>历史经验表明，足以重构资源配置逻辑的技术革命，往往遭遇超越工程层面的不可抗力干预或限制。</w:t>
      </w:r>
    </w:p>
    <w:p w14:paraId="4CE2900A" w14:textId="16CD64F0" w:rsidR="00186848" w:rsidRDefault="00186848" w:rsidP="00186848">
      <w:pPr>
        <w:rPr>
          <w:rFonts w:hint="eastAsia"/>
        </w:rPr>
      </w:pPr>
      <w:r>
        <w:rPr>
          <w:rFonts w:hint="eastAsia"/>
        </w:rPr>
        <w:lastRenderedPageBreak/>
        <w:t>二十世纪初，尼古拉·特斯拉提出的无线电力传输方案，其搁浅并非单纯源于技术瓶颈。更深层的制约在于，一个开放获取的能源网络，将直接瓦解基于物理电网的收费体系与既有商业格局，引发传统能源资本资本的防御性退出。</w:t>
      </w:r>
    </w:p>
    <w:p w14:paraId="2ABCB2B1" w14:textId="303C05E7" w:rsidR="00186848" w:rsidRDefault="00186848" w:rsidP="00186848">
      <w:pPr>
        <w:rPr>
          <w:rFonts w:hint="eastAsia"/>
        </w:rPr>
      </w:pPr>
      <w:r>
        <w:rPr>
          <w:rFonts w:hint="eastAsia"/>
        </w:rPr>
        <w:t>类似地，上世纪苏联设计的全国自动化信息系统（OGAS），旨在通过实时数据优化物资调度与危机响应。</w:t>
      </w:r>
      <w:r w:rsidR="00676291">
        <w:rPr>
          <w:rFonts w:hint="eastAsia"/>
        </w:rPr>
        <w:t>其愿景与</w:t>
      </w:r>
      <w:r w:rsidR="00283F56">
        <w:rPr>
          <w:rFonts w:hint="eastAsia"/>
        </w:rPr>
        <w:t>今天的</w:t>
      </w:r>
      <w:r w:rsidR="00676291">
        <w:rPr>
          <w:rFonts w:hint="eastAsia"/>
        </w:rPr>
        <w:t>AGI十分相似。</w:t>
      </w:r>
      <w:r>
        <w:rPr>
          <w:rFonts w:hint="eastAsia"/>
        </w:rPr>
        <w:t>然而，这一系统所要求的信息高度透明与决策自动化，同科层管理结构形成了张力</w:t>
      </w:r>
      <w:r w:rsidR="00676291">
        <w:rPr>
          <w:rFonts w:hint="eastAsia"/>
        </w:rPr>
        <w:t>：</w:t>
      </w:r>
      <w:r>
        <w:rPr>
          <w:rFonts w:hint="eastAsia"/>
        </w:rPr>
        <w:t>当技术试图压缩信息闭环、重构决策链条时，遭遇了</w:t>
      </w:r>
      <w:r w:rsidR="00787DD9">
        <w:rPr>
          <w:rFonts w:hint="eastAsia"/>
        </w:rPr>
        <w:t>来自</w:t>
      </w:r>
      <w:r w:rsidR="00676291">
        <w:rPr>
          <w:rFonts w:hint="eastAsia"/>
        </w:rPr>
        <w:t>经济</w:t>
      </w:r>
      <w:r w:rsidR="00787DD9">
        <w:rPr>
          <w:rFonts w:hint="eastAsia"/>
        </w:rPr>
        <w:t>治理体系内部</w:t>
      </w:r>
      <w:r>
        <w:rPr>
          <w:rFonts w:hint="eastAsia"/>
        </w:rPr>
        <w:t>的适应性阻力。</w:t>
      </w:r>
    </w:p>
    <w:p w14:paraId="70EF2BA2" w14:textId="0C4B9E06" w:rsidR="00186848" w:rsidRDefault="00186848" w:rsidP="00186848">
      <w:pPr>
        <w:rPr>
          <w:rFonts w:hint="eastAsia"/>
        </w:rPr>
      </w:pPr>
      <w:r>
        <w:rPr>
          <w:rFonts w:hint="eastAsia"/>
        </w:rPr>
        <w:t>两个案例的共性在于：当技术不仅提升效率，更触及</w:t>
      </w:r>
      <w:r w:rsidR="00787DD9">
        <w:rPr>
          <w:rFonts w:hint="eastAsia"/>
        </w:rPr>
        <w:t>旧有经济范式</w:t>
      </w:r>
      <w:r>
        <w:rPr>
          <w:rFonts w:hint="eastAsia"/>
        </w:rPr>
        <w:t>的核心逻辑时，新旧范式之间会产生结构性摩擦。对于人工智能而言，其生产力革命若深入到生产关系与治理结构的底层，同样可能触发来自既有经济范式的制度性调适压力。判断AI能否穿越这一摩擦，需观察的不仅是算力与算法的迭代，更是技术路径与</w:t>
      </w:r>
      <w:r w:rsidR="00392096">
        <w:rPr>
          <w:rFonts w:hint="eastAsia"/>
        </w:rPr>
        <w:t>治理</w:t>
      </w:r>
      <w:r>
        <w:rPr>
          <w:rFonts w:hint="eastAsia"/>
        </w:rPr>
        <w:t>弹性之间的匹配度。</w:t>
      </w:r>
    </w:p>
    <w:p w14:paraId="24C907D6" w14:textId="77777777" w:rsidR="00D6092B" w:rsidRDefault="00D6092B" w:rsidP="00186848">
      <w:pPr>
        <w:rPr>
          <w:rFonts w:hint="eastAsia"/>
        </w:rPr>
      </w:pPr>
    </w:p>
    <w:p w14:paraId="3AB9F6A4" w14:textId="41196ACA" w:rsidR="002B152A" w:rsidRDefault="006D3DF1" w:rsidP="002B152A">
      <w:pPr>
        <w:pStyle w:val="1"/>
        <w:rPr>
          <w:rFonts w:hint="eastAsia"/>
        </w:rPr>
      </w:pPr>
      <w:r>
        <w:rPr>
          <w:rFonts w:hint="eastAsia"/>
        </w:rPr>
        <w:t>5</w:t>
      </w:r>
      <w:r w:rsidR="002B152A">
        <w:rPr>
          <w:rFonts w:hint="eastAsia"/>
        </w:rPr>
        <w:t>.附录</w:t>
      </w:r>
    </w:p>
    <w:p w14:paraId="2E955F59" w14:textId="2C80E83F" w:rsidR="009B0704" w:rsidRDefault="009B0704" w:rsidP="009B0704">
      <w:pPr>
        <w:pStyle w:val="2"/>
        <w:rPr>
          <w:rFonts w:hint="eastAsia"/>
        </w:rPr>
      </w:pPr>
      <w:r>
        <w:rPr>
          <w:rFonts w:hint="eastAsia"/>
        </w:rPr>
        <w:t xml:space="preserve">5.1 </w:t>
      </w:r>
      <w:r>
        <w:rPr>
          <w:rFonts w:hint="eastAsia"/>
          <w:sz w:val="32"/>
          <w:szCs w:val="32"/>
        </w:rPr>
        <w:t>技术原理</w:t>
      </w:r>
    </w:p>
    <w:p w14:paraId="337795A7" w14:textId="77777777" w:rsidR="009B0704" w:rsidRDefault="009B0704" w:rsidP="009B0704">
      <w:pPr>
        <w:pStyle w:val="FirstParagraph"/>
        <w:rPr>
          <w:lang w:eastAsia="zh-CN"/>
        </w:rPr>
      </w:pPr>
      <w:r>
        <w:rPr>
          <w:b/>
          <w:szCs w:val="22"/>
          <w:lang w:eastAsia="zh-CN"/>
        </w:rPr>
        <w:t>起点（</w:t>
      </w:r>
      <w:r>
        <w:rPr>
          <w:b/>
          <w:szCs w:val="22"/>
          <w:lang w:eastAsia="zh-CN"/>
        </w:rPr>
        <w:t>2017</w:t>
      </w:r>
      <w:r>
        <w:rPr>
          <w:b/>
          <w:szCs w:val="22"/>
          <w:lang w:eastAsia="zh-CN"/>
        </w:rPr>
        <w:t>）其技术本质根植于</w:t>
      </w:r>
      <w:r>
        <w:rPr>
          <w:b/>
          <w:lang w:eastAsia="zh-CN"/>
        </w:rPr>
        <w:t>Transformer</w:t>
      </w:r>
      <w:r>
        <w:rPr>
          <w:b/>
          <w:lang w:eastAsia="zh-CN"/>
        </w:rPr>
        <w:t>架构的自注意力机制</w:t>
      </w:r>
      <w:r>
        <w:rPr>
          <w:szCs w:val="22"/>
          <w:lang w:eastAsia="zh-CN"/>
        </w:rPr>
        <w:t>与</w:t>
      </w:r>
      <w:r>
        <w:rPr>
          <w:b/>
          <w:lang w:eastAsia="zh-CN"/>
        </w:rPr>
        <w:t>大规模预训练范式</w:t>
      </w:r>
      <w:r>
        <w:rPr>
          <w:szCs w:val="22"/>
          <w:lang w:eastAsia="zh-CN"/>
        </w:rPr>
        <w:t>。</w:t>
      </w:r>
      <w:r>
        <w:rPr>
          <w:szCs w:val="22"/>
          <w:lang w:eastAsia="zh-CN"/>
        </w:rPr>
        <w:t>Transformer</w:t>
      </w:r>
      <w:r>
        <w:rPr>
          <w:szCs w:val="22"/>
          <w:lang w:eastAsia="zh-CN"/>
        </w:rPr>
        <w:t>架构由</w:t>
      </w:r>
      <w:r>
        <w:rPr>
          <w:szCs w:val="22"/>
          <w:lang w:eastAsia="zh-CN"/>
        </w:rPr>
        <w:t>Vaswani</w:t>
      </w:r>
      <w:r>
        <w:rPr>
          <w:szCs w:val="22"/>
          <w:lang w:eastAsia="zh-CN"/>
        </w:rPr>
        <w:t>等人于</w:t>
      </w:r>
      <w:r>
        <w:rPr>
          <w:szCs w:val="22"/>
          <w:lang w:eastAsia="zh-CN"/>
        </w:rPr>
        <w:t>2017</w:t>
      </w:r>
      <w:r>
        <w:rPr>
          <w:szCs w:val="22"/>
          <w:lang w:eastAsia="zh-CN"/>
        </w:rPr>
        <w:t>年提出，通过自注意力机制（</w:t>
      </w:r>
      <w:r>
        <w:rPr>
          <w:szCs w:val="22"/>
          <w:lang w:eastAsia="zh-CN"/>
        </w:rPr>
        <w:t>Self-Attention</w:t>
      </w:r>
      <w:r>
        <w:rPr>
          <w:szCs w:val="22"/>
          <w:lang w:eastAsia="zh-CN"/>
        </w:rPr>
        <w:t>）实现了序列数据的并行处理，彻底改变了自然语言处理的技术范式。</w:t>
      </w:r>
    </w:p>
    <w:p w14:paraId="0DB4E39D" w14:textId="77777777" w:rsidR="009B0704" w:rsidRDefault="009B0704" w:rsidP="009B0704">
      <w:pPr>
        <w:pStyle w:val="FirstParagraph"/>
        <w:jc w:val="center"/>
        <w:rPr>
          <w:lang w:eastAsia="zh-CN"/>
        </w:rPr>
      </w:pPr>
      <w:r>
        <w:rPr>
          <w:noProof/>
          <w:lang w:eastAsia="zh-CN"/>
        </w:rPr>
        <w:lastRenderedPageBreak/>
        <w:drawing>
          <wp:inline distT="0" distB="0" distL="0" distR="0" wp14:anchorId="18295B6B" wp14:editId="05A4C4FB">
            <wp:extent cx="2425224" cy="3417361"/>
            <wp:effectExtent l="0" t="0" r="0" b="0"/>
            <wp:docPr id="1724998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47166" cy="3448280"/>
                    </a:xfrm>
                    <a:prstGeom prst="rect">
                      <a:avLst/>
                    </a:prstGeom>
                    <a:noFill/>
                  </pic:spPr>
                </pic:pic>
              </a:graphicData>
            </a:graphic>
          </wp:inline>
        </w:drawing>
      </w:r>
    </w:p>
    <w:p w14:paraId="6F8CBD7F" w14:textId="77777777" w:rsidR="009B0704" w:rsidRDefault="009B0704" w:rsidP="009B0704">
      <w:pPr>
        <w:rPr>
          <w:rFonts w:ascii="Arial" w:eastAsia="宋体" w:hAnsi="Arial" w:cs="Times New Roman (正文 CS 字体)"/>
          <w:kern w:val="0"/>
          <w:sz w:val="24"/>
          <w14:ligatures w14:val="none"/>
        </w:rPr>
      </w:pPr>
      <w:r w:rsidRPr="003C612B">
        <w:rPr>
          <w:rFonts w:ascii="Arial" w:eastAsia="宋体" w:hAnsi="Arial" w:cs="Times New Roman (正文 CS 字体)" w:hint="eastAsia"/>
          <w:sz w:val="24"/>
          <w:szCs w:val="22"/>
        </w:rPr>
        <w:t>根节点与范式确立（</w:t>
      </w:r>
      <w:r w:rsidRPr="003C612B">
        <w:rPr>
          <w:rFonts w:ascii="Arial" w:eastAsia="宋体" w:hAnsi="Arial" w:cs="Times New Roman (正文 CS 字体)" w:hint="eastAsia"/>
          <w:sz w:val="24"/>
          <w:szCs w:val="22"/>
        </w:rPr>
        <w:t>2017-2020</w:t>
      </w:r>
      <w:r w:rsidRPr="003C612B">
        <w:rPr>
          <w:rFonts w:ascii="Arial" w:eastAsia="宋体" w:hAnsi="Arial" w:cs="Times New Roman (正文 CS 字体)" w:hint="eastAsia"/>
          <w:sz w:val="24"/>
          <w:szCs w:val="22"/>
        </w:rPr>
        <w:t>）：</w:t>
      </w:r>
      <w:r w:rsidRPr="003C612B">
        <w:rPr>
          <w:rFonts w:ascii="Arial" w:eastAsia="宋体" w:hAnsi="Arial" w:cs="Times New Roman (正文 CS 字体)" w:hint="eastAsia"/>
          <w:sz w:val="24"/>
          <w:szCs w:val="22"/>
        </w:rPr>
        <w:t>Transformer</w:t>
      </w:r>
      <w:r w:rsidRPr="003C612B">
        <w:rPr>
          <w:rFonts w:ascii="Arial" w:eastAsia="宋体" w:hAnsi="Arial" w:cs="Times New Roman (正文 CS 字体)" w:hint="eastAsia"/>
          <w:sz w:val="24"/>
          <w:szCs w:val="22"/>
        </w:rPr>
        <w:t>架构的提出是决定性起点，其自注意力机制实现了序列数据的并行处理，为模型规模指数级扩展提供了基础，直接催生了</w:t>
      </w:r>
      <w:r w:rsidRPr="003C612B">
        <w:rPr>
          <w:rFonts w:ascii="Arial" w:eastAsia="宋体" w:hAnsi="Arial" w:cs="Times New Roman (正文 CS 字体)" w:hint="eastAsia"/>
          <w:sz w:val="24"/>
          <w:szCs w:val="22"/>
        </w:rPr>
        <w:t>Scaling Law</w:t>
      </w:r>
      <w:r w:rsidRPr="003C612B">
        <w:rPr>
          <w:rFonts w:ascii="Arial" w:eastAsia="宋体" w:hAnsi="Arial" w:cs="Times New Roman (正文 CS 字体)" w:hint="eastAsia"/>
          <w:sz w:val="24"/>
          <w:szCs w:val="22"/>
        </w:rPr>
        <w:t>（规模定律）。随后，</w:t>
      </w:r>
      <w:r w:rsidRPr="003C612B">
        <w:rPr>
          <w:rFonts w:ascii="Arial" w:eastAsia="宋体" w:hAnsi="Arial" w:cs="Times New Roman (正文 CS 字体)" w:hint="eastAsia"/>
          <w:sz w:val="24"/>
          <w:szCs w:val="22"/>
        </w:rPr>
        <w:t>BERT</w:t>
      </w:r>
      <w:r w:rsidRPr="003C612B">
        <w:rPr>
          <w:rFonts w:ascii="Arial" w:eastAsia="宋体" w:hAnsi="Arial" w:cs="Times New Roman (正文 CS 字体)" w:hint="eastAsia"/>
          <w:sz w:val="24"/>
          <w:szCs w:val="22"/>
        </w:rPr>
        <w:t>和</w:t>
      </w:r>
      <w:r w:rsidRPr="003C612B">
        <w:rPr>
          <w:rFonts w:ascii="Arial" w:eastAsia="宋体" w:hAnsi="Arial" w:cs="Times New Roman (正文 CS 字体)" w:hint="eastAsia"/>
          <w:sz w:val="24"/>
          <w:szCs w:val="22"/>
        </w:rPr>
        <w:t>GPT</w:t>
      </w:r>
      <w:r w:rsidRPr="003C612B">
        <w:rPr>
          <w:rFonts w:ascii="Arial" w:eastAsia="宋体" w:hAnsi="Arial" w:cs="Times New Roman (正文 CS 字体)" w:hint="eastAsia"/>
          <w:sz w:val="24"/>
          <w:szCs w:val="22"/>
        </w:rPr>
        <w:t>分别确立了“预训练</w:t>
      </w:r>
      <w:r w:rsidRPr="003C612B">
        <w:rPr>
          <w:rFonts w:ascii="Arial" w:eastAsia="宋体" w:hAnsi="Arial" w:cs="Times New Roman (正文 CS 字体)" w:hint="eastAsia"/>
          <w:sz w:val="24"/>
          <w:szCs w:val="22"/>
        </w:rPr>
        <w:t>+</w:t>
      </w:r>
      <w:r w:rsidRPr="003C612B">
        <w:rPr>
          <w:rFonts w:ascii="Arial" w:eastAsia="宋体" w:hAnsi="Arial" w:cs="Times New Roman (正文 CS 字体)" w:hint="eastAsia"/>
          <w:sz w:val="24"/>
          <w:szCs w:val="22"/>
        </w:rPr>
        <w:t>微调”的范式，证明了大规模预训练模型的可迁移性，降低了下游任务的应用门槛。</w:t>
      </w:r>
    </w:p>
    <w:p w14:paraId="054EAB93" w14:textId="77777777" w:rsidR="009B0704" w:rsidRDefault="009B0704" w:rsidP="009B0704">
      <w:pPr>
        <w:rPr>
          <w:rFonts w:ascii="Arial" w:eastAsia="宋体" w:hAnsi="Arial" w:cs="Times New Roman (正文 CS 字体)"/>
          <w:kern w:val="0"/>
          <w:sz w:val="24"/>
          <w14:ligatures w14:val="none"/>
        </w:rPr>
      </w:pPr>
      <w:r w:rsidRPr="003C612B">
        <w:rPr>
          <w:rFonts w:ascii="Arial" w:eastAsia="宋体" w:hAnsi="Arial" w:cs="Times New Roman (正文 CS 字体)" w:hint="eastAsia"/>
          <w:sz w:val="24"/>
          <w:szCs w:val="22"/>
        </w:rPr>
        <w:t>应用爆发与对齐技术（</w:t>
      </w:r>
      <w:r w:rsidRPr="003C612B">
        <w:rPr>
          <w:rFonts w:ascii="Arial" w:eastAsia="宋体" w:hAnsi="Arial" w:cs="Times New Roman (正文 CS 字体)" w:hint="eastAsia"/>
          <w:sz w:val="24"/>
          <w:szCs w:val="22"/>
        </w:rPr>
        <w:t>2021-2022</w:t>
      </w:r>
      <w:r w:rsidRPr="003C612B">
        <w:rPr>
          <w:rFonts w:ascii="Arial" w:eastAsia="宋体" w:hAnsi="Arial" w:cs="Times New Roman (正文 CS 字体)" w:hint="eastAsia"/>
          <w:sz w:val="24"/>
          <w:szCs w:val="22"/>
        </w:rPr>
        <w:t>）：</w:t>
      </w:r>
      <w:r w:rsidRPr="003C612B">
        <w:rPr>
          <w:rFonts w:ascii="Arial" w:eastAsia="宋体" w:hAnsi="Arial" w:cs="Times New Roman (正文 CS 字体)" w:hint="eastAsia"/>
          <w:sz w:val="24"/>
          <w:szCs w:val="22"/>
        </w:rPr>
        <w:t>GPT-3</w:t>
      </w:r>
      <w:r w:rsidRPr="003C612B">
        <w:rPr>
          <w:rFonts w:ascii="Arial" w:eastAsia="宋体" w:hAnsi="Arial" w:cs="Times New Roman (正文 CS 字体)" w:hint="eastAsia"/>
          <w:sz w:val="24"/>
          <w:szCs w:val="22"/>
        </w:rPr>
        <w:t>展示了少样本学习的潜力，而</w:t>
      </w:r>
      <w:r w:rsidRPr="003C612B">
        <w:rPr>
          <w:rFonts w:ascii="Arial" w:eastAsia="宋体" w:hAnsi="Arial" w:cs="Times New Roman (正文 CS 字体)" w:hint="eastAsia"/>
          <w:sz w:val="24"/>
          <w:szCs w:val="22"/>
        </w:rPr>
        <w:t>ChatGPT</w:t>
      </w:r>
      <w:r w:rsidRPr="003C612B">
        <w:rPr>
          <w:rFonts w:ascii="Arial" w:eastAsia="宋体" w:hAnsi="Arial" w:cs="Times New Roman (正文 CS 字体)" w:hint="eastAsia"/>
          <w:sz w:val="24"/>
          <w:szCs w:val="22"/>
        </w:rPr>
        <w:t>的推出标志着大模型进入公众视野。这一阶段的核心进展是后训练对齐技术的成熟，特别是监督微调（</w:t>
      </w:r>
      <w:r w:rsidRPr="003C612B">
        <w:rPr>
          <w:rFonts w:ascii="Arial" w:eastAsia="宋体" w:hAnsi="Arial" w:cs="Times New Roman (正文 CS 字体)" w:hint="eastAsia"/>
          <w:sz w:val="24"/>
          <w:szCs w:val="22"/>
        </w:rPr>
        <w:t>SFT</w:t>
      </w:r>
      <w:r w:rsidRPr="003C612B">
        <w:rPr>
          <w:rFonts w:ascii="Arial" w:eastAsia="宋体" w:hAnsi="Arial" w:cs="Times New Roman (正文 CS 字体)" w:hint="eastAsia"/>
          <w:sz w:val="24"/>
          <w:szCs w:val="22"/>
        </w:rPr>
        <w:t>）和基于人类反馈的强化学习（</w:t>
      </w:r>
      <w:r w:rsidRPr="003C612B">
        <w:rPr>
          <w:rFonts w:ascii="Arial" w:eastAsia="宋体" w:hAnsi="Arial" w:cs="Times New Roman (正文 CS 字体)" w:hint="eastAsia"/>
          <w:sz w:val="24"/>
          <w:szCs w:val="22"/>
        </w:rPr>
        <w:t>RLHF</w:t>
      </w:r>
      <w:r w:rsidRPr="003C612B">
        <w:rPr>
          <w:rFonts w:ascii="Arial" w:eastAsia="宋体" w:hAnsi="Arial" w:cs="Times New Roman (正文 CS 字体)" w:hint="eastAsia"/>
          <w:sz w:val="24"/>
          <w:szCs w:val="22"/>
        </w:rPr>
        <w:t>）的广泛应用，解决了模型输出与人类意图、安全性对齐的关键问题，大幅提升了模型的可用性和可靠性。</w:t>
      </w:r>
    </w:p>
    <w:p w14:paraId="3618D263" w14:textId="77777777" w:rsidR="009B0704" w:rsidRDefault="009B0704" w:rsidP="009B0704">
      <w:pPr>
        <w:rPr>
          <w:rFonts w:ascii="Arial" w:eastAsia="宋体" w:hAnsi="Arial" w:cs="Times New Roman (正文 CS 字体)"/>
          <w:kern w:val="0"/>
          <w:sz w:val="24"/>
          <w14:ligatures w14:val="none"/>
        </w:rPr>
      </w:pPr>
      <w:r w:rsidRPr="003C612B">
        <w:rPr>
          <w:rFonts w:ascii="Arial" w:eastAsia="宋体" w:hAnsi="Arial" w:cs="Times New Roman (正文 CS 字体)" w:hint="eastAsia"/>
          <w:sz w:val="24"/>
          <w:szCs w:val="22"/>
        </w:rPr>
        <w:t>多模态与推理深化（</w:t>
      </w:r>
      <w:r w:rsidRPr="003C612B">
        <w:rPr>
          <w:rFonts w:ascii="Arial" w:eastAsia="宋体" w:hAnsi="Arial" w:cs="Times New Roman (正文 CS 字体)" w:hint="eastAsia"/>
          <w:sz w:val="24"/>
          <w:szCs w:val="22"/>
        </w:rPr>
        <w:t>2023</w:t>
      </w:r>
      <w:r w:rsidRPr="003C612B">
        <w:rPr>
          <w:rFonts w:ascii="Arial" w:eastAsia="宋体" w:hAnsi="Arial" w:cs="Times New Roman (正文 CS 字体)" w:hint="eastAsia"/>
          <w:sz w:val="24"/>
          <w:szCs w:val="22"/>
        </w:rPr>
        <w:t>年至今）：技术焦点转向多模态统一（文本、图像、音频、视频）和深度推理能力。模型从单一模态生成迈向跨模态理解与生成，并出现了专门强化逻辑推理的“慢思考”模型（如</w:t>
      </w:r>
      <w:r w:rsidRPr="003C612B">
        <w:rPr>
          <w:rFonts w:ascii="Arial" w:eastAsia="宋体" w:hAnsi="Arial" w:cs="Times New Roman (正文 CS 字体)" w:hint="eastAsia"/>
          <w:sz w:val="24"/>
          <w:szCs w:val="22"/>
        </w:rPr>
        <w:t>OpenAI o</w:t>
      </w:r>
      <w:r w:rsidRPr="003C612B">
        <w:rPr>
          <w:rFonts w:ascii="Arial" w:eastAsia="宋体" w:hAnsi="Arial" w:cs="Times New Roman (正文 CS 字体)" w:hint="eastAsia"/>
          <w:sz w:val="24"/>
          <w:szCs w:val="22"/>
        </w:rPr>
        <w:t>系列、</w:t>
      </w:r>
      <w:r w:rsidRPr="003C612B">
        <w:rPr>
          <w:rFonts w:ascii="Arial" w:eastAsia="宋体" w:hAnsi="Arial" w:cs="Times New Roman (正文 CS 字体)" w:hint="eastAsia"/>
          <w:sz w:val="24"/>
          <w:szCs w:val="22"/>
        </w:rPr>
        <w:t>DeepSeek R1</w:t>
      </w:r>
      <w:r w:rsidRPr="003C612B">
        <w:rPr>
          <w:rFonts w:ascii="Arial" w:eastAsia="宋体" w:hAnsi="Arial" w:cs="Times New Roman (正文 CS 字体)" w:hint="eastAsia"/>
          <w:sz w:val="24"/>
          <w:szCs w:val="22"/>
        </w:rPr>
        <w:t>）。同时，开源生态崛起，以</w:t>
      </w:r>
      <w:r w:rsidRPr="003C612B">
        <w:rPr>
          <w:rFonts w:ascii="Arial" w:eastAsia="宋体" w:hAnsi="Arial" w:cs="Times New Roman (正文 CS 字体)" w:hint="eastAsia"/>
          <w:sz w:val="24"/>
          <w:szCs w:val="22"/>
        </w:rPr>
        <w:t>DeepSeek</w:t>
      </w:r>
      <w:r w:rsidRPr="003C612B">
        <w:rPr>
          <w:rFonts w:ascii="Arial" w:eastAsia="宋体" w:hAnsi="Arial" w:cs="Times New Roman (正文 CS 字体)" w:hint="eastAsia"/>
          <w:sz w:val="24"/>
          <w:szCs w:val="22"/>
        </w:rPr>
        <w:t>为代表的开源模型通过</w:t>
      </w:r>
      <w:r w:rsidRPr="003C612B">
        <w:rPr>
          <w:rFonts w:ascii="Arial" w:eastAsia="宋体" w:hAnsi="Arial" w:cs="Times New Roman (正文 CS 字体)" w:hint="eastAsia"/>
          <w:sz w:val="24"/>
          <w:szCs w:val="22"/>
        </w:rPr>
        <w:t>MoE</w:t>
      </w:r>
      <w:r w:rsidRPr="003C612B">
        <w:rPr>
          <w:rFonts w:ascii="Arial" w:eastAsia="宋体" w:hAnsi="Arial" w:cs="Times New Roman (正文 CS 字体)" w:hint="eastAsia"/>
          <w:sz w:val="24"/>
          <w:szCs w:val="22"/>
        </w:rPr>
        <w:t>等架构创新，在实现高性能的同时显著降低了成本，推动了技术的民主化</w:t>
      </w:r>
    </w:p>
    <w:p w14:paraId="714BEB57" w14:textId="77777777" w:rsidR="009B0704" w:rsidRDefault="009B0704" w:rsidP="009B0704">
      <w:pPr>
        <w:rPr>
          <w:rFonts w:ascii="Arial" w:eastAsia="宋体" w:hAnsi="Arial" w:cs="Times New Roman (正文 CS 字体)"/>
          <w:kern w:val="0"/>
          <w:sz w:val="24"/>
          <w14:ligatures w14:val="none"/>
        </w:rPr>
      </w:pPr>
      <w:r>
        <w:rPr>
          <w:rFonts w:ascii="Arial" w:eastAsia="宋体" w:hAnsi="Arial" w:cs="Times New Roman (正文 CS 字体)" w:hint="eastAsia"/>
          <w:sz w:val="24"/>
          <w:szCs w:val="22"/>
        </w:rPr>
        <w:t>从工程流程上，现代大模型的研发是一个高度工程化、分阶段的系统性过程，需要经历数据准备，架构设计，预训练，后训练，推理部署五个流程：</w:t>
      </w:r>
    </w:p>
    <w:tbl>
      <w:tblPr>
        <w:tblW w:w="935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84"/>
        <w:gridCol w:w="1357"/>
        <w:gridCol w:w="2675"/>
        <w:gridCol w:w="3740"/>
      </w:tblGrid>
      <w:tr w:rsidR="009B0704" w14:paraId="125D600E" w14:textId="77777777" w:rsidTr="000746E9">
        <w:trPr>
          <w:tblHeader/>
        </w:trPr>
        <w:tc>
          <w:tcPr>
            <w:tcW w:w="1584" w:type="dxa"/>
            <w:shd w:val="clear" w:color="auto" w:fill="F5F5F5"/>
            <w:tcMar>
              <w:top w:w="135" w:type="dxa"/>
              <w:left w:w="180" w:type="dxa"/>
              <w:bottom w:w="135" w:type="dxa"/>
              <w:right w:w="180" w:type="dxa"/>
            </w:tcMar>
            <w:vAlign w:val="center"/>
            <w:hideMark/>
          </w:tcPr>
          <w:p w14:paraId="08905E79" w14:textId="77777777" w:rsidR="009B0704" w:rsidRDefault="009B0704" w:rsidP="000746E9">
            <w:pPr>
              <w:rPr>
                <w:rFonts w:hint="eastAsia"/>
                <w:b/>
                <w:bCs/>
              </w:rPr>
            </w:pPr>
            <w:r w:rsidRPr="004D35EB">
              <w:rPr>
                <w:rFonts w:hint="eastAsia"/>
                <w:b/>
                <w:szCs w:val="22"/>
              </w:rPr>
              <w:lastRenderedPageBreak/>
              <w:t>阶段</w:t>
            </w:r>
          </w:p>
        </w:tc>
        <w:tc>
          <w:tcPr>
            <w:tcW w:w="1357" w:type="auto"/>
            <w:shd w:val="clear" w:color="auto" w:fill="F5F5F5"/>
            <w:tcMar>
              <w:top w:w="135" w:type="dxa"/>
              <w:left w:w="180" w:type="dxa"/>
              <w:bottom w:w="135" w:type="dxa"/>
              <w:right w:w="180" w:type="dxa"/>
            </w:tcMar>
            <w:vAlign w:val="center"/>
            <w:hideMark/>
          </w:tcPr>
          <w:p w14:paraId="2584F0CB" w14:textId="77777777" w:rsidR="009B0704" w:rsidRDefault="009B0704" w:rsidP="000746E9">
            <w:pPr>
              <w:rPr>
                <w:rFonts w:hint="eastAsia"/>
                <w:b/>
                <w:bCs/>
              </w:rPr>
            </w:pPr>
            <w:r w:rsidRPr="004D35EB">
              <w:rPr>
                <w:rFonts w:hint="eastAsia"/>
                <w:b/>
                <w:szCs w:val="22"/>
              </w:rPr>
              <w:t>核心任务</w:t>
            </w:r>
          </w:p>
        </w:tc>
        <w:tc>
          <w:tcPr>
            <w:tcW w:w="2675" w:type="auto"/>
            <w:shd w:val="clear" w:color="auto" w:fill="F5F5F5"/>
            <w:tcMar>
              <w:top w:w="135" w:type="dxa"/>
              <w:left w:w="180" w:type="dxa"/>
              <w:bottom w:w="135" w:type="dxa"/>
              <w:right w:w="180" w:type="dxa"/>
            </w:tcMar>
            <w:vAlign w:val="center"/>
            <w:hideMark/>
          </w:tcPr>
          <w:p w14:paraId="7816755B" w14:textId="77777777" w:rsidR="009B0704" w:rsidRDefault="009B0704" w:rsidP="000746E9">
            <w:pPr>
              <w:rPr>
                <w:rFonts w:hint="eastAsia"/>
                <w:b/>
                <w:bCs/>
              </w:rPr>
            </w:pPr>
            <w:r w:rsidRPr="004D35EB">
              <w:rPr>
                <w:rFonts w:hint="eastAsia"/>
                <w:b/>
                <w:szCs w:val="22"/>
              </w:rPr>
              <w:t>关键输入</w:t>
            </w:r>
          </w:p>
        </w:tc>
        <w:tc>
          <w:tcPr>
            <w:tcW w:w="3740" w:type="dxa"/>
            <w:shd w:val="clear" w:color="auto" w:fill="F5F5F5"/>
            <w:tcMar>
              <w:top w:w="135" w:type="dxa"/>
              <w:left w:w="180" w:type="dxa"/>
              <w:bottom w:w="135" w:type="dxa"/>
              <w:right w:w="180" w:type="dxa"/>
            </w:tcMar>
            <w:vAlign w:val="center"/>
            <w:hideMark/>
          </w:tcPr>
          <w:p w14:paraId="10A12D8E" w14:textId="77777777" w:rsidR="009B0704" w:rsidRDefault="009B0704" w:rsidP="000746E9">
            <w:pPr>
              <w:rPr>
                <w:rFonts w:hint="eastAsia"/>
                <w:b/>
                <w:bCs/>
              </w:rPr>
            </w:pPr>
            <w:r w:rsidRPr="004D35EB">
              <w:rPr>
                <w:rFonts w:hint="eastAsia"/>
                <w:b/>
                <w:szCs w:val="22"/>
              </w:rPr>
              <w:t>主要挑战与目标</w:t>
            </w:r>
          </w:p>
        </w:tc>
      </w:tr>
      <w:tr w:rsidR="009B0704" w14:paraId="5A4858D9" w14:textId="77777777" w:rsidTr="000746E9">
        <w:tc>
          <w:tcPr>
            <w:tcW w:w="1584" w:type="dxa"/>
            <w:shd w:val="clear" w:color="auto" w:fill="FFFFFF"/>
            <w:tcMar>
              <w:top w:w="135" w:type="dxa"/>
              <w:left w:w="180" w:type="dxa"/>
              <w:bottom w:w="135" w:type="dxa"/>
              <w:right w:w="180" w:type="dxa"/>
            </w:tcMar>
            <w:vAlign w:val="center"/>
            <w:hideMark/>
          </w:tcPr>
          <w:p w14:paraId="233AA6CB" w14:textId="77777777" w:rsidR="009B0704" w:rsidRDefault="009B0704" w:rsidP="000746E9">
            <w:pPr>
              <w:rPr>
                <w:rFonts w:hint="eastAsia"/>
              </w:rPr>
            </w:pPr>
            <w:r w:rsidRPr="004D35EB">
              <w:rPr>
                <w:rFonts w:hint="eastAsia"/>
                <w:b/>
                <w:szCs w:val="22"/>
              </w:rPr>
              <w:t>数据准备</w:t>
            </w:r>
          </w:p>
        </w:tc>
        <w:tc>
          <w:tcPr>
            <w:tcW w:w="1357" w:type="auto"/>
            <w:shd w:val="clear" w:color="auto" w:fill="FFFFFF"/>
            <w:tcMar>
              <w:top w:w="135" w:type="dxa"/>
              <w:left w:w="180" w:type="dxa"/>
              <w:bottom w:w="135" w:type="dxa"/>
              <w:right w:w="180" w:type="dxa"/>
            </w:tcMar>
            <w:vAlign w:val="center"/>
            <w:hideMark/>
          </w:tcPr>
          <w:p w14:paraId="1C1D8BF2" w14:textId="77777777" w:rsidR="009B0704" w:rsidRDefault="009B0704" w:rsidP="000746E9">
            <w:pPr>
              <w:rPr>
                <w:rFonts w:hint="eastAsia"/>
              </w:rPr>
            </w:pPr>
            <w:r w:rsidRPr="004D35EB">
              <w:rPr>
                <w:rFonts w:hint="eastAsia"/>
                <w:szCs w:val="22"/>
              </w:rPr>
              <w:t>构建高质量训练数据集</w:t>
            </w:r>
          </w:p>
        </w:tc>
        <w:tc>
          <w:tcPr>
            <w:tcW w:w="2675" w:type="auto"/>
            <w:shd w:val="clear" w:color="auto" w:fill="FFFFFF"/>
            <w:tcMar>
              <w:top w:w="135" w:type="dxa"/>
              <w:left w:w="180" w:type="dxa"/>
              <w:bottom w:w="135" w:type="dxa"/>
              <w:right w:w="180" w:type="dxa"/>
            </w:tcMar>
            <w:vAlign w:val="center"/>
            <w:hideMark/>
          </w:tcPr>
          <w:p w14:paraId="348E805B" w14:textId="77777777" w:rsidR="009B0704" w:rsidRDefault="009B0704" w:rsidP="000746E9">
            <w:pPr>
              <w:rPr>
                <w:rFonts w:hint="eastAsia"/>
              </w:rPr>
            </w:pPr>
            <w:r w:rsidRPr="004D35EB">
              <w:rPr>
                <w:rFonts w:hint="eastAsia"/>
                <w:szCs w:val="22"/>
              </w:rPr>
              <w:t>多模态、多语言原始数据</w:t>
            </w:r>
          </w:p>
        </w:tc>
        <w:tc>
          <w:tcPr>
            <w:tcW w:w="3740" w:type="dxa"/>
            <w:shd w:val="clear" w:color="auto" w:fill="FFFFFF"/>
            <w:tcMar>
              <w:top w:w="135" w:type="dxa"/>
              <w:left w:w="180" w:type="dxa"/>
              <w:bottom w:w="135" w:type="dxa"/>
              <w:right w:w="180" w:type="dxa"/>
            </w:tcMar>
            <w:vAlign w:val="center"/>
            <w:hideMark/>
          </w:tcPr>
          <w:p w14:paraId="59DEFACC" w14:textId="77777777" w:rsidR="009B0704" w:rsidRDefault="009B0704" w:rsidP="000746E9">
            <w:pPr>
              <w:rPr>
                <w:rFonts w:hint="eastAsia"/>
              </w:rPr>
            </w:pPr>
            <w:r w:rsidRPr="004D35EB">
              <w:rPr>
                <w:rFonts w:hint="eastAsia"/>
                <w:szCs w:val="22"/>
              </w:rPr>
              <w:t>数据清洗、去噪、质量评估；确保数据代表性与多样性。</w:t>
            </w:r>
          </w:p>
        </w:tc>
      </w:tr>
      <w:tr w:rsidR="009B0704" w14:paraId="554D9661" w14:textId="77777777" w:rsidTr="000746E9">
        <w:tc>
          <w:tcPr>
            <w:tcW w:w="1584" w:type="dxa"/>
            <w:shd w:val="clear" w:color="auto" w:fill="FFFFFF"/>
            <w:tcMar>
              <w:top w:w="135" w:type="dxa"/>
              <w:left w:w="180" w:type="dxa"/>
              <w:bottom w:w="135" w:type="dxa"/>
              <w:right w:w="180" w:type="dxa"/>
            </w:tcMar>
            <w:vAlign w:val="center"/>
            <w:hideMark/>
          </w:tcPr>
          <w:p w14:paraId="24855686" w14:textId="77777777" w:rsidR="009B0704" w:rsidRDefault="009B0704" w:rsidP="000746E9">
            <w:pPr>
              <w:rPr>
                <w:rFonts w:hint="eastAsia"/>
              </w:rPr>
            </w:pPr>
            <w:r w:rsidRPr="004D35EB">
              <w:rPr>
                <w:rFonts w:hint="eastAsia"/>
                <w:b/>
                <w:szCs w:val="22"/>
              </w:rPr>
              <w:t>架构设计</w:t>
            </w:r>
          </w:p>
        </w:tc>
        <w:tc>
          <w:tcPr>
            <w:tcW w:w="1357" w:type="auto"/>
            <w:shd w:val="clear" w:color="auto" w:fill="FFFFFF"/>
            <w:tcMar>
              <w:top w:w="135" w:type="dxa"/>
              <w:left w:w="180" w:type="dxa"/>
              <w:bottom w:w="135" w:type="dxa"/>
              <w:right w:w="180" w:type="dxa"/>
            </w:tcMar>
            <w:vAlign w:val="center"/>
            <w:hideMark/>
          </w:tcPr>
          <w:p w14:paraId="2A55166B" w14:textId="77777777" w:rsidR="009B0704" w:rsidRDefault="009B0704" w:rsidP="000746E9">
            <w:pPr>
              <w:rPr>
                <w:rFonts w:hint="eastAsia"/>
              </w:rPr>
            </w:pPr>
            <w:r w:rsidRPr="004D35EB">
              <w:rPr>
                <w:rFonts w:hint="eastAsia"/>
                <w:szCs w:val="22"/>
              </w:rPr>
              <w:t>确定模型基础结构</w:t>
            </w:r>
          </w:p>
        </w:tc>
        <w:tc>
          <w:tcPr>
            <w:tcW w:w="2675" w:type="auto"/>
            <w:shd w:val="clear" w:color="auto" w:fill="FFFFFF"/>
            <w:tcMar>
              <w:top w:w="135" w:type="dxa"/>
              <w:left w:w="180" w:type="dxa"/>
              <w:bottom w:w="135" w:type="dxa"/>
              <w:right w:w="180" w:type="dxa"/>
            </w:tcMar>
            <w:vAlign w:val="center"/>
            <w:hideMark/>
          </w:tcPr>
          <w:p w14:paraId="1D49C224" w14:textId="77777777" w:rsidR="009B0704" w:rsidRDefault="009B0704" w:rsidP="000746E9">
            <w:pPr>
              <w:rPr>
                <w:rFonts w:hint="eastAsia"/>
              </w:rPr>
            </w:pPr>
            <w:r w:rsidRPr="004D35EB">
              <w:rPr>
                <w:rFonts w:hint="eastAsia"/>
                <w:szCs w:val="22"/>
              </w:rPr>
              <w:t>Transformer及变体（MoE, 稀疏注意力）</w:t>
            </w:r>
          </w:p>
        </w:tc>
        <w:tc>
          <w:tcPr>
            <w:tcW w:w="3740" w:type="dxa"/>
            <w:shd w:val="clear" w:color="auto" w:fill="FFFFFF"/>
            <w:tcMar>
              <w:top w:w="135" w:type="dxa"/>
              <w:left w:w="180" w:type="dxa"/>
              <w:bottom w:w="135" w:type="dxa"/>
              <w:right w:w="180" w:type="dxa"/>
            </w:tcMar>
            <w:vAlign w:val="center"/>
            <w:hideMark/>
          </w:tcPr>
          <w:p w14:paraId="31A9AC8E" w14:textId="77777777" w:rsidR="009B0704" w:rsidRDefault="009B0704" w:rsidP="000746E9">
            <w:pPr>
              <w:rPr>
                <w:rFonts w:hint="eastAsia"/>
              </w:rPr>
            </w:pPr>
            <w:r w:rsidRPr="004D35EB">
              <w:rPr>
                <w:rFonts w:hint="eastAsia"/>
                <w:szCs w:val="22"/>
              </w:rPr>
              <w:t>平衡参数规模、训练/推理效率与长期成本；支持长上下文与多模态。</w:t>
            </w:r>
          </w:p>
        </w:tc>
      </w:tr>
      <w:tr w:rsidR="009B0704" w14:paraId="6D5C2DB5" w14:textId="77777777" w:rsidTr="000746E9">
        <w:tc>
          <w:tcPr>
            <w:tcW w:w="1584" w:type="dxa"/>
            <w:shd w:val="clear" w:color="auto" w:fill="FFFFFF"/>
            <w:tcMar>
              <w:top w:w="135" w:type="dxa"/>
              <w:left w:w="180" w:type="dxa"/>
              <w:bottom w:w="135" w:type="dxa"/>
              <w:right w:w="180" w:type="dxa"/>
            </w:tcMar>
            <w:vAlign w:val="center"/>
            <w:hideMark/>
          </w:tcPr>
          <w:p w14:paraId="1C8EFC6E" w14:textId="77777777" w:rsidR="009B0704" w:rsidRDefault="009B0704" w:rsidP="000746E9">
            <w:pPr>
              <w:rPr>
                <w:rFonts w:hint="eastAsia"/>
              </w:rPr>
            </w:pPr>
            <w:r w:rsidRPr="004D35EB">
              <w:rPr>
                <w:rFonts w:hint="eastAsia"/>
                <w:b/>
                <w:szCs w:val="22"/>
              </w:rPr>
              <w:t>预训练</w:t>
            </w:r>
          </w:p>
        </w:tc>
        <w:tc>
          <w:tcPr>
            <w:tcW w:w="1357" w:type="auto"/>
            <w:shd w:val="clear" w:color="auto" w:fill="FFFFFF"/>
            <w:tcMar>
              <w:top w:w="135" w:type="dxa"/>
              <w:left w:w="180" w:type="dxa"/>
              <w:bottom w:w="135" w:type="dxa"/>
              <w:right w:w="180" w:type="dxa"/>
            </w:tcMar>
            <w:vAlign w:val="center"/>
            <w:hideMark/>
          </w:tcPr>
          <w:p w14:paraId="3476BEBC" w14:textId="77777777" w:rsidR="009B0704" w:rsidRDefault="009B0704" w:rsidP="000746E9">
            <w:pPr>
              <w:rPr>
                <w:rFonts w:hint="eastAsia"/>
              </w:rPr>
            </w:pPr>
            <w:r w:rsidRPr="004D35EB">
              <w:rPr>
                <w:rFonts w:hint="eastAsia"/>
                <w:szCs w:val="22"/>
              </w:rPr>
              <w:t>学习通用统计规律</w:t>
            </w:r>
          </w:p>
        </w:tc>
        <w:tc>
          <w:tcPr>
            <w:tcW w:w="2675" w:type="auto"/>
            <w:shd w:val="clear" w:color="auto" w:fill="FFFFFF"/>
            <w:tcMar>
              <w:top w:w="135" w:type="dxa"/>
              <w:left w:w="180" w:type="dxa"/>
              <w:bottom w:w="135" w:type="dxa"/>
              <w:right w:w="180" w:type="dxa"/>
            </w:tcMar>
            <w:vAlign w:val="center"/>
            <w:hideMark/>
          </w:tcPr>
          <w:p w14:paraId="4A8003AB" w14:textId="77777777" w:rsidR="009B0704" w:rsidRDefault="009B0704" w:rsidP="000746E9">
            <w:pPr>
              <w:rPr>
                <w:rFonts w:hint="eastAsia"/>
              </w:rPr>
            </w:pPr>
            <w:r w:rsidRPr="004D35EB">
              <w:rPr>
                <w:rFonts w:hint="eastAsia"/>
                <w:szCs w:val="22"/>
              </w:rPr>
              <w:t>大规模无监督/弱监督数据</w:t>
            </w:r>
          </w:p>
        </w:tc>
        <w:tc>
          <w:tcPr>
            <w:tcW w:w="3740" w:type="dxa"/>
            <w:shd w:val="clear" w:color="auto" w:fill="FFFFFF"/>
            <w:tcMar>
              <w:top w:w="135" w:type="dxa"/>
              <w:left w:w="180" w:type="dxa"/>
              <w:bottom w:w="135" w:type="dxa"/>
              <w:right w:w="180" w:type="dxa"/>
            </w:tcMar>
            <w:vAlign w:val="center"/>
            <w:hideMark/>
          </w:tcPr>
          <w:p w14:paraId="2C199B01" w14:textId="77777777" w:rsidR="009B0704" w:rsidRDefault="009B0704" w:rsidP="000746E9">
            <w:pPr>
              <w:rPr>
                <w:rFonts w:hint="eastAsia"/>
              </w:rPr>
            </w:pPr>
            <w:r w:rsidRPr="004D35EB">
              <w:rPr>
                <w:rFonts w:hint="eastAsia"/>
                <w:szCs w:val="22"/>
              </w:rPr>
              <w:t>极高的算力消耗与时间成本；是模型知识的主要来源。</w:t>
            </w:r>
          </w:p>
        </w:tc>
      </w:tr>
      <w:tr w:rsidR="009B0704" w14:paraId="0810F52C" w14:textId="77777777" w:rsidTr="000746E9">
        <w:tc>
          <w:tcPr>
            <w:tcW w:w="1584" w:type="dxa"/>
            <w:shd w:val="clear" w:color="auto" w:fill="FFFFFF"/>
            <w:tcMar>
              <w:top w:w="135" w:type="dxa"/>
              <w:left w:w="180" w:type="dxa"/>
              <w:bottom w:w="135" w:type="dxa"/>
              <w:right w:w="180" w:type="dxa"/>
            </w:tcMar>
            <w:vAlign w:val="center"/>
            <w:hideMark/>
          </w:tcPr>
          <w:p w14:paraId="04526960" w14:textId="77777777" w:rsidR="009B0704" w:rsidRDefault="009B0704" w:rsidP="000746E9">
            <w:pPr>
              <w:rPr>
                <w:rFonts w:hint="eastAsia"/>
              </w:rPr>
            </w:pPr>
            <w:r w:rsidRPr="004D35EB">
              <w:rPr>
                <w:rFonts w:hint="eastAsia"/>
                <w:b/>
                <w:szCs w:val="22"/>
              </w:rPr>
              <w:t>后训练与对齐</w:t>
            </w:r>
          </w:p>
        </w:tc>
        <w:tc>
          <w:tcPr>
            <w:tcW w:w="1357" w:type="auto"/>
            <w:shd w:val="clear" w:color="auto" w:fill="FFFFFF"/>
            <w:tcMar>
              <w:top w:w="135" w:type="dxa"/>
              <w:left w:w="180" w:type="dxa"/>
              <w:bottom w:w="135" w:type="dxa"/>
              <w:right w:w="180" w:type="dxa"/>
            </w:tcMar>
            <w:vAlign w:val="center"/>
            <w:hideMark/>
          </w:tcPr>
          <w:p w14:paraId="68A13BA6" w14:textId="77777777" w:rsidR="009B0704" w:rsidRDefault="009B0704" w:rsidP="000746E9">
            <w:pPr>
              <w:rPr>
                <w:rFonts w:hint="eastAsia"/>
              </w:rPr>
            </w:pPr>
            <w:r w:rsidRPr="004D35EB">
              <w:rPr>
                <w:rFonts w:hint="eastAsia"/>
                <w:szCs w:val="22"/>
              </w:rPr>
              <w:t>使模型符合人类意图</w:t>
            </w:r>
          </w:p>
        </w:tc>
        <w:tc>
          <w:tcPr>
            <w:tcW w:w="2675" w:type="auto"/>
            <w:shd w:val="clear" w:color="auto" w:fill="FFFFFF"/>
            <w:tcMar>
              <w:top w:w="135" w:type="dxa"/>
              <w:left w:w="180" w:type="dxa"/>
              <w:bottom w:w="135" w:type="dxa"/>
              <w:right w:w="180" w:type="dxa"/>
            </w:tcMar>
            <w:vAlign w:val="center"/>
            <w:hideMark/>
          </w:tcPr>
          <w:p w14:paraId="0C7A3CDA" w14:textId="77777777" w:rsidR="009B0704" w:rsidRDefault="009B0704" w:rsidP="000746E9">
            <w:pPr>
              <w:rPr>
                <w:rFonts w:hint="eastAsia"/>
              </w:rPr>
            </w:pPr>
            <w:r w:rsidRPr="004D35EB">
              <w:rPr>
                <w:rFonts w:hint="eastAsia"/>
                <w:szCs w:val="22"/>
              </w:rPr>
              <w:t>人工标注数据、人类偏好反馈</w:t>
            </w:r>
          </w:p>
        </w:tc>
        <w:tc>
          <w:tcPr>
            <w:tcW w:w="3740" w:type="dxa"/>
            <w:shd w:val="clear" w:color="auto" w:fill="FFFFFF"/>
            <w:tcMar>
              <w:top w:w="135" w:type="dxa"/>
              <w:left w:w="180" w:type="dxa"/>
              <w:bottom w:w="135" w:type="dxa"/>
              <w:right w:w="180" w:type="dxa"/>
            </w:tcMar>
            <w:vAlign w:val="center"/>
            <w:hideMark/>
          </w:tcPr>
          <w:p w14:paraId="487D401A" w14:textId="77777777" w:rsidR="009B0704" w:rsidRDefault="009B0704" w:rsidP="000746E9">
            <w:pPr>
              <w:rPr>
                <w:rFonts w:hint="eastAsia"/>
              </w:rPr>
            </w:pPr>
            <w:r w:rsidRPr="004D35EB">
              <w:rPr>
                <w:rFonts w:hint="eastAsia"/>
                <w:szCs w:val="22"/>
              </w:rPr>
              <w:t>提升模型的安全性、可靠性与可用性；实现价值观对齐。</w:t>
            </w:r>
          </w:p>
        </w:tc>
      </w:tr>
      <w:tr w:rsidR="009B0704" w14:paraId="2F457F17" w14:textId="77777777" w:rsidTr="000746E9">
        <w:tc>
          <w:tcPr>
            <w:tcW w:w="1584" w:type="dxa"/>
            <w:shd w:val="clear" w:color="auto" w:fill="FFFFFF"/>
            <w:tcMar>
              <w:top w:w="135" w:type="dxa"/>
              <w:left w:w="180" w:type="dxa"/>
              <w:bottom w:w="135" w:type="dxa"/>
              <w:right w:w="180" w:type="dxa"/>
            </w:tcMar>
            <w:vAlign w:val="center"/>
            <w:hideMark/>
          </w:tcPr>
          <w:p w14:paraId="0D9A56A7" w14:textId="77777777" w:rsidR="009B0704" w:rsidRDefault="009B0704" w:rsidP="000746E9">
            <w:pPr>
              <w:rPr>
                <w:rFonts w:hint="eastAsia"/>
              </w:rPr>
            </w:pPr>
            <w:r w:rsidRPr="004D35EB">
              <w:rPr>
                <w:rFonts w:hint="eastAsia"/>
                <w:b/>
                <w:szCs w:val="22"/>
              </w:rPr>
              <w:t>推理部署</w:t>
            </w:r>
          </w:p>
        </w:tc>
        <w:tc>
          <w:tcPr>
            <w:tcW w:w="1357" w:type="auto"/>
            <w:shd w:val="clear" w:color="auto" w:fill="FFFFFF"/>
            <w:tcMar>
              <w:top w:w="135" w:type="dxa"/>
              <w:left w:w="180" w:type="dxa"/>
              <w:bottom w:w="135" w:type="dxa"/>
              <w:right w:w="180" w:type="dxa"/>
            </w:tcMar>
            <w:vAlign w:val="center"/>
            <w:hideMark/>
          </w:tcPr>
          <w:p w14:paraId="74FB0AF3" w14:textId="77777777" w:rsidR="009B0704" w:rsidRDefault="009B0704" w:rsidP="000746E9">
            <w:pPr>
              <w:rPr>
                <w:rFonts w:hint="eastAsia"/>
              </w:rPr>
            </w:pPr>
            <w:r w:rsidRPr="004D35EB">
              <w:rPr>
                <w:rFonts w:hint="eastAsia"/>
                <w:szCs w:val="22"/>
              </w:rPr>
              <w:t>提供实时模型服务</w:t>
            </w:r>
          </w:p>
        </w:tc>
        <w:tc>
          <w:tcPr>
            <w:tcW w:w="2675" w:type="auto"/>
            <w:shd w:val="clear" w:color="auto" w:fill="FFFFFF"/>
            <w:tcMar>
              <w:top w:w="135" w:type="dxa"/>
              <w:left w:w="180" w:type="dxa"/>
              <w:bottom w:w="135" w:type="dxa"/>
              <w:right w:w="180" w:type="dxa"/>
            </w:tcMar>
            <w:vAlign w:val="center"/>
            <w:hideMark/>
          </w:tcPr>
          <w:p w14:paraId="5DDFF4A7" w14:textId="77777777" w:rsidR="009B0704" w:rsidRDefault="009B0704" w:rsidP="000746E9">
            <w:pPr>
              <w:rPr>
                <w:rFonts w:hint="eastAsia"/>
              </w:rPr>
            </w:pPr>
            <w:r w:rsidRPr="004D35EB">
              <w:rPr>
                <w:rFonts w:hint="eastAsia"/>
                <w:szCs w:val="22"/>
              </w:rPr>
              <w:t>用户查询（Prompts）</w:t>
            </w:r>
          </w:p>
        </w:tc>
        <w:tc>
          <w:tcPr>
            <w:tcW w:w="3740" w:type="dxa"/>
            <w:shd w:val="clear" w:color="auto" w:fill="FFFFFF"/>
            <w:tcMar>
              <w:top w:w="135" w:type="dxa"/>
              <w:left w:w="180" w:type="dxa"/>
              <w:bottom w:w="135" w:type="dxa"/>
              <w:right w:w="180" w:type="dxa"/>
            </w:tcMar>
            <w:vAlign w:val="center"/>
            <w:hideMark/>
          </w:tcPr>
          <w:p w14:paraId="73B9858E" w14:textId="77777777" w:rsidR="009B0704" w:rsidRDefault="009B0704" w:rsidP="000746E9">
            <w:pPr>
              <w:rPr>
                <w:rFonts w:hint="eastAsia"/>
              </w:rPr>
            </w:pPr>
            <w:r w:rsidRPr="004D35EB">
              <w:rPr>
                <w:rFonts w:hint="eastAsia"/>
                <w:szCs w:val="22"/>
              </w:rPr>
              <w:t>优化延迟、并发与成本效率；是价值转化的最终环节。</w:t>
            </w:r>
          </w:p>
        </w:tc>
      </w:tr>
    </w:tbl>
    <w:p w14:paraId="6479C55D" w14:textId="77777777" w:rsidR="009B0704" w:rsidRPr="009B0704" w:rsidRDefault="009B0704" w:rsidP="009B0704">
      <w:pPr>
        <w:rPr>
          <w:rFonts w:hint="eastAsia"/>
        </w:rPr>
      </w:pPr>
    </w:p>
    <w:p w14:paraId="05D58BDE" w14:textId="70EA92B8" w:rsidR="002B152A" w:rsidRDefault="009B0704" w:rsidP="002B152A">
      <w:pPr>
        <w:pStyle w:val="2"/>
        <w:rPr>
          <w:rFonts w:hint="eastAsia"/>
        </w:rPr>
      </w:pPr>
      <w:r>
        <w:rPr>
          <w:rFonts w:hint="eastAsia"/>
        </w:rPr>
        <w:t xml:space="preserve">5.2 </w:t>
      </w:r>
      <w:r w:rsidR="002B152A">
        <w:rPr>
          <w:rFonts w:hint="eastAsia"/>
        </w:rPr>
        <w:t xml:space="preserve">技术历史与突破过程 </w:t>
      </w:r>
    </w:p>
    <w:p w14:paraId="6C6365F7" w14:textId="77777777" w:rsidR="002B152A" w:rsidRDefault="002B152A" w:rsidP="002B152A">
      <w:pPr>
        <w:rPr>
          <w:rFonts w:hint="eastAsia"/>
        </w:rPr>
      </w:pPr>
      <w:r>
        <w:rPr>
          <w:rFonts w:hint="eastAsia"/>
        </w:rPr>
        <w:t>Transformer 架构的发展历程，本质上是一部围绕"如何突破序列计算的结构性约束，使模型具备全局信息感知能力，并在此基础上持续扩展能力边界"的技术演进史。以下按时间脉络梳理其关键节点与范式转移。</w:t>
      </w:r>
    </w:p>
    <w:p w14:paraId="3C4B95EA" w14:textId="77777777" w:rsidR="002B152A" w:rsidRDefault="002B152A" w:rsidP="002B152A">
      <w:pPr>
        <w:pStyle w:val="4"/>
        <w:rPr>
          <w:rFonts w:hint="eastAsia"/>
        </w:rPr>
      </w:pPr>
      <w:r>
        <w:rPr>
          <w:rFonts w:hint="eastAsia"/>
        </w:rPr>
        <w:t>一、RNN 时代：循环结构的统治与内在瓶颈</w:t>
      </w:r>
    </w:p>
    <w:p w14:paraId="3AC2FC1D" w14:textId="77777777" w:rsidR="002B152A" w:rsidRDefault="002B152A" w:rsidP="002B152A">
      <w:pPr>
        <w:rPr>
          <w:rFonts w:hint="eastAsia"/>
        </w:rPr>
      </w:pPr>
      <w:r>
        <w:rPr>
          <w:rFonts w:hint="eastAsia"/>
        </w:rPr>
        <w:t>在深度学习介入自然语言处理的早期阶段，循环神经网络（RNN）及其改进变体长短期记忆网络（LSTM）与门控循环单元（GRU）构成了主流技术范式。其核心机制在于按时间步逐个处理输入 token，通过隐藏状态向量传递历史信息。</w:t>
      </w:r>
    </w:p>
    <w:p w14:paraId="654EB0A9" w14:textId="77777777" w:rsidR="002B152A" w:rsidRDefault="002B152A" w:rsidP="002B152A">
      <w:pPr>
        <w:rPr>
          <w:rFonts w:hint="eastAsia"/>
        </w:rPr>
      </w:pPr>
      <w:r>
        <w:rPr>
          <w:rFonts w:hint="eastAsia"/>
        </w:rPr>
        <w:t>然而，该架构存在三个根本性约束。其一，长序列训练时梯度消失与梯度爆炸问题显著，模型难以有效捕捉超过五十个时间步的远距离依赖关系。其二，计算过程严格串行，当前时刻的处理必须等待前一时刻完成，导致 GPU 并行加速能力无法充分利用。其三，所有历史信息被压缩至固定维度的隐藏向量中，远期信息的保真度随距离增加而指数级衰减。</w:t>
      </w:r>
    </w:p>
    <w:p w14:paraId="16DC3237" w14:textId="77777777" w:rsidR="002B152A" w:rsidRDefault="002B152A" w:rsidP="002B152A">
      <w:pPr>
        <w:rPr>
          <w:rFonts w:hint="eastAsia"/>
        </w:rPr>
      </w:pPr>
      <w:r>
        <w:rPr>
          <w:rFonts w:hint="eastAsia"/>
        </w:rPr>
        <w:lastRenderedPageBreak/>
        <w:t>这一时期，Seq2Seq 模型结合注意力机制的方案已初步显示出突破潜力——让解码器直接访问编码器的全部输出，而非依赖单一上下文向量。这一思路为后续架构变革提供了关键铺垫。</w:t>
      </w:r>
    </w:p>
    <w:p w14:paraId="187F3443" w14:textId="77777777" w:rsidR="002B152A" w:rsidRDefault="002B152A" w:rsidP="002B152A">
      <w:pPr>
        <w:pStyle w:val="4"/>
        <w:rPr>
          <w:rFonts w:hint="eastAsia"/>
        </w:rPr>
      </w:pPr>
      <w:r>
        <w:rPr>
          <w:rFonts w:hint="eastAsia"/>
        </w:rPr>
        <w:t>二、2017 年：Transformer 的诞生与注意力机制的确立</w:t>
      </w:r>
    </w:p>
    <w:p w14:paraId="63049E5E" w14:textId="77777777" w:rsidR="002B152A" w:rsidRDefault="002B152A" w:rsidP="002B152A">
      <w:pPr>
        <w:rPr>
          <w:rFonts w:hint="eastAsia"/>
        </w:rPr>
      </w:pPr>
      <w:r>
        <w:rPr>
          <w:rFonts w:hint="eastAsia"/>
        </w:rPr>
        <w:t>2017 年 6 月，Google 发表重要论文论文</w:t>
      </w:r>
      <w:r w:rsidRPr="005B66B5">
        <w:rPr>
          <w:rFonts w:hint="eastAsia"/>
          <w:b/>
          <w:bCs/>
        </w:rPr>
        <w:t>Attention Is All You Need</w:t>
      </w:r>
      <w:r>
        <w:rPr>
          <w:rFonts w:hint="eastAsia"/>
        </w:rPr>
        <w:t>，正式提出 Transformer 架构，彻底摒弃了循环结构。</w:t>
      </w:r>
    </w:p>
    <w:p w14:paraId="433C668C" w14:textId="77777777" w:rsidR="002B152A" w:rsidRDefault="002B152A" w:rsidP="002B152A">
      <w:pPr>
        <w:rPr>
          <w:rFonts w:hint="eastAsia"/>
        </w:rPr>
      </w:pPr>
      <w:r>
        <w:rPr>
          <w:rFonts w:hint="eastAsia"/>
        </w:rPr>
        <w:t>该架构的核心创新在于自注意力机制（Self-Attention）。在这一机制下，序列中的每个 token 均可直接与所有其他 token 建立关联，关联强度通过缩放点积注意力计算得出。这意味着无论两个 token 在序列中相距多远，其信息交互都只需一步矩阵运算即可完成，从根本上解除了距离对信息传递的制约。</w:t>
      </w:r>
    </w:p>
    <w:p w14:paraId="7F36DFFF" w14:textId="77777777" w:rsidR="002B152A" w:rsidRDefault="002B152A" w:rsidP="002B152A">
      <w:pPr>
        <w:rPr>
          <w:rFonts w:hint="eastAsia"/>
        </w:rPr>
      </w:pPr>
      <w:r>
        <w:rPr>
          <w:rFonts w:hint="eastAsia"/>
        </w:rPr>
        <w:t>为支撑这一机制，Transformer 引入了多头注意力（Multi-Head Attention），通过多组并行的注意力头捕捉不同子空间中的关系模式，如语法结构、语义关联与指代消解。同时，由于注意力本身不具备位置感知能力，架构通过位置编码（Position Encoding）注入序列顺序信息。此外，前馈神经网络层、层归一化（Layer Normalization）与残差连接（Residual Connection）共同构成了稳定的非线性变换骨架。</w:t>
      </w:r>
    </w:p>
    <w:p w14:paraId="773C435A" w14:textId="77777777" w:rsidR="002B152A" w:rsidRPr="005B66B5" w:rsidRDefault="002B152A" w:rsidP="002B152A">
      <w:pPr>
        <w:pStyle w:val="4"/>
        <w:rPr>
          <w:rFonts w:hint="eastAsia"/>
        </w:rPr>
      </w:pPr>
      <w:r>
        <w:rPr>
          <w:rFonts w:hint="eastAsia"/>
        </w:rPr>
        <w:t>三、架构分化：三条预训练范式的形成（2018–2019）</w:t>
      </w:r>
    </w:p>
    <w:p w14:paraId="5DF0CE80" w14:textId="77777777" w:rsidR="002B152A" w:rsidRDefault="002B152A" w:rsidP="002B152A">
      <w:pPr>
        <w:rPr>
          <w:rFonts w:hint="eastAsia"/>
        </w:rPr>
      </w:pPr>
      <w:r>
        <w:rPr>
          <w:rFonts w:hint="eastAsia"/>
        </w:rPr>
        <w:t>Transformer问世后，其编码器-解码器结构被迅速拆解，演化出三种差异化的预训练路线。</w:t>
      </w:r>
    </w:p>
    <w:p w14:paraId="7A2EF99C" w14:textId="77777777" w:rsidR="002B152A" w:rsidRDefault="002B152A" w:rsidP="002B152A">
      <w:pPr>
        <w:rPr>
          <w:rFonts w:hint="eastAsia"/>
        </w:rPr>
      </w:pPr>
      <w:r>
        <w:rPr>
          <w:rFonts w:hint="eastAsia"/>
        </w:rPr>
        <w:t>第一条路线为编码器-only 架构，以 BERT（2018）为代表。该路线采用掩码语言模型（Masked Language Modeling）作为预训练目标，随机遮蔽输入序列中的部分 token，要求模型基于双向上下文进行预测。这一机制使模型在文本理解、分类与信息抽取任务上表现突出，但自回归生成能力相对受限。</w:t>
      </w:r>
    </w:p>
    <w:p w14:paraId="772AD233" w14:textId="77777777" w:rsidR="002B152A" w:rsidRDefault="002B152A" w:rsidP="002B152A">
      <w:pPr>
        <w:rPr>
          <w:rFonts w:hint="eastAsia"/>
        </w:rPr>
      </w:pPr>
      <w:r>
        <w:rPr>
          <w:rFonts w:hint="eastAsia"/>
        </w:rPr>
        <w:t>第二条路线为解码器-only 架构，以 GPT 系列为代表。该路线采用因果掩码（Causal Masking），强制模型从左至右逐词预测。这种自回归机制使生成流畅度显著提升，且后续被证明是 Scaling Law 表现最为显著的架构形态。此后的大模型浪潮，包括 GPT-4、Claude、Llama 及 DeepSeek 系列，均沿用了这一路线。</w:t>
      </w:r>
    </w:p>
    <w:p w14:paraId="40CEEA89" w14:textId="77777777" w:rsidR="002B152A" w:rsidRDefault="002B152A" w:rsidP="002B152A">
      <w:pPr>
        <w:rPr>
          <w:rFonts w:hint="eastAsia"/>
        </w:rPr>
      </w:pPr>
      <w:r>
        <w:rPr>
          <w:rFonts w:hint="eastAsia"/>
        </w:rPr>
        <w:t>第三条路线为编码器-解码器统一架构，以 T5（2019）和 BART 为代表。该架构保留了完整的编码器与解码器结构，适用于机器翻译、文本摘要等序列到序列任务。尽管在通用大模型的竞争中，该路线逐渐被解码器-only 的"大一统"趋势边缘化，但在特定任务领域仍保持技术优势。</w:t>
      </w:r>
    </w:p>
    <w:p w14:paraId="5D0854EC" w14:textId="77777777" w:rsidR="002B152A" w:rsidRDefault="002B152A" w:rsidP="002B152A">
      <w:pPr>
        <w:pStyle w:val="4"/>
        <w:rPr>
          <w:rFonts w:hint="eastAsia"/>
        </w:rPr>
      </w:pPr>
      <w:r>
        <w:rPr>
          <w:rFonts w:hint="eastAsia"/>
        </w:rPr>
        <w:t>四、规模革命：Scaling Law 与涌现能力（2020–2022）</w:t>
      </w:r>
    </w:p>
    <w:p w14:paraId="23AEC2B2" w14:textId="77777777" w:rsidR="002B152A" w:rsidRPr="00305D10" w:rsidRDefault="002B152A" w:rsidP="002B152A">
      <w:pPr>
        <w:rPr>
          <w:rFonts w:hint="eastAsia"/>
        </w:rPr>
      </w:pPr>
      <w:r>
        <w:rPr>
          <w:rFonts w:hint="eastAsia"/>
        </w:rPr>
        <w:t>OpenAI 发布的 GPT-3（1750 亿参数）验证了 Scaling Law 的有效性：当模型参数</w:t>
      </w:r>
      <w:r>
        <w:rPr>
          <w:rFonts w:hint="eastAsia"/>
        </w:rPr>
        <w:lastRenderedPageBreak/>
        <w:t>量、训练数据量与算力投入同步指数级增长时，模型能力会出现非线性的"涌现"现象，即在某一规模阈值后突然具备小模型无法实现的复杂能力。</w:t>
      </w:r>
    </w:p>
    <w:p w14:paraId="026FDBCB" w14:textId="77777777" w:rsidR="002B152A" w:rsidRDefault="002B152A" w:rsidP="002B152A">
      <w:pPr>
        <w:rPr>
          <w:rFonts w:hint="eastAsia"/>
        </w:rPr>
      </w:pPr>
      <w:r>
        <w:rPr>
          <w:rFonts w:hint="eastAsia"/>
        </w:rPr>
        <w:t>这一阶段的技术基础设施也趋于成熟。NVIDIA A100 等专用加速器、Megatron-LM 与 DeepSpeed 等分布式训练框架，以及模型并行与流水线并行技术，使万亿参数级别的训练成为可能。上下文窗口从早期的 2K 逐步扩展，少样本学习（Few-shot Learning）能力使模型无需微调即可通过提示词完成新任务。至此，大模型的性质发生根本转变：它不再仅是算法创新，而是算力、数据与系统工程的综合产物。</w:t>
      </w:r>
    </w:p>
    <w:p w14:paraId="184FA5E8" w14:textId="77777777" w:rsidR="002B152A" w:rsidRDefault="002B152A" w:rsidP="002B152A">
      <w:pPr>
        <w:pStyle w:val="4"/>
        <w:rPr>
          <w:rFonts w:hint="eastAsia"/>
        </w:rPr>
      </w:pPr>
      <w:r>
        <w:rPr>
          <w:rFonts w:hint="eastAsia"/>
        </w:rPr>
        <w:t>五、对齐时代：从文本续写到意图遵循（2022–2023）</w:t>
      </w:r>
    </w:p>
    <w:p w14:paraId="429C80BD" w14:textId="77777777" w:rsidR="002B152A" w:rsidRDefault="002B152A" w:rsidP="002B152A">
      <w:pPr>
        <w:rPr>
          <w:rFonts w:hint="eastAsia"/>
        </w:rPr>
      </w:pPr>
      <w:r>
        <w:rPr>
          <w:rFonts w:hint="eastAsia"/>
        </w:rPr>
        <w:t>纯自回归模型存在生成有害内容、偏见言论及无效输出的倾向。2022 至 2023 年间，研究重心转向对齐技术（Alignment），旨在使模型输出符合人类意图与价值偏好。</w:t>
      </w:r>
    </w:p>
    <w:p w14:paraId="090399C5" w14:textId="77777777" w:rsidR="002B152A" w:rsidRDefault="002B152A" w:rsidP="002B152A">
      <w:pPr>
        <w:rPr>
          <w:rFonts w:hint="eastAsia"/>
        </w:rPr>
      </w:pPr>
      <w:r>
        <w:rPr>
          <w:rFonts w:hint="eastAsia"/>
        </w:rPr>
        <w:t>监督微调（SFT）通过高质量指令数据集训练模型遵循特定格式与任务要求。在此基础上，基于人类反馈的强化学习（RLHF）引入奖励模型（Reward Model），利用 PPO 算法优化生成结果的人类偏好排序。Anthropic 提出的 Constitutional AI 及 RLAIF 则尝试以预设规则替代昂贵的人工标注，降低对齐成本。</w:t>
      </w:r>
    </w:p>
    <w:p w14:paraId="6A2EDC80" w14:textId="77777777" w:rsidR="002B152A" w:rsidRDefault="002B152A" w:rsidP="002B152A">
      <w:pPr>
        <w:rPr>
          <w:rFonts w:hint="eastAsia"/>
        </w:rPr>
      </w:pPr>
      <w:r>
        <w:rPr>
          <w:rFonts w:hint="eastAsia"/>
        </w:rPr>
        <w:t>2022 年 11 月 ChatGPT 的发布标志着 Transformer 从技术演示转向产品化应用，对话式交互成为主流形态。</w:t>
      </w:r>
    </w:p>
    <w:p w14:paraId="22CE14B6" w14:textId="77777777" w:rsidR="002B152A" w:rsidRPr="00D0013B" w:rsidRDefault="002B152A" w:rsidP="002B152A">
      <w:pPr>
        <w:pStyle w:val="4"/>
        <w:rPr>
          <w:rFonts w:hint="eastAsia"/>
        </w:rPr>
      </w:pPr>
      <w:r>
        <w:rPr>
          <w:rFonts w:hint="eastAsia"/>
        </w:rPr>
        <w:t>六、效率与长上下文：突破二次复杂度约束（2023–2024）</w:t>
      </w:r>
    </w:p>
    <w:p w14:paraId="56FD4768" w14:textId="77777777" w:rsidR="002B152A" w:rsidRDefault="002B152A" w:rsidP="002B152A">
      <w:pPr>
        <w:rPr>
          <w:rFonts w:hint="eastAsia"/>
        </w:rPr>
      </w:pPr>
      <w:r>
        <w:rPr>
          <w:rFonts w:hint="eastAsia"/>
        </w:rPr>
        <w:t>标准自注意力的计算复杂度为序列长度的平方级 O(n^2)，即上下文窗口翻倍将导致算力消耗增至四倍。这一特性构成 Transformer 最核心的工程瓶颈，催生了多条优化路线。</w:t>
      </w:r>
    </w:p>
    <w:p w14:paraId="4DA950F3" w14:textId="77777777" w:rsidR="002B152A" w:rsidRDefault="002B152A" w:rsidP="002B152A">
      <w:pPr>
        <w:rPr>
          <w:rFonts w:hint="eastAsia"/>
        </w:rPr>
      </w:pPr>
      <w:r>
        <w:rPr>
          <w:rFonts w:hint="eastAsia"/>
        </w:rPr>
        <w:t>稀疏注意力（Sparse Attention）通过限制每个 token 的交互范围，将复杂度降至线性或次线性级别，代表性工作包括 Sparse Transformer、Longformer 与 BigBird，其代价是牺牲部分全局连接能力。Flash Attention 系列则从内存访问模式入手，通过 IO-Aware 优化显存读写效率，在不改变理论复杂度的前提下大幅提升实际训练与推理速度。</w:t>
      </w:r>
    </w:p>
    <w:p w14:paraId="739350E4" w14:textId="77777777" w:rsidR="002B152A" w:rsidRDefault="002B152A" w:rsidP="002B152A">
      <w:pPr>
        <w:rPr>
          <w:rFonts w:hint="eastAsia"/>
        </w:rPr>
      </w:pPr>
      <w:r>
        <w:rPr>
          <w:rFonts w:hint="eastAsia"/>
        </w:rPr>
        <w:t>位置编码层面，RoPE、ALiBi 与 xPos 等方案改善了模型对长距离相对位置的感知与外推能力。位置插值（Position Interpolation）、NTK-aware 扩展与 YaRN 等技术使预训练阶段的 4K 或 8K 模型能够被扩展至 128K、1M 乃至 10M  token 的上下文窗口。</w:t>
      </w:r>
    </w:p>
    <w:p w14:paraId="75933A21" w14:textId="77777777" w:rsidR="002B152A" w:rsidRDefault="002B152A" w:rsidP="002B152A">
      <w:pPr>
        <w:rPr>
          <w:rFonts w:hint="eastAsia"/>
        </w:rPr>
      </w:pPr>
      <w:r>
        <w:rPr>
          <w:rFonts w:hint="eastAsia"/>
        </w:rPr>
        <w:t>2024 年成为长上下文应用的里程碑年份：Gemini 1.5 Pro 实现 1M token 上下文，Claude 3 达到 200K，开源社区如 Llama 3 与 Qwen2.5 系列亦普遍推进至 128K 至 1M 级别。</w:t>
      </w:r>
    </w:p>
    <w:p w14:paraId="2C29F535" w14:textId="77777777" w:rsidR="002B152A" w:rsidRPr="00D0013B" w:rsidRDefault="002B152A" w:rsidP="002B152A">
      <w:pPr>
        <w:pStyle w:val="4"/>
        <w:rPr>
          <w:rFonts w:hint="eastAsia"/>
        </w:rPr>
      </w:pPr>
      <w:r>
        <w:rPr>
          <w:rFonts w:hint="eastAsia"/>
        </w:rPr>
        <w:lastRenderedPageBreak/>
        <w:t>七、多模态统一：从文本模型到世界模型（2023–2025）</w:t>
      </w:r>
    </w:p>
    <w:p w14:paraId="60B0B769" w14:textId="77777777" w:rsidR="002B152A" w:rsidRDefault="002B152A" w:rsidP="002B152A">
      <w:pPr>
        <w:rPr>
          <w:rFonts w:hint="eastAsia"/>
        </w:rPr>
      </w:pPr>
      <w:r>
        <w:rPr>
          <w:rFonts w:hint="eastAsia"/>
        </w:rPr>
        <w:t>Transformer 的通用性使其迅速超越自然语言处理领域，成为多模态大一统建模的骨架架构。</w:t>
      </w:r>
    </w:p>
    <w:p w14:paraId="76792A15" w14:textId="77777777" w:rsidR="002B152A" w:rsidRDefault="002B152A" w:rsidP="002B152A">
      <w:pPr>
        <w:rPr>
          <w:rFonts w:hint="eastAsia"/>
        </w:rPr>
      </w:pPr>
    </w:p>
    <w:p w14:paraId="215059E6" w14:textId="77777777" w:rsidR="002B152A" w:rsidRDefault="002B152A" w:rsidP="002B152A">
      <w:pPr>
        <w:rPr>
          <w:rFonts w:hint="eastAsia"/>
        </w:rPr>
      </w:pPr>
      <w:r>
        <w:rPr>
          <w:rFonts w:hint="eastAsia"/>
        </w:rPr>
        <w:t>在视觉领域，Vision Transformer（ViT）将图像切分为固定大小的 Patch 并作为 token 序列输入，证明了 Transformer 在图像识别任务上的有效性。CLIP 与 ALIGN 通过双塔对比学习架构实现了图像与文本表征的统一对齐。在生成领域，扩散模型（Diffusion Model）的噪声预测网络逐渐从 U-Net 转向 Transformer 骨架，DiT（Diffusion Transformer）的出现尤为关键，它验证了 Transformer 在生成任务中的普适性。Sora 在此基础上进一步引入时空联合注意力机制，将视频帧作为时空 token 处理，实现了对物理世界动态的初步模拟。</w:t>
      </w:r>
    </w:p>
    <w:p w14:paraId="2295802F" w14:textId="77777777" w:rsidR="002B152A" w:rsidRDefault="002B152A" w:rsidP="002B152A">
      <w:pPr>
        <w:pStyle w:val="4"/>
        <w:rPr>
          <w:rFonts w:hint="eastAsia"/>
        </w:rPr>
      </w:pPr>
      <w:r>
        <w:rPr>
          <w:rFonts w:hint="eastAsia"/>
        </w:rPr>
        <w:t>八、后 Transformer 探索：状态空间模型与混合架构（2023–2025）</w:t>
      </w:r>
    </w:p>
    <w:p w14:paraId="5C634451" w14:textId="77777777" w:rsidR="002B152A" w:rsidRDefault="002B152A" w:rsidP="002B152A">
      <w:pPr>
        <w:rPr>
          <w:rFonts w:hint="eastAsia"/>
        </w:rPr>
      </w:pPr>
      <w:r>
        <w:rPr>
          <w:rFonts w:hint="eastAsia"/>
        </w:rPr>
        <w:t>尽管 Transformer 保持主流地位，但其平方级复杂度催生了替代架构的持续探索。Mamba（2023）基于状态空间模型（State Space Model, SSM），通过选择性状态压缩机制编码历史信息，将序列建模复杂度降至线性级别，在长文档、DNA 序列与音频处理等特定场景下效率显著优于标准 Transformer。后续 Mamba-2 与 Jamba 引入结构化矩阵与混合注意力层，试图在计算效率与表达能力之间取得平衡。RWKV 与 RetNet 则通过线性注意力或衰减机制保留部分全局感知能力，同时回归循环结构的常数级内存占用特征。</w:t>
      </w:r>
    </w:p>
    <w:p w14:paraId="6740CEEF" w14:textId="77777777" w:rsidR="002B152A" w:rsidRDefault="002B152A" w:rsidP="002B152A">
      <w:pPr>
        <w:rPr>
          <w:rFonts w:hint="eastAsia"/>
        </w:rPr>
      </w:pPr>
      <w:r>
        <w:rPr>
          <w:rFonts w:hint="eastAsia"/>
        </w:rPr>
        <w:t>当前行业共识倾向于混合架构路线：在局部上下文采用 SSM 或线性注意力降低开销，在全局聚合阶段保留标准注意力机制，而非完全替代 Transformer。这一选择主要受限于硬件生态（CUDA Kernel 优化）、训练框架成熟度及 Scaling 经验的积累。</w:t>
      </w:r>
    </w:p>
    <w:p w14:paraId="3C4F9C2A" w14:textId="77777777" w:rsidR="002B152A" w:rsidRDefault="002B152A" w:rsidP="002B152A">
      <w:pPr>
        <w:pStyle w:val="4"/>
        <w:rPr>
          <w:rFonts w:hint="eastAsia"/>
        </w:rPr>
      </w:pPr>
      <w:r>
        <w:rPr>
          <w:rFonts w:hint="eastAsia"/>
        </w:rPr>
        <w:t>九、推理范式转移：从训练时规模到测试时计算（2024–2026）</w:t>
      </w:r>
    </w:p>
    <w:p w14:paraId="5526BBF7" w14:textId="77777777" w:rsidR="002B152A" w:rsidRDefault="002B152A" w:rsidP="002B152A">
      <w:pPr>
        <w:rPr>
          <w:rFonts w:hint="eastAsia"/>
        </w:rPr>
      </w:pPr>
      <w:r>
        <w:rPr>
          <w:rFonts w:hint="eastAsia"/>
        </w:rPr>
        <w:t>2024 年后，Transformer 的发展重心从"训练更大模型"转向"在推理阶段赋予模型更多计算资源"。</w:t>
      </w:r>
    </w:p>
    <w:p w14:paraId="4A05E239" w14:textId="77777777" w:rsidR="002B152A" w:rsidRDefault="002B152A" w:rsidP="002B152A">
      <w:pPr>
        <w:rPr>
          <w:rFonts w:hint="eastAsia"/>
        </w:rPr>
      </w:pPr>
      <w:r>
        <w:rPr>
          <w:rFonts w:hint="eastAsia"/>
        </w:rPr>
        <w:t>思维链（Chain-of-Thought, CoT）提示技术通过强制模型输出中间推理步骤，显著提升了复杂任务的求解准确率。在此基础上，OpenAI o1/o3 系列与 DeepSeek-R1（2025 年 1 月）代表了推理模型的成熟形态。这类模型通过强化学习训练生成更长的内部思考链，自发涌现出反思、验证与回溯等行为模式。</w:t>
      </w:r>
    </w:p>
    <w:p w14:paraId="5EC48956" w14:textId="77777777" w:rsidR="002B152A" w:rsidRDefault="002B152A" w:rsidP="002B152A">
      <w:pPr>
        <w:rPr>
          <w:rFonts w:hint="eastAsia"/>
        </w:rPr>
      </w:pPr>
      <w:r>
        <w:rPr>
          <w:rFonts w:hint="eastAsia"/>
        </w:rPr>
        <w:t>DeepSeek-R1 尤为值得关注：其采用 GRPO（Group Relative Policy Optimization）简化版强化学习算法，以极低的训练成本达到与 o1 相当的推理性能，直接引发了全球</w:t>
      </w:r>
      <w:r>
        <w:rPr>
          <w:rFonts w:hint="eastAsia"/>
        </w:rPr>
        <w:lastRenderedPageBreak/>
        <w:t>推理算力需求的井喷式增长。与此同时，测试时计算扩展（Test-time Compute Scaling）通过增加推理阶段的采样步数、验证轮次或蒙特卡洛树搜索（MCTS），以时间换准确率，成为提升模型能力的新维度。</w:t>
      </w:r>
    </w:p>
    <w:p w14:paraId="34D57FE9" w14:textId="77777777" w:rsidR="002B152A" w:rsidRDefault="002B152A" w:rsidP="002B152A">
      <w:pPr>
        <w:pStyle w:val="4"/>
        <w:rPr>
          <w:rFonts w:hint="eastAsia"/>
        </w:rPr>
      </w:pPr>
      <w:r>
        <w:rPr>
          <w:rFonts w:hint="eastAsia"/>
        </w:rPr>
        <w:t>十、当前前沿：Agent 架构、混合专家与端侧部署（2025–2026）</w:t>
      </w:r>
    </w:p>
    <w:p w14:paraId="7D98D50C" w14:textId="77777777" w:rsidR="002B152A" w:rsidRDefault="002B152A" w:rsidP="002B152A">
      <w:pPr>
        <w:rPr>
          <w:rFonts w:hint="eastAsia"/>
        </w:rPr>
      </w:pPr>
      <w:r>
        <w:rPr>
          <w:rFonts w:hint="eastAsia"/>
        </w:rPr>
        <w:t>Transformer 的当代应用已远超对话机器人范畴，向三个方向深度延伸。</w:t>
      </w:r>
    </w:p>
    <w:p w14:paraId="6B323188" w14:textId="77777777" w:rsidR="002B152A" w:rsidRDefault="002B152A" w:rsidP="002B152A">
      <w:pPr>
        <w:rPr>
          <w:rFonts w:hint="eastAsia"/>
        </w:rPr>
      </w:pPr>
      <w:r>
        <w:rPr>
          <w:rFonts w:hint="eastAsia"/>
        </w:rPr>
        <w:t>第一，Agent 架构。当前的前沿系统由基础模型、工具调用接口（如 MCP 协议）、外部记忆模块与规划循环共同构成，使模型能够执行多步骤自主任务，如 OpenClaw 与 Manus 等系统所展示的能力。</w:t>
      </w:r>
    </w:p>
    <w:p w14:paraId="7FA31820" w14:textId="77777777" w:rsidR="002B152A" w:rsidRDefault="002B152A" w:rsidP="002B152A">
      <w:pPr>
        <w:rPr>
          <w:rFonts w:hint="eastAsia"/>
        </w:rPr>
      </w:pPr>
      <w:r>
        <w:rPr>
          <w:rFonts w:hint="eastAsia"/>
        </w:rPr>
        <w:t>第二，混合专家模型（Mixture of Experts, MoE）。通过稀疏激活机制，模型在每次前向传播中仅调用部分参数子集，以三分之一的算力消耗达到同等性能水平。DeepSeek-V3、Mixtral 与 Qwen3 等主流模型已广泛采用该架构。</w:t>
      </w:r>
    </w:p>
    <w:p w14:paraId="2EE18F38" w14:textId="77777777" w:rsidR="002B152A" w:rsidRDefault="002B152A" w:rsidP="002B152A">
      <w:pPr>
        <w:rPr>
          <w:rFonts w:hint="eastAsia"/>
        </w:rPr>
      </w:pPr>
      <w:r>
        <w:rPr>
          <w:rFonts w:hint="eastAsia"/>
        </w:rPr>
        <w:t>第三，端侧与本地推理。通过模型量化、剪枝与蒸馏等压缩技术，结合 NPU 专用芯片，使数十亿至数百亿参数规模的模型能够在消费级设备上运行，手机端部署 7B 至 70B 参数模型已成为常态。</w:t>
      </w:r>
    </w:p>
    <w:p w14:paraId="1E401A1B" w14:textId="77777777" w:rsidR="002B152A" w:rsidRDefault="002B152A" w:rsidP="002B152A">
      <w:pPr>
        <w:rPr>
          <w:rFonts w:hint="eastAsia"/>
        </w:rPr>
      </w:pPr>
      <w:r>
        <w:rPr>
          <w:rFonts w:hint="eastAsia"/>
        </w:rPr>
        <w:t>在物理 AI 领域，Transformer 开始直接处理传感器 token 流并预测物理世界状态，应用于端到端自动驾驶（如 Tesla FSD V12）与机器人策略生成。配套基础设施层面，产业重心从训练集群转向推理集群，推动 1.6T 与 3.2T 光模块、CPO（共封装光学）与液冷散热等技术的迭代。</w:t>
      </w:r>
    </w:p>
    <w:p w14:paraId="1C365195" w14:textId="77777777" w:rsidR="002B152A" w:rsidRDefault="002B152A" w:rsidP="002B152A">
      <w:pPr>
        <w:rPr>
          <w:rFonts w:hint="eastAsia"/>
        </w:rPr>
      </w:pPr>
      <w:r>
        <w:rPr>
          <w:rFonts w:hint="eastAsia"/>
        </w:rPr>
        <w:t>Transformer 的发展可概括为三次范式跃迁。第一次为结构跃迁（2017），以注意力机制取代循环结构，解决了并行计算与长距离依赖问题。第二次为规模跃迁（2020–2023），通过算力、数据与参数规模的同步扩张催生涌现能力，并经对齐技术转化为可产品化的对话系统。第三次为范式跃迁（2024–2026），发展重心从训练时参数规模转向测试时计算扩展，模型形态从文本生成工具演进为具备推理、规划与工具调用能力的通用智能基础设施。</w:t>
      </w:r>
    </w:p>
    <w:p w14:paraId="6AE47773" w14:textId="77777777" w:rsidR="002B152A" w:rsidRPr="00C958CC" w:rsidRDefault="002B152A" w:rsidP="002B152A">
      <w:pPr>
        <w:rPr>
          <w:rFonts w:hint="eastAsia"/>
        </w:rPr>
      </w:pPr>
      <w:r>
        <w:rPr>
          <w:rFonts w:hint="eastAsia"/>
        </w:rPr>
        <w:t>当前 Transformer 已不仅是自然语言处理的算法创新，而是通用人工智能的默认技术底座。后续竞争的核心不在于是否采用 Transformer，而在于如何以更低能耗、更长记忆窗口与更强推理能力，使其可靠地连接并作用于物理世界。</w:t>
      </w:r>
    </w:p>
    <w:p w14:paraId="207BF132" w14:textId="77777777" w:rsidR="002B152A" w:rsidRPr="002B152A" w:rsidRDefault="002B152A" w:rsidP="002B152A">
      <w:pPr>
        <w:rPr>
          <w:rFonts w:hint="eastAsia"/>
        </w:rPr>
      </w:pPr>
    </w:p>
    <w:sectPr w:rsidR="002B152A" w:rsidRPr="002B152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张曦瑾" w:date="2026-04-28T16:43:00Z" w:initials="ZX">
    <w:p w14:paraId="24DED4B4" w14:textId="77777777" w:rsidR="006E3EE6" w:rsidRDefault="006E3EE6" w:rsidP="006E3EE6">
      <w:pPr>
        <w:pStyle w:val="af8"/>
        <w:rPr>
          <w:rFonts w:hint="eastAsia"/>
        </w:rPr>
      </w:pPr>
      <w:r>
        <w:rPr>
          <w:rStyle w:val="af7"/>
          <w:rFonts w:hint="eastAsia"/>
        </w:rPr>
        <w:annotationRef/>
      </w:r>
      <w:r>
        <w:rPr>
          <w:rFonts w:hint="eastAsia"/>
        </w:rPr>
        <w:t>这里还可以加点国外案例</w:t>
      </w:r>
    </w:p>
  </w:comment>
  <w:comment w:id="1" w:author="张曦瑾" w:date="2026-04-28T16:33:00Z" w:initials="ZX">
    <w:p w14:paraId="565C81E6" w14:textId="77777777" w:rsidR="00387C17" w:rsidRDefault="00387C17" w:rsidP="001C0E59">
      <w:pPr>
        <w:pStyle w:val="af8"/>
        <w:rPr>
          <w:rFonts w:hint="eastAsia"/>
        </w:rPr>
      </w:pPr>
      <w:r>
        <w:rPr>
          <w:rStyle w:val="af7"/>
          <w:rFonts w:hint="eastAsia"/>
        </w:rPr>
        <w:annotationRef/>
      </w:r>
      <w:r>
        <w:rPr>
          <w:rFonts w:hint="eastAsia"/>
        </w:rPr>
        <w:t>一会下去看一眼智谱数据到底是什么情况</w:t>
      </w:r>
    </w:p>
  </w:comment>
  <w:comment w:id="2" w:author="张曦瑾" w:date="2026-04-28T17:07:00Z" w:initials="ZX">
    <w:p w14:paraId="1CBE37AA" w14:textId="77777777" w:rsidR="00303327" w:rsidRDefault="00303327" w:rsidP="00303327">
      <w:pPr>
        <w:pStyle w:val="af8"/>
        <w:rPr>
          <w:rFonts w:hint="eastAsia"/>
        </w:rPr>
      </w:pPr>
      <w:r>
        <w:rPr>
          <w:rStyle w:val="af7"/>
          <w:rFonts w:hint="eastAsia"/>
        </w:rPr>
        <w:annotationRef/>
      </w:r>
      <w:r>
        <w:rPr>
          <w:rFonts w:hint="eastAsia"/>
        </w:rPr>
        <w:t>待验证</w:t>
      </w:r>
    </w:p>
  </w:comment>
  <w:comment w:id="3" w:author="Zijun Zhou" w:date="2026-04-28T21:40:00Z" w:initials="ZZ">
    <w:p w14:paraId="7170B04B" w14:textId="77777777" w:rsidR="007C2934" w:rsidRDefault="007C2934">
      <w:pPr>
        <w:pStyle w:val="af8"/>
        <w:rPr>
          <w:rFonts w:hint="eastAsia"/>
        </w:rPr>
      </w:pPr>
      <w:r>
        <w:rPr>
          <w:rStyle w:val="af7"/>
          <w:rFonts w:hint="eastAsia"/>
        </w:rPr>
        <w:annotationRef/>
      </w:r>
      <w:r>
        <w:rPr>
          <w:rFonts w:hint="eastAsia"/>
        </w:rPr>
        <w:t>数据老了</w:t>
      </w:r>
    </w:p>
    <w:p w14:paraId="6D5E14B5" w14:textId="3B3368F8" w:rsidR="007C2934" w:rsidRDefault="007C2934">
      <w:pPr>
        <w:pStyle w:val="af8"/>
        <w:rPr>
          <w:rFonts w:hint="eastAsia"/>
        </w:rPr>
      </w:pPr>
    </w:p>
  </w:comment>
  <w:comment w:id="4" w:author="Zijun Zhou" w:date="2026-04-28T21:41:00Z" w:initials="ZZ">
    <w:p w14:paraId="01AB99A4" w14:textId="2F31DB9B" w:rsidR="007C2934" w:rsidRDefault="007C2934">
      <w:pPr>
        <w:pStyle w:val="af8"/>
        <w:rPr>
          <w:rFonts w:hint="eastAsia"/>
        </w:rPr>
      </w:pPr>
      <w:r>
        <w:rPr>
          <w:rStyle w:val="af7"/>
          <w:rFonts w:hint="eastAsia"/>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DED4B4" w15:done="0"/>
  <w15:commentEx w15:paraId="565C81E6" w15:done="0"/>
  <w15:commentEx w15:paraId="1CBE37AA" w15:done="0"/>
  <w15:commentEx w15:paraId="6D5E14B5" w15:done="0"/>
  <w15:commentEx w15:paraId="01AB99A4" w15:paraIdParent="6D5E14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3365DD" w16cex:dateUtc="2026-04-28T08:43:00Z"/>
  <w16cex:commentExtensible w16cex:durableId="249EA294" w16cex:dateUtc="2026-04-28T08:33:00Z"/>
  <w16cex:commentExtensible w16cex:durableId="77E019AE" w16cex:dateUtc="2026-04-28T09:07:00Z"/>
  <w16cex:commentExtensible w16cex:durableId="30D3A9D6" w16cex:dateUtc="2026-04-28T13:40:00Z"/>
  <w16cex:commentExtensible w16cex:durableId="7CFE5F4E" w16cex:dateUtc="2026-04-28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DED4B4" w16cid:durableId="183365DD"/>
  <w16cid:commentId w16cid:paraId="565C81E6" w16cid:durableId="249EA294"/>
  <w16cid:commentId w16cid:paraId="1CBE37AA" w16cid:durableId="77E019AE"/>
  <w16cid:commentId w16cid:paraId="6D5E14B5" w16cid:durableId="30D3A9D6"/>
  <w16cid:commentId w16cid:paraId="01AB99A4" w16cid:durableId="7CFE5F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97947" w14:textId="77777777" w:rsidR="00D03CF3" w:rsidRDefault="00D03CF3" w:rsidP="00ED5BD8">
      <w:pPr>
        <w:spacing w:after="0" w:line="240" w:lineRule="auto"/>
        <w:rPr>
          <w:rFonts w:hint="eastAsia"/>
        </w:rPr>
      </w:pPr>
      <w:r>
        <w:separator/>
      </w:r>
    </w:p>
  </w:endnote>
  <w:endnote w:type="continuationSeparator" w:id="0">
    <w:p w14:paraId="66884A7C" w14:textId="77777777" w:rsidR="00D03CF3" w:rsidRDefault="00D03CF3" w:rsidP="00ED5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32CAB" w14:textId="77777777" w:rsidR="00D03CF3" w:rsidRDefault="00D03CF3" w:rsidP="00ED5BD8">
      <w:pPr>
        <w:spacing w:after="0" w:line="240" w:lineRule="auto"/>
        <w:rPr>
          <w:rFonts w:hint="eastAsia"/>
        </w:rPr>
      </w:pPr>
      <w:r>
        <w:separator/>
      </w:r>
    </w:p>
  </w:footnote>
  <w:footnote w:type="continuationSeparator" w:id="0">
    <w:p w14:paraId="7285978E" w14:textId="77777777" w:rsidR="00D03CF3" w:rsidRDefault="00D03CF3" w:rsidP="00ED5B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35F"/>
    <w:multiLevelType w:val="multilevel"/>
    <w:tmpl w:val="A20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699F"/>
    <w:multiLevelType w:val="hybridMultilevel"/>
    <w:tmpl w:val="8CAAFF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6323A4C"/>
    <w:multiLevelType w:val="hybridMultilevel"/>
    <w:tmpl w:val="78C812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BC9332D"/>
    <w:multiLevelType w:val="multilevel"/>
    <w:tmpl w:val="E57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5624A"/>
    <w:multiLevelType w:val="hybridMultilevel"/>
    <w:tmpl w:val="FB22F9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0764B47"/>
    <w:multiLevelType w:val="hybridMultilevel"/>
    <w:tmpl w:val="646AAA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31F3355"/>
    <w:multiLevelType w:val="multilevel"/>
    <w:tmpl w:val="FE4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50EB8"/>
    <w:multiLevelType w:val="hybridMultilevel"/>
    <w:tmpl w:val="B3A8BA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6814EE4"/>
    <w:multiLevelType w:val="hybridMultilevel"/>
    <w:tmpl w:val="B13AB2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8F034AC"/>
    <w:multiLevelType w:val="multilevel"/>
    <w:tmpl w:val="F15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D326D"/>
    <w:multiLevelType w:val="hybridMultilevel"/>
    <w:tmpl w:val="919A55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A492ED9"/>
    <w:multiLevelType w:val="hybridMultilevel"/>
    <w:tmpl w:val="D986759A"/>
    <w:lvl w:ilvl="0" w:tplc="BF26C0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0916724">
    <w:abstractNumId w:val="3"/>
  </w:num>
  <w:num w:numId="2" w16cid:durableId="1276331340">
    <w:abstractNumId w:val="9"/>
  </w:num>
  <w:num w:numId="3" w16cid:durableId="1749885008">
    <w:abstractNumId w:val="6"/>
  </w:num>
  <w:num w:numId="4" w16cid:durableId="1451164397">
    <w:abstractNumId w:val="0"/>
  </w:num>
  <w:num w:numId="5" w16cid:durableId="805704556">
    <w:abstractNumId w:val="7"/>
  </w:num>
  <w:num w:numId="6" w16cid:durableId="1243754326">
    <w:abstractNumId w:val="5"/>
  </w:num>
  <w:num w:numId="7" w16cid:durableId="631129675">
    <w:abstractNumId w:val="11"/>
  </w:num>
  <w:num w:numId="8" w16cid:durableId="1571427239">
    <w:abstractNumId w:val="4"/>
  </w:num>
  <w:num w:numId="9" w16cid:durableId="972246471">
    <w:abstractNumId w:val="1"/>
  </w:num>
  <w:num w:numId="10" w16cid:durableId="216018807">
    <w:abstractNumId w:val="2"/>
  </w:num>
  <w:num w:numId="11" w16cid:durableId="41171317">
    <w:abstractNumId w:val="10"/>
  </w:num>
  <w:num w:numId="12" w16cid:durableId="187920222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曦瑾">
    <w15:presenceInfo w15:providerId="None" w15:userId="张曦瑾"/>
  </w15:person>
  <w15:person w15:author="Zijun Zhou">
    <w15:presenceInfo w15:providerId="Windows Live" w15:userId="f34a30730b722e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7F"/>
    <w:rsid w:val="00000867"/>
    <w:rsid w:val="00024FDB"/>
    <w:rsid w:val="00025672"/>
    <w:rsid w:val="000271F1"/>
    <w:rsid w:val="0003199B"/>
    <w:rsid w:val="00043F4A"/>
    <w:rsid w:val="00051E29"/>
    <w:rsid w:val="00056BAE"/>
    <w:rsid w:val="000604DE"/>
    <w:rsid w:val="00095A8E"/>
    <w:rsid w:val="000A0741"/>
    <w:rsid w:val="000A5EFB"/>
    <w:rsid w:val="000B1790"/>
    <w:rsid w:val="000B5933"/>
    <w:rsid w:val="000C7B8B"/>
    <w:rsid w:val="000E1CBC"/>
    <w:rsid w:val="000E3FAC"/>
    <w:rsid w:val="000F03F7"/>
    <w:rsid w:val="001205E7"/>
    <w:rsid w:val="00123A11"/>
    <w:rsid w:val="00123EB4"/>
    <w:rsid w:val="00125EBC"/>
    <w:rsid w:val="00135835"/>
    <w:rsid w:val="001455D4"/>
    <w:rsid w:val="001506AE"/>
    <w:rsid w:val="0015187D"/>
    <w:rsid w:val="00152E11"/>
    <w:rsid w:val="001530C3"/>
    <w:rsid w:val="001577D2"/>
    <w:rsid w:val="001630F9"/>
    <w:rsid w:val="001650E9"/>
    <w:rsid w:val="001668B0"/>
    <w:rsid w:val="00186848"/>
    <w:rsid w:val="00191FB0"/>
    <w:rsid w:val="001C0665"/>
    <w:rsid w:val="001C0E59"/>
    <w:rsid w:val="001C7828"/>
    <w:rsid w:val="001E5969"/>
    <w:rsid w:val="001F2331"/>
    <w:rsid w:val="001F5B5D"/>
    <w:rsid w:val="00200C80"/>
    <w:rsid w:val="00201B38"/>
    <w:rsid w:val="00202714"/>
    <w:rsid w:val="0020273E"/>
    <w:rsid w:val="00226F19"/>
    <w:rsid w:val="00230CC8"/>
    <w:rsid w:val="002576D6"/>
    <w:rsid w:val="00270210"/>
    <w:rsid w:val="00281984"/>
    <w:rsid w:val="00283F56"/>
    <w:rsid w:val="00284EEB"/>
    <w:rsid w:val="00285142"/>
    <w:rsid w:val="00285D82"/>
    <w:rsid w:val="00295861"/>
    <w:rsid w:val="002A6C7F"/>
    <w:rsid w:val="002A7ABA"/>
    <w:rsid w:val="002B152A"/>
    <w:rsid w:val="002B7155"/>
    <w:rsid w:val="002D2712"/>
    <w:rsid w:val="002D42B4"/>
    <w:rsid w:val="002E2ADA"/>
    <w:rsid w:val="00302DA0"/>
    <w:rsid w:val="00303327"/>
    <w:rsid w:val="00305D10"/>
    <w:rsid w:val="0032078D"/>
    <w:rsid w:val="00321AA2"/>
    <w:rsid w:val="00323214"/>
    <w:rsid w:val="0032378F"/>
    <w:rsid w:val="0032523A"/>
    <w:rsid w:val="0033367F"/>
    <w:rsid w:val="00334673"/>
    <w:rsid w:val="003518D6"/>
    <w:rsid w:val="00352BE2"/>
    <w:rsid w:val="0035324D"/>
    <w:rsid w:val="00355EB6"/>
    <w:rsid w:val="0036035B"/>
    <w:rsid w:val="00374E1B"/>
    <w:rsid w:val="00382874"/>
    <w:rsid w:val="00387C17"/>
    <w:rsid w:val="00392096"/>
    <w:rsid w:val="00394936"/>
    <w:rsid w:val="003A6B8F"/>
    <w:rsid w:val="003C28D7"/>
    <w:rsid w:val="003C3D71"/>
    <w:rsid w:val="003C612B"/>
    <w:rsid w:val="003D13CA"/>
    <w:rsid w:val="003E3D4A"/>
    <w:rsid w:val="003F6332"/>
    <w:rsid w:val="00411C12"/>
    <w:rsid w:val="0041670E"/>
    <w:rsid w:val="00431645"/>
    <w:rsid w:val="004476CF"/>
    <w:rsid w:val="004745AC"/>
    <w:rsid w:val="0049155E"/>
    <w:rsid w:val="004919A6"/>
    <w:rsid w:val="00497691"/>
    <w:rsid w:val="004B23DD"/>
    <w:rsid w:val="004C0C4B"/>
    <w:rsid w:val="004D35EB"/>
    <w:rsid w:val="004E0DBF"/>
    <w:rsid w:val="004E197F"/>
    <w:rsid w:val="004E2B3F"/>
    <w:rsid w:val="004E59A8"/>
    <w:rsid w:val="004E7111"/>
    <w:rsid w:val="004F5379"/>
    <w:rsid w:val="004F7E65"/>
    <w:rsid w:val="005021C0"/>
    <w:rsid w:val="00502A8D"/>
    <w:rsid w:val="00507D96"/>
    <w:rsid w:val="005207AD"/>
    <w:rsid w:val="00522A5F"/>
    <w:rsid w:val="0054546B"/>
    <w:rsid w:val="0054710A"/>
    <w:rsid w:val="0056114B"/>
    <w:rsid w:val="0056725F"/>
    <w:rsid w:val="00575254"/>
    <w:rsid w:val="00580D7A"/>
    <w:rsid w:val="00583DC5"/>
    <w:rsid w:val="005852F8"/>
    <w:rsid w:val="005870B1"/>
    <w:rsid w:val="00595591"/>
    <w:rsid w:val="005B66B5"/>
    <w:rsid w:val="005C20A7"/>
    <w:rsid w:val="005C37A9"/>
    <w:rsid w:val="005C5417"/>
    <w:rsid w:val="005C7CF0"/>
    <w:rsid w:val="005C7F4D"/>
    <w:rsid w:val="005F537F"/>
    <w:rsid w:val="005F60E0"/>
    <w:rsid w:val="006077D9"/>
    <w:rsid w:val="0061323D"/>
    <w:rsid w:val="00616B09"/>
    <w:rsid w:val="00621C0E"/>
    <w:rsid w:val="00640657"/>
    <w:rsid w:val="00640E09"/>
    <w:rsid w:val="006458B1"/>
    <w:rsid w:val="00670567"/>
    <w:rsid w:val="00676291"/>
    <w:rsid w:val="00695D4E"/>
    <w:rsid w:val="00697D7C"/>
    <w:rsid w:val="006B17D5"/>
    <w:rsid w:val="006C08FF"/>
    <w:rsid w:val="006C2E81"/>
    <w:rsid w:val="006D3DF1"/>
    <w:rsid w:val="006D7A4C"/>
    <w:rsid w:val="006E3EE6"/>
    <w:rsid w:val="006E47D3"/>
    <w:rsid w:val="006F0C67"/>
    <w:rsid w:val="006F19A7"/>
    <w:rsid w:val="007017EE"/>
    <w:rsid w:val="0070608D"/>
    <w:rsid w:val="007066EE"/>
    <w:rsid w:val="00706CB6"/>
    <w:rsid w:val="00715D18"/>
    <w:rsid w:val="00717324"/>
    <w:rsid w:val="007331D0"/>
    <w:rsid w:val="007433F7"/>
    <w:rsid w:val="007437A2"/>
    <w:rsid w:val="007470EE"/>
    <w:rsid w:val="007529B1"/>
    <w:rsid w:val="007677E5"/>
    <w:rsid w:val="00772A2F"/>
    <w:rsid w:val="00786349"/>
    <w:rsid w:val="007877C6"/>
    <w:rsid w:val="00787DD9"/>
    <w:rsid w:val="007A5695"/>
    <w:rsid w:val="007A6F08"/>
    <w:rsid w:val="007B42F1"/>
    <w:rsid w:val="007B672F"/>
    <w:rsid w:val="007C2934"/>
    <w:rsid w:val="007C4D23"/>
    <w:rsid w:val="007C59C6"/>
    <w:rsid w:val="007C5F09"/>
    <w:rsid w:val="007D0D0D"/>
    <w:rsid w:val="007D73ED"/>
    <w:rsid w:val="007E3166"/>
    <w:rsid w:val="007F032A"/>
    <w:rsid w:val="007F6AB9"/>
    <w:rsid w:val="00804767"/>
    <w:rsid w:val="00805DE6"/>
    <w:rsid w:val="00810AB6"/>
    <w:rsid w:val="008323C7"/>
    <w:rsid w:val="00834FE0"/>
    <w:rsid w:val="0084086B"/>
    <w:rsid w:val="00852E95"/>
    <w:rsid w:val="0086181D"/>
    <w:rsid w:val="00864335"/>
    <w:rsid w:val="008675F9"/>
    <w:rsid w:val="00875908"/>
    <w:rsid w:val="008A0847"/>
    <w:rsid w:val="008B727D"/>
    <w:rsid w:val="008C0151"/>
    <w:rsid w:val="008C081F"/>
    <w:rsid w:val="008C2032"/>
    <w:rsid w:val="008C207A"/>
    <w:rsid w:val="008C6C65"/>
    <w:rsid w:val="008D0FD5"/>
    <w:rsid w:val="008D416D"/>
    <w:rsid w:val="008D5F95"/>
    <w:rsid w:val="008D64F8"/>
    <w:rsid w:val="008D6F95"/>
    <w:rsid w:val="008F37E4"/>
    <w:rsid w:val="008F797B"/>
    <w:rsid w:val="00903F5B"/>
    <w:rsid w:val="00914D6F"/>
    <w:rsid w:val="00916A2C"/>
    <w:rsid w:val="0094272B"/>
    <w:rsid w:val="009457F5"/>
    <w:rsid w:val="0094627B"/>
    <w:rsid w:val="00952AAA"/>
    <w:rsid w:val="009609A0"/>
    <w:rsid w:val="00963E1A"/>
    <w:rsid w:val="00976034"/>
    <w:rsid w:val="0098006A"/>
    <w:rsid w:val="009824F1"/>
    <w:rsid w:val="009876D7"/>
    <w:rsid w:val="009933AA"/>
    <w:rsid w:val="009A28A3"/>
    <w:rsid w:val="009B0704"/>
    <w:rsid w:val="009B4A67"/>
    <w:rsid w:val="009C17F5"/>
    <w:rsid w:val="009C2B03"/>
    <w:rsid w:val="009C2CE9"/>
    <w:rsid w:val="009C4AF1"/>
    <w:rsid w:val="009C74CB"/>
    <w:rsid w:val="009D545F"/>
    <w:rsid w:val="009E6ACD"/>
    <w:rsid w:val="009F0B3E"/>
    <w:rsid w:val="00A054F9"/>
    <w:rsid w:val="00A1131D"/>
    <w:rsid w:val="00A175AC"/>
    <w:rsid w:val="00A2761B"/>
    <w:rsid w:val="00A27798"/>
    <w:rsid w:val="00A33732"/>
    <w:rsid w:val="00A410A7"/>
    <w:rsid w:val="00A42112"/>
    <w:rsid w:val="00A441D0"/>
    <w:rsid w:val="00A45C46"/>
    <w:rsid w:val="00A670C9"/>
    <w:rsid w:val="00A803F3"/>
    <w:rsid w:val="00A91E4D"/>
    <w:rsid w:val="00A973A2"/>
    <w:rsid w:val="00AB1CFB"/>
    <w:rsid w:val="00AB21D0"/>
    <w:rsid w:val="00AB7A53"/>
    <w:rsid w:val="00AC20A2"/>
    <w:rsid w:val="00AC2670"/>
    <w:rsid w:val="00AC39E4"/>
    <w:rsid w:val="00AC637A"/>
    <w:rsid w:val="00AD5736"/>
    <w:rsid w:val="00AD5738"/>
    <w:rsid w:val="00AD7077"/>
    <w:rsid w:val="00AE61E5"/>
    <w:rsid w:val="00B01A0A"/>
    <w:rsid w:val="00B04FB9"/>
    <w:rsid w:val="00B104F9"/>
    <w:rsid w:val="00B123F7"/>
    <w:rsid w:val="00B23F1D"/>
    <w:rsid w:val="00B2437D"/>
    <w:rsid w:val="00B358D3"/>
    <w:rsid w:val="00B417DC"/>
    <w:rsid w:val="00B471C8"/>
    <w:rsid w:val="00B4783E"/>
    <w:rsid w:val="00B47AA5"/>
    <w:rsid w:val="00B54E1E"/>
    <w:rsid w:val="00B563C8"/>
    <w:rsid w:val="00B660DB"/>
    <w:rsid w:val="00B81B1A"/>
    <w:rsid w:val="00B9788C"/>
    <w:rsid w:val="00BA3AFA"/>
    <w:rsid w:val="00BA5607"/>
    <w:rsid w:val="00BB477E"/>
    <w:rsid w:val="00BC107F"/>
    <w:rsid w:val="00BD1B9F"/>
    <w:rsid w:val="00BD42A1"/>
    <w:rsid w:val="00BE5EC9"/>
    <w:rsid w:val="00BF1C60"/>
    <w:rsid w:val="00BF2A01"/>
    <w:rsid w:val="00BF76FA"/>
    <w:rsid w:val="00C03062"/>
    <w:rsid w:val="00C04682"/>
    <w:rsid w:val="00C06109"/>
    <w:rsid w:val="00C10975"/>
    <w:rsid w:val="00C162B2"/>
    <w:rsid w:val="00C2236D"/>
    <w:rsid w:val="00C22F0C"/>
    <w:rsid w:val="00C27806"/>
    <w:rsid w:val="00C3234E"/>
    <w:rsid w:val="00C35FE9"/>
    <w:rsid w:val="00C363A7"/>
    <w:rsid w:val="00C42458"/>
    <w:rsid w:val="00C51BBE"/>
    <w:rsid w:val="00C546AE"/>
    <w:rsid w:val="00C7160C"/>
    <w:rsid w:val="00C756A5"/>
    <w:rsid w:val="00C958CC"/>
    <w:rsid w:val="00CB4E84"/>
    <w:rsid w:val="00CC04E8"/>
    <w:rsid w:val="00CD1D70"/>
    <w:rsid w:val="00CD79AB"/>
    <w:rsid w:val="00CE3A56"/>
    <w:rsid w:val="00CE7213"/>
    <w:rsid w:val="00CF0BD1"/>
    <w:rsid w:val="00CF1798"/>
    <w:rsid w:val="00CF4646"/>
    <w:rsid w:val="00CF5688"/>
    <w:rsid w:val="00D0013B"/>
    <w:rsid w:val="00D030E0"/>
    <w:rsid w:val="00D03CF3"/>
    <w:rsid w:val="00D1336A"/>
    <w:rsid w:val="00D22639"/>
    <w:rsid w:val="00D4361A"/>
    <w:rsid w:val="00D4502A"/>
    <w:rsid w:val="00D579FB"/>
    <w:rsid w:val="00D6092B"/>
    <w:rsid w:val="00D616A2"/>
    <w:rsid w:val="00D6582C"/>
    <w:rsid w:val="00D711DA"/>
    <w:rsid w:val="00D72D41"/>
    <w:rsid w:val="00D72F3D"/>
    <w:rsid w:val="00D7544C"/>
    <w:rsid w:val="00D7733C"/>
    <w:rsid w:val="00D807B9"/>
    <w:rsid w:val="00D85A4D"/>
    <w:rsid w:val="00D941B8"/>
    <w:rsid w:val="00D968D6"/>
    <w:rsid w:val="00DB5844"/>
    <w:rsid w:val="00DC3515"/>
    <w:rsid w:val="00DC38C7"/>
    <w:rsid w:val="00DD3AD6"/>
    <w:rsid w:val="00DD5A00"/>
    <w:rsid w:val="00DE1C29"/>
    <w:rsid w:val="00E0149C"/>
    <w:rsid w:val="00E15B8F"/>
    <w:rsid w:val="00E20C5A"/>
    <w:rsid w:val="00E2535F"/>
    <w:rsid w:val="00E26856"/>
    <w:rsid w:val="00E33054"/>
    <w:rsid w:val="00E33CB9"/>
    <w:rsid w:val="00E376BD"/>
    <w:rsid w:val="00E46432"/>
    <w:rsid w:val="00E5628C"/>
    <w:rsid w:val="00E7542E"/>
    <w:rsid w:val="00E77E17"/>
    <w:rsid w:val="00EA085A"/>
    <w:rsid w:val="00EB1A24"/>
    <w:rsid w:val="00EB261C"/>
    <w:rsid w:val="00EB5EA6"/>
    <w:rsid w:val="00EC0A6E"/>
    <w:rsid w:val="00EC4FE3"/>
    <w:rsid w:val="00ED3460"/>
    <w:rsid w:val="00ED491D"/>
    <w:rsid w:val="00ED5BD8"/>
    <w:rsid w:val="00ED7D24"/>
    <w:rsid w:val="00EE4224"/>
    <w:rsid w:val="00EE4919"/>
    <w:rsid w:val="00EE7B17"/>
    <w:rsid w:val="00EF2F07"/>
    <w:rsid w:val="00F02816"/>
    <w:rsid w:val="00F03515"/>
    <w:rsid w:val="00F06280"/>
    <w:rsid w:val="00F06836"/>
    <w:rsid w:val="00F07763"/>
    <w:rsid w:val="00F078F9"/>
    <w:rsid w:val="00F14E9B"/>
    <w:rsid w:val="00F23CFB"/>
    <w:rsid w:val="00F3119A"/>
    <w:rsid w:val="00F405DF"/>
    <w:rsid w:val="00F414BF"/>
    <w:rsid w:val="00F4738C"/>
    <w:rsid w:val="00F47F2E"/>
    <w:rsid w:val="00F52A30"/>
    <w:rsid w:val="00F5688C"/>
    <w:rsid w:val="00F632BD"/>
    <w:rsid w:val="00F637A7"/>
    <w:rsid w:val="00F65D79"/>
    <w:rsid w:val="00F72912"/>
    <w:rsid w:val="00F7444A"/>
    <w:rsid w:val="00F818CD"/>
    <w:rsid w:val="00F8698F"/>
    <w:rsid w:val="00FA494B"/>
    <w:rsid w:val="00FB2BF4"/>
    <w:rsid w:val="00FB78B9"/>
    <w:rsid w:val="00FC5A3D"/>
    <w:rsid w:val="00FD2C9B"/>
    <w:rsid w:val="00FE11C3"/>
    <w:rsid w:val="00FF5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E24B2"/>
  <w15:chartTrackingRefBased/>
  <w15:docId w15:val="{6D8F260F-F15E-41A1-9F35-212C16AA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C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A6C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A6C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A6C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2A6C7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6C7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6C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C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C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A6C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A6C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A6C7F"/>
    <w:rPr>
      <w:rFonts w:cstheme="majorBidi"/>
      <w:color w:val="2F5496" w:themeColor="accent1" w:themeShade="BF"/>
      <w:sz w:val="28"/>
      <w:szCs w:val="28"/>
    </w:rPr>
  </w:style>
  <w:style w:type="character" w:customStyle="1" w:styleId="50">
    <w:name w:val="标题 5 字符"/>
    <w:basedOn w:val="a0"/>
    <w:link w:val="5"/>
    <w:uiPriority w:val="9"/>
    <w:rsid w:val="002A6C7F"/>
    <w:rPr>
      <w:rFonts w:cstheme="majorBidi"/>
      <w:color w:val="2F5496" w:themeColor="accent1" w:themeShade="BF"/>
      <w:sz w:val="24"/>
    </w:rPr>
  </w:style>
  <w:style w:type="character" w:customStyle="1" w:styleId="60">
    <w:name w:val="标题 6 字符"/>
    <w:basedOn w:val="a0"/>
    <w:link w:val="6"/>
    <w:uiPriority w:val="9"/>
    <w:semiHidden/>
    <w:rsid w:val="002A6C7F"/>
    <w:rPr>
      <w:rFonts w:cstheme="majorBidi"/>
      <w:b/>
      <w:bCs/>
      <w:color w:val="2F5496" w:themeColor="accent1" w:themeShade="BF"/>
    </w:rPr>
  </w:style>
  <w:style w:type="character" w:customStyle="1" w:styleId="70">
    <w:name w:val="标题 7 字符"/>
    <w:basedOn w:val="a0"/>
    <w:link w:val="7"/>
    <w:uiPriority w:val="9"/>
    <w:semiHidden/>
    <w:rsid w:val="002A6C7F"/>
    <w:rPr>
      <w:rFonts w:cstheme="majorBidi"/>
      <w:b/>
      <w:bCs/>
      <w:color w:val="595959" w:themeColor="text1" w:themeTint="A6"/>
    </w:rPr>
  </w:style>
  <w:style w:type="character" w:customStyle="1" w:styleId="80">
    <w:name w:val="标题 8 字符"/>
    <w:basedOn w:val="a0"/>
    <w:link w:val="8"/>
    <w:uiPriority w:val="9"/>
    <w:semiHidden/>
    <w:rsid w:val="002A6C7F"/>
    <w:rPr>
      <w:rFonts w:cstheme="majorBidi"/>
      <w:color w:val="595959" w:themeColor="text1" w:themeTint="A6"/>
    </w:rPr>
  </w:style>
  <w:style w:type="character" w:customStyle="1" w:styleId="90">
    <w:name w:val="标题 9 字符"/>
    <w:basedOn w:val="a0"/>
    <w:link w:val="9"/>
    <w:uiPriority w:val="9"/>
    <w:semiHidden/>
    <w:rsid w:val="002A6C7F"/>
    <w:rPr>
      <w:rFonts w:eastAsiaTheme="majorEastAsia" w:cstheme="majorBidi"/>
      <w:color w:val="595959" w:themeColor="text1" w:themeTint="A6"/>
    </w:rPr>
  </w:style>
  <w:style w:type="paragraph" w:styleId="a3">
    <w:name w:val="Title"/>
    <w:basedOn w:val="a"/>
    <w:next w:val="a"/>
    <w:link w:val="a4"/>
    <w:uiPriority w:val="10"/>
    <w:qFormat/>
    <w:rsid w:val="002A6C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C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C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C7F"/>
    <w:pPr>
      <w:spacing w:before="160"/>
      <w:jc w:val="center"/>
    </w:pPr>
    <w:rPr>
      <w:i/>
      <w:iCs/>
      <w:color w:val="404040" w:themeColor="text1" w:themeTint="BF"/>
    </w:rPr>
  </w:style>
  <w:style w:type="character" w:customStyle="1" w:styleId="a8">
    <w:name w:val="引用 字符"/>
    <w:basedOn w:val="a0"/>
    <w:link w:val="a7"/>
    <w:uiPriority w:val="29"/>
    <w:rsid w:val="002A6C7F"/>
    <w:rPr>
      <w:i/>
      <w:iCs/>
      <w:color w:val="404040" w:themeColor="text1" w:themeTint="BF"/>
    </w:rPr>
  </w:style>
  <w:style w:type="paragraph" w:styleId="a9">
    <w:name w:val="List Paragraph"/>
    <w:basedOn w:val="a"/>
    <w:uiPriority w:val="34"/>
    <w:qFormat/>
    <w:rsid w:val="002A6C7F"/>
    <w:pPr>
      <w:ind w:left="720"/>
      <w:contextualSpacing/>
    </w:pPr>
  </w:style>
  <w:style w:type="character" w:styleId="aa">
    <w:name w:val="Intense Emphasis"/>
    <w:basedOn w:val="a0"/>
    <w:uiPriority w:val="21"/>
    <w:qFormat/>
    <w:rsid w:val="002A6C7F"/>
    <w:rPr>
      <w:i/>
      <w:iCs/>
      <w:color w:val="2F5496" w:themeColor="accent1" w:themeShade="BF"/>
    </w:rPr>
  </w:style>
  <w:style w:type="paragraph" w:styleId="ab">
    <w:name w:val="Intense Quote"/>
    <w:basedOn w:val="a"/>
    <w:next w:val="a"/>
    <w:link w:val="ac"/>
    <w:uiPriority w:val="30"/>
    <w:qFormat/>
    <w:rsid w:val="002A6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6C7F"/>
    <w:rPr>
      <w:i/>
      <w:iCs/>
      <w:color w:val="2F5496" w:themeColor="accent1" w:themeShade="BF"/>
    </w:rPr>
  </w:style>
  <w:style w:type="character" w:styleId="ad">
    <w:name w:val="Intense Reference"/>
    <w:basedOn w:val="a0"/>
    <w:uiPriority w:val="32"/>
    <w:qFormat/>
    <w:rsid w:val="002A6C7F"/>
    <w:rPr>
      <w:b/>
      <w:bCs/>
      <w:smallCaps/>
      <w:color w:val="2F5496" w:themeColor="accent1" w:themeShade="BF"/>
      <w:spacing w:val="5"/>
    </w:rPr>
  </w:style>
  <w:style w:type="paragraph" w:styleId="ae">
    <w:name w:val="header"/>
    <w:basedOn w:val="a"/>
    <w:link w:val="af"/>
    <w:uiPriority w:val="99"/>
    <w:unhideWhenUsed/>
    <w:rsid w:val="00ED5BD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D5BD8"/>
    <w:rPr>
      <w:sz w:val="18"/>
      <w:szCs w:val="18"/>
    </w:rPr>
  </w:style>
  <w:style w:type="paragraph" w:styleId="af0">
    <w:name w:val="footer"/>
    <w:basedOn w:val="a"/>
    <w:link w:val="af1"/>
    <w:uiPriority w:val="99"/>
    <w:unhideWhenUsed/>
    <w:rsid w:val="00ED5BD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D5BD8"/>
    <w:rPr>
      <w:sz w:val="18"/>
      <w:szCs w:val="18"/>
    </w:rPr>
  </w:style>
  <w:style w:type="table" w:styleId="af2">
    <w:name w:val="Table Grid"/>
    <w:basedOn w:val="a1"/>
    <w:uiPriority w:val="39"/>
    <w:rsid w:val="00834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B4783E"/>
    <w:rPr>
      <w:color w:val="0563C1" w:themeColor="hyperlink"/>
      <w:u w:val="single"/>
    </w:rPr>
  </w:style>
  <w:style w:type="character" w:styleId="af4">
    <w:name w:val="Unresolved Mention"/>
    <w:basedOn w:val="a0"/>
    <w:uiPriority w:val="99"/>
    <w:semiHidden/>
    <w:unhideWhenUsed/>
    <w:rsid w:val="00B4783E"/>
    <w:rPr>
      <w:color w:val="605E5C"/>
      <w:shd w:val="clear" w:color="auto" w:fill="E1DFDD"/>
    </w:rPr>
  </w:style>
  <w:style w:type="paragraph" w:styleId="af5">
    <w:name w:val="Body Text"/>
    <w:basedOn w:val="a"/>
    <w:link w:val="af6"/>
    <w:qFormat/>
    <w:rsid w:val="00200C80"/>
    <w:pPr>
      <w:widowControl/>
      <w:spacing w:after="0" w:line="360" w:lineRule="auto"/>
    </w:pPr>
    <w:rPr>
      <w:rFonts w:ascii="Arial" w:eastAsia="宋体" w:hAnsi="Arial" w:cs="Times New Roman (正文 CS 字体)"/>
      <w:kern w:val="0"/>
      <w:sz w:val="24"/>
      <w:lang w:eastAsia="en-US"/>
      <w14:ligatures w14:val="none"/>
    </w:rPr>
  </w:style>
  <w:style w:type="character" w:customStyle="1" w:styleId="af6">
    <w:name w:val="正文文本 字符"/>
    <w:basedOn w:val="a0"/>
    <w:link w:val="af5"/>
    <w:rsid w:val="00200C80"/>
    <w:rPr>
      <w:rFonts w:ascii="Arial" w:eastAsia="宋体" w:hAnsi="Arial" w:cs="Times New Roman (正文 CS 字体)"/>
      <w:kern w:val="0"/>
      <w:sz w:val="24"/>
      <w:lang w:eastAsia="en-US"/>
      <w14:ligatures w14:val="none"/>
    </w:rPr>
  </w:style>
  <w:style w:type="paragraph" w:customStyle="1" w:styleId="FirstParagraph">
    <w:name w:val="First Paragraph"/>
    <w:basedOn w:val="af5"/>
    <w:next w:val="af5"/>
    <w:qFormat/>
    <w:rsid w:val="00200C80"/>
  </w:style>
  <w:style w:type="paragraph" w:customStyle="1" w:styleId="Compact">
    <w:name w:val="Compact"/>
    <w:basedOn w:val="af5"/>
    <w:qFormat/>
    <w:rsid w:val="008D64F8"/>
    <w:pPr>
      <w:spacing w:before="36" w:after="36"/>
    </w:pPr>
  </w:style>
  <w:style w:type="table" w:customStyle="1" w:styleId="Table">
    <w:name w:val="Table"/>
    <w:semiHidden/>
    <w:unhideWhenUsed/>
    <w:qFormat/>
    <w:rsid w:val="008D64F8"/>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f7">
    <w:name w:val="annotation reference"/>
    <w:basedOn w:val="a0"/>
    <w:uiPriority w:val="99"/>
    <w:semiHidden/>
    <w:unhideWhenUsed/>
    <w:rsid w:val="001C0E59"/>
    <w:rPr>
      <w:sz w:val="21"/>
      <w:szCs w:val="21"/>
    </w:rPr>
  </w:style>
  <w:style w:type="paragraph" w:styleId="af8">
    <w:name w:val="annotation text"/>
    <w:basedOn w:val="a"/>
    <w:link w:val="af9"/>
    <w:uiPriority w:val="99"/>
    <w:unhideWhenUsed/>
    <w:rsid w:val="001C0E59"/>
  </w:style>
  <w:style w:type="character" w:customStyle="1" w:styleId="af9">
    <w:name w:val="批注文字 字符"/>
    <w:basedOn w:val="a0"/>
    <w:link w:val="af8"/>
    <w:uiPriority w:val="99"/>
    <w:rsid w:val="001C0E59"/>
  </w:style>
  <w:style w:type="paragraph" w:styleId="afa">
    <w:name w:val="annotation subject"/>
    <w:basedOn w:val="af8"/>
    <w:next w:val="af8"/>
    <w:link w:val="afb"/>
    <w:uiPriority w:val="99"/>
    <w:semiHidden/>
    <w:unhideWhenUsed/>
    <w:rsid w:val="001C0E59"/>
    <w:rPr>
      <w:b/>
      <w:bCs/>
    </w:rPr>
  </w:style>
  <w:style w:type="character" w:customStyle="1" w:styleId="afb">
    <w:name w:val="批注主题 字符"/>
    <w:basedOn w:val="af9"/>
    <w:link w:val="afa"/>
    <w:uiPriority w:val="99"/>
    <w:semiHidden/>
    <w:rsid w:val="001C0E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png"/><Relationship Id="rId17" Type="http://schemas.microsoft.com/office/2018/08/relationships/commentsExtensible" Target="commentsExtensible.xml"/><Relationship Id="rId25" Type="http://schemas.microsoft.com/office/2011/relationships/people" Target="peop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12.png"/><Relationship Id="rId10" Type="http://schemas.openxmlformats.org/officeDocument/2006/relationships/image" Target="media/image4.png"/><Relationship Id="rId19" Type="http://schemas.openxmlformats.org/officeDocument/2006/relationships/hyperlink" Target="https://xueqiu.com/1107854878/33081541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43</Pages>
  <Words>5862</Words>
  <Characters>33419</Characters>
  <Application>Microsoft Office Word</Application>
  <DocSecurity>0</DocSecurity>
  <Lines>278</Lines>
  <Paragraphs>78</Paragraphs>
  <ScaleCrop>false</ScaleCrop>
  <Company/>
  <LinksUpToDate>false</LinksUpToDate>
  <CharactersWithSpaces>39203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19</cp:revision>
  <dcterms:created xsi:type="dcterms:W3CDTF">2026-04-28T12:43:00Z</dcterms:created>
  <dcterms:modified xsi:type="dcterms:W3CDTF">2026-04-29T03:27:00Z</dcterms:modified>
</cp:coreProperties>
</file>