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3CDB" w14:textId="77777777" w:rsidR="00AB57B6" w:rsidRDefault="00AB57B6" w:rsidP="00AB57B6">
      <w:pPr>
        <w:pStyle w:val="4"/>
        <w:rPr>
          <w:rFonts w:hint="eastAsia"/>
        </w:rPr>
      </w:pPr>
      <w:r>
        <w:rPr>
          <w:rFonts w:hint="eastAsia"/>
        </w:rPr>
        <w:t>生产设备</w:t>
      </w:r>
    </w:p>
    <w:p w14:paraId="0CDB578E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生产设备环节，</w:t>
      </w:r>
      <w:r w:rsidRPr="00AD72DF">
        <w:rPr>
          <w:rFonts w:ascii="楷体" w:eastAsia="楷体" w:hAnsi="楷体"/>
          <w:sz w:val="28"/>
          <w:szCs w:val="28"/>
        </w:rPr>
        <w:t>光模块生产包括光器件生产和光模块封装，光器件生产和光模块封装过程存在相似工艺，工艺的核心环节主要包括贴片、引线键合、光学耦合、组装、测试等。</w:t>
      </w:r>
    </w:p>
    <w:p w14:paraId="55BAACB0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AD72DF">
        <w:rPr>
          <w:rFonts w:ascii="楷体" w:eastAsia="楷体" w:hAnsi="楷体" w:hint="eastAsia"/>
          <w:sz w:val="28"/>
          <w:szCs w:val="28"/>
        </w:rPr>
        <w:t>（1）贴片：将光电器件如激光器驱动芯片、激光器芯片、探测器芯片等各类光电芯片固定在载体上（如 PCB、陶瓷基板等）的过程。该工艺过程对应设备为</w:t>
      </w:r>
      <w:proofErr w:type="gramStart"/>
      <w:r w:rsidRPr="00AD72DF">
        <w:rPr>
          <w:rFonts w:ascii="楷体" w:eastAsia="楷体" w:hAnsi="楷体" w:hint="eastAsia"/>
          <w:sz w:val="28"/>
          <w:szCs w:val="28"/>
        </w:rPr>
        <w:t>共晶机和固晶</w:t>
      </w:r>
      <w:proofErr w:type="gramEnd"/>
      <w:r w:rsidRPr="00AD72DF">
        <w:rPr>
          <w:rFonts w:ascii="楷体" w:eastAsia="楷体" w:hAnsi="楷体" w:hint="eastAsia"/>
          <w:sz w:val="28"/>
          <w:szCs w:val="28"/>
        </w:rPr>
        <w:t>机。</w:t>
      </w:r>
    </w:p>
    <w:p w14:paraId="757FCE6D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C8151F">
        <w:rPr>
          <w:rFonts w:ascii="楷体" w:eastAsia="楷体" w:hAnsi="楷体"/>
          <w:sz w:val="28"/>
          <w:szCs w:val="28"/>
        </w:rPr>
        <w:t>根据工艺不同，贴片工艺可分为共晶和</w:t>
      </w:r>
      <w:proofErr w:type="gramStart"/>
      <w:r w:rsidRPr="00C8151F">
        <w:rPr>
          <w:rFonts w:ascii="楷体" w:eastAsia="楷体" w:hAnsi="楷体"/>
          <w:sz w:val="28"/>
          <w:szCs w:val="28"/>
        </w:rPr>
        <w:t>固晶</w:t>
      </w:r>
      <w:proofErr w:type="gramEnd"/>
      <w:r w:rsidRPr="00C8151F">
        <w:rPr>
          <w:rFonts w:ascii="楷体" w:eastAsia="楷体" w:hAnsi="楷体"/>
          <w:sz w:val="28"/>
          <w:szCs w:val="28"/>
        </w:rPr>
        <w:t>。①</w:t>
      </w:r>
      <w:proofErr w:type="gramStart"/>
      <w:r w:rsidRPr="00C8151F">
        <w:rPr>
          <w:rFonts w:ascii="楷体" w:eastAsia="楷体" w:hAnsi="楷体"/>
          <w:sz w:val="28"/>
          <w:szCs w:val="28"/>
        </w:rPr>
        <w:t>共晶贴片</w:t>
      </w:r>
      <w:proofErr w:type="gramEnd"/>
      <w:r w:rsidRPr="00C8151F">
        <w:rPr>
          <w:rFonts w:ascii="楷体" w:eastAsia="楷体" w:hAnsi="楷体"/>
          <w:sz w:val="28"/>
          <w:szCs w:val="28"/>
        </w:rPr>
        <w:t>：利用低熔点合金材料（如</w:t>
      </w:r>
      <w:proofErr w:type="spellStart"/>
      <w:r w:rsidRPr="00C8151F">
        <w:rPr>
          <w:rFonts w:ascii="楷体" w:eastAsia="楷体" w:hAnsi="楷体"/>
          <w:sz w:val="28"/>
          <w:szCs w:val="28"/>
        </w:rPr>
        <w:t>AuSn</w:t>
      </w:r>
      <w:proofErr w:type="spellEnd"/>
      <w:r w:rsidRPr="00C8151F">
        <w:rPr>
          <w:rFonts w:ascii="楷体" w:eastAsia="楷体" w:hAnsi="楷体"/>
          <w:sz w:val="28"/>
          <w:szCs w:val="28"/>
        </w:rPr>
        <w:t xml:space="preserve"> 焊料），在高温加压下使芯片与基板形成共晶结合，适用于激光器、功率器件等高散热、高可靠场景需求的封装，工艺复杂，需精准温控和压力控制。②</w:t>
      </w:r>
      <w:proofErr w:type="gramStart"/>
      <w:r w:rsidRPr="00C8151F">
        <w:rPr>
          <w:rFonts w:ascii="楷体" w:eastAsia="楷体" w:hAnsi="楷体"/>
          <w:sz w:val="28"/>
          <w:szCs w:val="28"/>
        </w:rPr>
        <w:t>固晶贴</w:t>
      </w:r>
      <w:proofErr w:type="gramEnd"/>
      <w:r w:rsidRPr="00C8151F">
        <w:rPr>
          <w:rFonts w:ascii="楷体" w:eastAsia="楷体" w:hAnsi="楷体"/>
          <w:sz w:val="28"/>
          <w:szCs w:val="28"/>
        </w:rPr>
        <w:t>片：利用导电银胶在芯片底部和基板上进行粘接，使用范围广、效率高，适用于电芯片、PD 等大批量、常规场景的装贴。</w:t>
      </w:r>
    </w:p>
    <w:p w14:paraId="431F1A6B" w14:textId="77777777" w:rsidR="00AB57B6" w:rsidRPr="00C8151F" w:rsidRDefault="00AB57B6" w:rsidP="00AB57B6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  <w:r w:rsidRPr="00C8151F">
        <w:rPr>
          <w:rFonts w:ascii="楷体" w:eastAsia="楷体" w:hAnsi="楷体" w:hint="eastAsia"/>
          <w:sz w:val="21"/>
          <w:szCs w:val="21"/>
        </w:rPr>
        <w:t>图：贴片工艺示意图</w:t>
      </w:r>
    </w:p>
    <w:p w14:paraId="1B45473A" w14:textId="77777777" w:rsidR="00AB57B6" w:rsidRDefault="00AB57B6" w:rsidP="00AB57B6">
      <w:pPr>
        <w:rPr>
          <w:rFonts w:ascii="楷体" w:eastAsia="楷体" w:hAnsi="楷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6F4592F" wp14:editId="170E5DCF">
            <wp:extent cx="5274310" cy="1642110"/>
            <wp:effectExtent l="0" t="0" r="2540" b="0"/>
            <wp:docPr id="1075856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5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3311" w14:textId="77777777" w:rsidR="00AB57B6" w:rsidRPr="00C8151F" w:rsidRDefault="00AB57B6" w:rsidP="00AB57B6">
      <w:pPr>
        <w:rPr>
          <w:rFonts w:ascii="楷体" w:eastAsia="楷体" w:hAnsi="楷体" w:hint="eastAsia"/>
          <w:sz w:val="21"/>
          <w:szCs w:val="21"/>
        </w:rPr>
      </w:pPr>
      <w:r w:rsidRPr="00C8151F">
        <w:rPr>
          <w:rFonts w:ascii="楷体" w:eastAsia="楷体" w:hAnsi="楷体" w:hint="eastAsia"/>
          <w:sz w:val="21"/>
          <w:szCs w:val="21"/>
        </w:rPr>
        <w:t>数据来源：华经产业研究院，东吴证券</w:t>
      </w:r>
    </w:p>
    <w:p w14:paraId="2715F974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AD72DF">
        <w:rPr>
          <w:rFonts w:ascii="楷体" w:eastAsia="楷体" w:hAnsi="楷体" w:hint="eastAsia"/>
          <w:sz w:val="28"/>
          <w:szCs w:val="28"/>
        </w:rPr>
        <w:t>（2）引线键合：指使用细金属线，利用热、压力、超声波能量使金属引线与基板焊盘紧密焊合的技术，将芯片上的电极与基板或</w:t>
      </w:r>
      <w:r w:rsidRPr="00AD72DF">
        <w:rPr>
          <w:rFonts w:ascii="楷体" w:eastAsia="楷体" w:hAnsi="楷体" w:hint="eastAsia"/>
          <w:sz w:val="28"/>
          <w:szCs w:val="28"/>
        </w:rPr>
        <w:lastRenderedPageBreak/>
        <w:t>封装外壳上的电极连接起来，形成稳定的电气通路，确保光信号和电信号能够在芯片与外部电路之间有效传输。</w:t>
      </w:r>
    </w:p>
    <w:p w14:paraId="110FAEA9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E2133A">
        <w:rPr>
          <w:rFonts w:ascii="楷体" w:eastAsia="楷体" w:hAnsi="楷体" w:hint="eastAsia"/>
          <w:sz w:val="28"/>
          <w:szCs w:val="28"/>
        </w:rPr>
        <w:t>光模块引线键合需采用金丝引线，通过金属引线将芯片的压焊位连接至印制电路板的焊盘，形成可靠的电气键合。金线直径在所有材料中细化程度最优，能够实现更高引脚密度，提升芯片集成度。</w:t>
      </w:r>
      <w:r>
        <w:rPr>
          <w:rFonts w:ascii="楷体" w:eastAsia="楷体" w:hAnsi="楷体" w:hint="eastAsia"/>
          <w:sz w:val="28"/>
          <w:szCs w:val="28"/>
        </w:rPr>
        <w:t>且</w:t>
      </w:r>
      <w:r w:rsidRPr="00E2133A">
        <w:rPr>
          <w:rFonts w:ascii="楷体" w:eastAsia="楷体" w:hAnsi="楷体" w:hint="eastAsia"/>
          <w:sz w:val="28"/>
          <w:szCs w:val="28"/>
        </w:rPr>
        <w:t>黄金导电型更好，更适合光通信的高速信号，且光电芯片表面通常镀金，金-</w:t>
      </w:r>
      <w:proofErr w:type="gramStart"/>
      <w:r w:rsidRPr="00E2133A">
        <w:rPr>
          <w:rFonts w:ascii="楷体" w:eastAsia="楷体" w:hAnsi="楷体" w:hint="eastAsia"/>
          <w:sz w:val="28"/>
          <w:szCs w:val="28"/>
        </w:rPr>
        <w:t>金键合界面</w:t>
      </w:r>
      <w:proofErr w:type="gramEnd"/>
      <w:r w:rsidRPr="00E2133A">
        <w:rPr>
          <w:rFonts w:ascii="楷体" w:eastAsia="楷体" w:hAnsi="楷体" w:hint="eastAsia"/>
          <w:sz w:val="28"/>
          <w:szCs w:val="28"/>
        </w:rPr>
        <w:t>更加可靠。光</w:t>
      </w:r>
      <w:proofErr w:type="gramStart"/>
      <w:r w:rsidRPr="00E2133A">
        <w:rPr>
          <w:rFonts w:ascii="楷体" w:eastAsia="楷体" w:hAnsi="楷体" w:hint="eastAsia"/>
          <w:sz w:val="28"/>
          <w:szCs w:val="28"/>
        </w:rPr>
        <w:t>模块金线键</w:t>
      </w:r>
      <w:proofErr w:type="gramEnd"/>
      <w:r w:rsidRPr="00E2133A">
        <w:rPr>
          <w:rFonts w:ascii="楷体" w:eastAsia="楷体" w:hAnsi="楷体" w:hint="eastAsia"/>
          <w:sz w:val="28"/>
          <w:szCs w:val="28"/>
        </w:rPr>
        <w:t>合占比超95%，硅基</w:t>
      </w:r>
      <w:proofErr w:type="gramStart"/>
      <w:r w:rsidRPr="00E2133A">
        <w:rPr>
          <w:rFonts w:ascii="楷体" w:eastAsia="楷体" w:hAnsi="楷体" w:hint="eastAsia"/>
          <w:sz w:val="28"/>
          <w:szCs w:val="28"/>
        </w:rPr>
        <w:t>芯片键合则</w:t>
      </w:r>
      <w:proofErr w:type="gramEnd"/>
      <w:r w:rsidRPr="00E2133A">
        <w:rPr>
          <w:rFonts w:ascii="楷体" w:eastAsia="楷体" w:hAnsi="楷体" w:hint="eastAsia"/>
          <w:sz w:val="28"/>
          <w:szCs w:val="28"/>
        </w:rPr>
        <w:t>主要采用铜线（占比60%），功率器件则主要采用铝线键合。</w:t>
      </w:r>
    </w:p>
    <w:p w14:paraId="21AC42DE" w14:textId="77777777" w:rsidR="00AB57B6" w:rsidRPr="00A606D7" w:rsidRDefault="00AB57B6" w:rsidP="00AB57B6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  <w:r w:rsidRPr="00A606D7">
        <w:rPr>
          <w:rFonts w:ascii="楷体" w:eastAsia="楷体" w:hAnsi="楷体" w:hint="eastAsia"/>
          <w:sz w:val="21"/>
          <w:szCs w:val="21"/>
        </w:rPr>
        <w:t>图：光</w:t>
      </w:r>
      <w:proofErr w:type="gramStart"/>
      <w:r w:rsidRPr="00A606D7">
        <w:rPr>
          <w:rFonts w:ascii="楷体" w:eastAsia="楷体" w:hAnsi="楷体" w:hint="eastAsia"/>
          <w:sz w:val="21"/>
          <w:szCs w:val="21"/>
        </w:rPr>
        <w:t>模块键合环节</w:t>
      </w:r>
      <w:proofErr w:type="gramEnd"/>
      <w:r w:rsidRPr="00A606D7">
        <w:rPr>
          <w:rFonts w:ascii="楷体" w:eastAsia="楷体" w:hAnsi="楷体" w:hint="eastAsia"/>
          <w:sz w:val="21"/>
          <w:szCs w:val="21"/>
        </w:rPr>
        <w:t>示意及技术</w:t>
      </w:r>
    </w:p>
    <w:p w14:paraId="688DFE56" w14:textId="77777777" w:rsidR="00AB57B6" w:rsidRPr="00A606D7" w:rsidRDefault="00AB57B6" w:rsidP="00AB57B6">
      <w:pPr>
        <w:ind w:firstLineChars="200" w:firstLine="360"/>
        <w:rPr>
          <w:rFonts w:ascii="楷体" w:eastAsia="楷体" w:hAnsi="楷体" w:hint="eastAsia"/>
          <w:sz w:val="21"/>
          <w:szCs w:val="21"/>
        </w:rPr>
      </w:pPr>
      <w:r w:rsidRPr="00A606D7">
        <w:rPr>
          <w:noProof/>
          <w:sz w:val="18"/>
          <w:szCs w:val="20"/>
          <w14:ligatures w14:val="none"/>
        </w:rPr>
        <w:drawing>
          <wp:inline distT="0" distB="0" distL="0" distR="0" wp14:anchorId="1D3179E3" wp14:editId="0E1DA8F9">
            <wp:extent cx="5274310" cy="1592580"/>
            <wp:effectExtent l="0" t="0" r="2540" b="7620"/>
            <wp:docPr id="118424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48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1238" w14:textId="77777777" w:rsidR="00AB57B6" w:rsidRPr="00A606D7" w:rsidRDefault="00AB57B6" w:rsidP="00AB57B6">
      <w:pPr>
        <w:ind w:firstLineChars="200" w:firstLine="420"/>
        <w:rPr>
          <w:rFonts w:ascii="楷体" w:eastAsia="楷体" w:hAnsi="楷体" w:hint="eastAsia"/>
          <w:sz w:val="21"/>
          <w:szCs w:val="21"/>
        </w:rPr>
      </w:pPr>
      <w:r w:rsidRPr="00A606D7">
        <w:rPr>
          <w:rFonts w:ascii="楷体" w:eastAsia="楷体" w:hAnsi="楷体" w:hint="eastAsia"/>
          <w:sz w:val="21"/>
          <w:szCs w:val="21"/>
        </w:rPr>
        <w:t>数据来源：东吴证券</w:t>
      </w:r>
    </w:p>
    <w:p w14:paraId="35BEB42E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AD72DF">
        <w:rPr>
          <w:rFonts w:ascii="楷体" w:eastAsia="楷体" w:hAnsi="楷体" w:hint="eastAsia"/>
          <w:sz w:val="28"/>
          <w:szCs w:val="28"/>
        </w:rPr>
        <w:t>（3）光学耦合：将激光器芯片光源进行准直、聚焦后使其最大限度的进入到光纤中的过程。通过多自由度调节模组与检测组件搭建回路，通过调整光学器件的位置</w:t>
      </w:r>
      <w:proofErr w:type="gramStart"/>
      <w:r w:rsidRPr="00AD72DF">
        <w:rPr>
          <w:rFonts w:ascii="楷体" w:eastAsia="楷体" w:hAnsi="楷体" w:hint="eastAsia"/>
          <w:sz w:val="28"/>
          <w:szCs w:val="28"/>
        </w:rPr>
        <w:t>来使光</w:t>
      </w:r>
      <w:proofErr w:type="gramEnd"/>
      <w:r w:rsidRPr="00AD72DF">
        <w:rPr>
          <w:rFonts w:ascii="楷体" w:eastAsia="楷体" w:hAnsi="楷体" w:hint="eastAsia"/>
          <w:sz w:val="28"/>
          <w:szCs w:val="28"/>
        </w:rPr>
        <w:t>高效高质传输。该工艺过程对应设备为光耦合机。</w:t>
      </w:r>
    </w:p>
    <w:p w14:paraId="70130746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A7592A">
        <w:rPr>
          <w:rFonts w:ascii="楷体" w:eastAsia="楷体" w:hAnsi="楷体" w:hint="eastAsia"/>
          <w:sz w:val="28"/>
          <w:szCs w:val="28"/>
        </w:rPr>
        <w:t>光的传输特性决定了它对位置偏差极度敏感，对准要求极高。和电子贴片的焊盘对准不同，电子贴</w:t>
      </w:r>
      <w:proofErr w:type="gramStart"/>
      <w:r w:rsidRPr="00A7592A">
        <w:rPr>
          <w:rFonts w:ascii="楷体" w:eastAsia="楷体" w:hAnsi="楷体" w:hint="eastAsia"/>
          <w:sz w:val="28"/>
          <w:szCs w:val="28"/>
        </w:rPr>
        <w:t>片只要</w:t>
      </w:r>
      <w:proofErr w:type="gramEnd"/>
      <w:r w:rsidRPr="00A7592A">
        <w:rPr>
          <w:rFonts w:ascii="楷体" w:eastAsia="楷体" w:hAnsi="楷体" w:hint="eastAsia"/>
          <w:sz w:val="28"/>
          <w:szCs w:val="28"/>
        </w:rPr>
        <w:t>金属焊盘接触导通即</w:t>
      </w:r>
      <w:r w:rsidRPr="00A7592A">
        <w:rPr>
          <w:rFonts w:ascii="楷体" w:eastAsia="楷体" w:hAnsi="楷体" w:hint="eastAsia"/>
          <w:sz w:val="28"/>
          <w:szCs w:val="28"/>
        </w:rPr>
        <w:lastRenderedPageBreak/>
        <w:t>可，±20μm 都能正常工作，而单模光纤的芯径仅 9μm，</w:t>
      </w:r>
      <w:proofErr w:type="gramStart"/>
      <w:r w:rsidRPr="00A7592A">
        <w:rPr>
          <w:rFonts w:ascii="楷体" w:eastAsia="楷体" w:hAnsi="楷体" w:hint="eastAsia"/>
          <w:sz w:val="28"/>
          <w:szCs w:val="28"/>
        </w:rPr>
        <w:t>硅光波导</w:t>
      </w:r>
      <w:proofErr w:type="gramEnd"/>
      <w:r w:rsidRPr="00A7592A">
        <w:rPr>
          <w:rFonts w:ascii="楷体" w:eastAsia="楷体" w:hAnsi="楷体" w:hint="eastAsia"/>
          <w:sz w:val="28"/>
          <w:szCs w:val="28"/>
        </w:rPr>
        <w:t>的芯径只有几百nm，位置偏差超过 0.5μm，光功率损耗就会飙升 3dB（一半的光直接漏掉），只有精准对准让两个器件的</w:t>
      </w:r>
      <w:proofErr w:type="gramStart"/>
      <w:r w:rsidRPr="00A7592A">
        <w:rPr>
          <w:rFonts w:ascii="楷体" w:eastAsia="楷体" w:hAnsi="楷体" w:hint="eastAsia"/>
          <w:sz w:val="28"/>
          <w:szCs w:val="28"/>
        </w:rPr>
        <w:t>光模式</w:t>
      </w:r>
      <w:proofErr w:type="gramEnd"/>
      <w:r w:rsidRPr="00A7592A">
        <w:rPr>
          <w:rFonts w:ascii="楷体" w:eastAsia="楷体" w:hAnsi="楷体" w:hint="eastAsia"/>
          <w:sz w:val="28"/>
          <w:szCs w:val="28"/>
        </w:rPr>
        <w:t>完美匹配，才能保证光模块的发射 / 接收性能达标。</w:t>
      </w:r>
    </w:p>
    <w:p w14:paraId="250AFBF9" w14:textId="77777777" w:rsidR="00AB57B6" w:rsidRDefault="00AB57B6" w:rsidP="00AB57B6">
      <w:pPr>
        <w:jc w:val="center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图：耦合位置示意图</w:t>
      </w:r>
    </w:p>
    <w:p w14:paraId="31713688" w14:textId="77777777" w:rsidR="00AB57B6" w:rsidRPr="003D625D" w:rsidRDefault="00AB57B6" w:rsidP="00AB57B6">
      <w:pPr>
        <w:jc w:val="center"/>
        <w:rPr>
          <w:rFonts w:ascii="楷体" w:eastAsia="楷体" w:hAnsi="楷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2E81214" wp14:editId="3C0A56E4">
            <wp:extent cx="4019048" cy="3609524"/>
            <wp:effectExtent l="0" t="0" r="635" b="0"/>
            <wp:docPr id="1715730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C649" w14:textId="77777777" w:rsidR="00AB57B6" w:rsidRDefault="00AB57B6" w:rsidP="00AB57B6">
      <w:pPr>
        <w:jc w:val="center"/>
        <w:rPr>
          <w:rFonts w:ascii="楷体" w:eastAsia="楷体" w:hAnsi="楷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3B4498F" wp14:editId="6676DFE5">
            <wp:extent cx="5274310" cy="2199652"/>
            <wp:effectExtent l="0" t="0" r="2540" b="0"/>
            <wp:docPr id="354584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4982" name=""/>
                    <pic:cNvPicPr/>
                  </pic:nvPicPr>
                  <pic:blipFill rotWithShape="1">
                    <a:blip r:embed="rId9"/>
                    <a:srcRect t="13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4D848" w14:textId="77777777" w:rsidR="00AB57B6" w:rsidRPr="00D500FE" w:rsidRDefault="00AB57B6" w:rsidP="00AB57B6">
      <w:pPr>
        <w:rPr>
          <w:rFonts w:ascii="楷体" w:eastAsia="楷体" w:hAnsi="楷体" w:hint="eastAsia"/>
          <w:sz w:val="21"/>
          <w:szCs w:val="21"/>
        </w:rPr>
      </w:pPr>
      <w:r w:rsidRPr="00D500FE">
        <w:rPr>
          <w:rFonts w:ascii="楷体" w:eastAsia="楷体" w:hAnsi="楷体" w:hint="eastAsia"/>
          <w:sz w:val="21"/>
          <w:szCs w:val="21"/>
        </w:rPr>
        <w:t>数据来源：坤元财</w:t>
      </w:r>
      <w:proofErr w:type="gramStart"/>
      <w:r w:rsidRPr="00D500FE">
        <w:rPr>
          <w:rFonts w:ascii="楷体" w:eastAsia="楷体" w:hAnsi="楷体" w:hint="eastAsia"/>
          <w:sz w:val="21"/>
          <w:szCs w:val="21"/>
        </w:rPr>
        <w:t>研</w:t>
      </w:r>
      <w:proofErr w:type="gramEnd"/>
      <w:r w:rsidRPr="00D500FE">
        <w:rPr>
          <w:rFonts w:ascii="楷体" w:eastAsia="楷体" w:hAnsi="楷体" w:hint="eastAsia"/>
          <w:sz w:val="21"/>
          <w:szCs w:val="21"/>
        </w:rPr>
        <w:t>，东吴证券</w:t>
      </w:r>
    </w:p>
    <w:p w14:paraId="0A79FC01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E1355">
        <w:rPr>
          <w:rFonts w:ascii="楷体" w:eastAsia="楷体" w:hAnsi="楷体" w:hint="eastAsia"/>
          <w:sz w:val="28"/>
          <w:szCs w:val="28"/>
        </w:rPr>
        <w:lastRenderedPageBreak/>
        <w:t>耦合可以分为有源耦合和无源耦合。（1）有源耦合：又称为主动对准（Active Alignment），需要边</w:t>
      </w:r>
      <w:proofErr w:type="gramStart"/>
      <w:r w:rsidRPr="000E1355">
        <w:rPr>
          <w:rFonts w:ascii="楷体" w:eastAsia="楷体" w:hAnsi="楷体" w:hint="eastAsia"/>
          <w:sz w:val="28"/>
          <w:szCs w:val="28"/>
        </w:rPr>
        <w:t>发光边</w:t>
      </w:r>
      <w:proofErr w:type="gramEnd"/>
      <w:r w:rsidRPr="000E1355">
        <w:rPr>
          <w:rFonts w:ascii="楷体" w:eastAsia="楷体" w:hAnsi="楷体" w:hint="eastAsia"/>
          <w:sz w:val="28"/>
          <w:szCs w:val="28"/>
        </w:rPr>
        <w:t>调整，效率很低，设备、人工成本很高，适用于传统可插拔光模块；（2）无源耦合：被动对准（Passive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 w:rsidRPr="000E1355">
        <w:rPr>
          <w:rFonts w:ascii="楷体" w:eastAsia="楷体" w:hAnsi="楷体" w:hint="eastAsia"/>
          <w:sz w:val="28"/>
          <w:szCs w:val="28"/>
        </w:rPr>
        <w:t>Alignment），不靠实时寻光，全靠事前精度控制一次性对准，效率高且</w:t>
      </w:r>
      <w:proofErr w:type="gramStart"/>
      <w:r w:rsidRPr="000E1355">
        <w:rPr>
          <w:rFonts w:ascii="楷体" w:eastAsia="楷体" w:hAnsi="楷体" w:hint="eastAsia"/>
          <w:sz w:val="28"/>
          <w:szCs w:val="28"/>
        </w:rPr>
        <w:t>省设备</w:t>
      </w:r>
      <w:proofErr w:type="gramEnd"/>
      <w:r w:rsidRPr="000E1355">
        <w:rPr>
          <w:rFonts w:ascii="楷体" w:eastAsia="楷体" w:hAnsi="楷体" w:hint="eastAsia"/>
          <w:sz w:val="28"/>
          <w:szCs w:val="28"/>
        </w:rPr>
        <w:t>省人工，适用800G等高速光模块、CPO等。</w:t>
      </w:r>
    </w:p>
    <w:p w14:paraId="04C56E89" w14:textId="77777777" w:rsidR="00AB57B6" w:rsidRPr="00AA1D52" w:rsidRDefault="00AB57B6" w:rsidP="00AB57B6">
      <w:pPr>
        <w:jc w:val="center"/>
        <w:rPr>
          <w:rFonts w:ascii="楷体" w:eastAsia="楷体" w:hAnsi="楷体" w:hint="eastAsia"/>
          <w:sz w:val="21"/>
          <w:szCs w:val="21"/>
        </w:rPr>
      </w:pPr>
      <w:r w:rsidRPr="00AA1D52">
        <w:rPr>
          <w:rFonts w:ascii="楷体" w:eastAsia="楷体" w:hAnsi="楷体" w:hint="eastAsia"/>
          <w:sz w:val="21"/>
          <w:szCs w:val="21"/>
        </w:rPr>
        <w:t>图：有源/无源耦合对比</w:t>
      </w:r>
    </w:p>
    <w:p w14:paraId="252E2BC7" w14:textId="77777777" w:rsidR="00AB57B6" w:rsidRDefault="00AB57B6" w:rsidP="00AB57B6">
      <w:pPr>
        <w:rPr>
          <w:rFonts w:ascii="楷体" w:eastAsia="楷体" w:hAnsi="楷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9783239" wp14:editId="132BB357">
            <wp:extent cx="5274310" cy="2792730"/>
            <wp:effectExtent l="0" t="0" r="2540" b="7620"/>
            <wp:docPr id="273032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2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38FF" w14:textId="77777777" w:rsidR="00AB57B6" w:rsidRPr="00AA1D52" w:rsidRDefault="00AB57B6" w:rsidP="00AB57B6">
      <w:pPr>
        <w:rPr>
          <w:rFonts w:ascii="楷体" w:eastAsia="楷体" w:hAnsi="楷体" w:hint="eastAsia"/>
          <w:sz w:val="21"/>
          <w:szCs w:val="21"/>
        </w:rPr>
      </w:pPr>
      <w:r w:rsidRPr="00AA1D52">
        <w:rPr>
          <w:rFonts w:ascii="楷体" w:eastAsia="楷体" w:hAnsi="楷体" w:hint="eastAsia"/>
          <w:sz w:val="21"/>
          <w:szCs w:val="21"/>
        </w:rPr>
        <w:t>数据来源：东吴证券</w:t>
      </w:r>
    </w:p>
    <w:p w14:paraId="28618852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AD72DF">
        <w:rPr>
          <w:rFonts w:ascii="楷体" w:eastAsia="楷体" w:hAnsi="楷体" w:hint="eastAsia"/>
          <w:sz w:val="28"/>
          <w:szCs w:val="28"/>
        </w:rPr>
        <w:t>（</w:t>
      </w:r>
      <w:r>
        <w:rPr>
          <w:rFonts w:ascii="楷体" w:eastAsia="楷体" w:hAnsi="楷体" w:hint="eastAsia"/>
          <w:sz w:val="28"/>
          <w:szCs w:val="28"/>
        </w:rPr>
        <w:t>4</w:t>
      </w:r>
      <w:r w:rsidRPr="00AD72DF">
        <w:rPr>
          <w:rFonts w:ascii="楷体" w:eastAsia="楷体" w:hAnsi="楷体" w:hint="eastAsia"/>
          <w:sz w:val="28"/>
          <w:szCs w:val="28"/>
        </w:rPr>
        <w:t>）测试：包含老化测试和其他可靠性测试，通过加速老化或压力测试以及其他可靠性测试，识别和消除潜在的早期故障。该工艺过程对应设备为芯片老化测试设备、模块老化测试设备。</w:t>
      </w:r>
    </w:p>
    <w:p w14:paraId="40B78B07" w14:textId="77777777" w:rsidR="00AB57B6" w:rsidRDefault="00AB57B6" w:rsidP="00AB57B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CE649B">
        <w:rPr>
          <w:rFonts w:ascii="楷体" w:eastAsia="楷体" w:hAnsi="楷体" w:hint="eastAsia"/>
          <w:sz w:val="28"/>
          <w:szCs w:val="28"/>
        </w:rPr>
        <w:t>光模块测试与半导体测试不同，最大差异在于半导体是纯电学的测试，而光模块是光+电的测试。传统半导体测试（IC 芯片 / 功率器件）的核心</w:t>
      </w:r>
      <w:proofErr w:type="gramStart"/>
      <w:r w:rsidRPr="00CE649B">
        <w:rPr>
          <w:rFonts w:ascii="楷体" w:eastAsia="楷体" w:hAnsi="楷体" w:hint="eastAsia"/>
          <w:sz w:val="28"/>
          <w:szCs w:val="28"/>
        </w:rPr>
        <w:t>是纯电域内</w:t>
      </w:r>
      <w:proofErr w:type="gramEnd"/>
      <w:r w:rsidRPr="00CE649B">
        <w:rPr>
          <w:rFonts w:ascii="楷体" w:eastAsia="楷体" w:hAnsi="楷体" w:hint="eastAsia"/>
          <w:sz w:val="28"/>
          <w:szCs w:val="28"/>
        </w:rPr>
        <w:t>的电信号输入 - 输出特性验证，围绕电</w:t>
      </w:r>
      <w:r w:rsidRPr="00CE649B">
        <w:rPr>
          <w:rFonts w:ascii="楷体" w:eastAsia="楷体" w:hAnsi="楷体" w:hint="eastAsia"/>
          <w:sz w:val="28"/>
          <w:szCs w:val="28"/>
        </w:rPr>
        <w:lastRenderedPageBreak/>
        <w:t xml:space="preserve">信号展开；光模块测试的核心是电 - 光 - </w:t>
      </w:r>
      <w:proofErr w:type="gramStart"/>
      <w:r w:rsidRPr="00CE649B">
        <w:rPr>
          <w:rFonts w:ascii="楷体" w:eastAsia="楷体" w:hAnsi="楷体" w:hint="eastAsia"/>
          <w:sz w:val="28"/>
          <w:szCs w:val="28"/>
        </w:rPr>
        <w:t>电跨物理</w:t>
      </w:r>
      <w:proofErr w:type="gramEnd"/>
      <w:r w:rsidRPr="00CE649B">
        <w:rPr>
          <w:rFonts w:ascii="楷体" w:eastAsia="楷体" w:hAnsi="楷体" w:hint="eastAsia"/>
          <w:sz w:val="28"/>
          <w:szCs w:val="28"/>
        </w:rPr>
        <w:t>域的全链路闭环验证，同时覆盖高速电学、精密光学、光电转换效率、光信号完整性等，所有性能指标环环相扣，无法像半导体测试那样拆分独立验证。</w:t>
      </w:r>
    </w:p>
    <w:p w14:paraId="5C5D7231" w14:textId="77777777" w:rsidR="00AB57B6" w:rsidRPr="00CE649B" w:rsidRDefault="00AB57B6" w:rsidP="00AB57B6">
      <w:pPr>
        <w:jc w:val="center"/>
        <w:rPr>
          <w:rFonts w:ascii="楷体" w:eastAsia="楷体" w:hAnsi="楷体" w:hint="eastAsia"/>
          <w:sz w:val="21"/>
          <w:szCs w:val="21"/>
        </w:rPr>
      </w:pPr>
      <w:r w:rsidRPr="00CE649B">
        <w:rPr>
          <w:rFonts w:ascii="楷体" w:eastAsia="楷体" w:hAnsi="楷体" w:hint="eastAsia"/>
          <w:sz w:val="21"/>
          <w:szCs w:val="21"/>
        </w:rPr>
        <w:t>表：光模块与半导体测试差异</w:t>
      </w:r>
    </w:p>
    <w:p w14:paraId="07F2BC2A" w14:textId="77777777" w:rsidR="00AB57B6" w:rsidRDefault="00AB57B6" w:rsidP="00AB57B6">
      <w:pPr>
        <w:rPr>
          <w:rFonts w:ascii="楷体" w:eastAsia="楷体" w:hAnsi="楷体" w:hint="eastAsia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E8BC32F" wp14:editId="22CBACDB">
            <wp:extent cx="5274310" cy="2622550"/>
            <wp:effectExtent l="0" t="0" r="2540" b="6350"/>
            <wp:docPr id="740247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47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3C20" w14:textId="77777777" w:rsidR="00AB57B6" w:rsidRPr="00CE649B" w:rsidRDefault="00AB57B6" w:rsidP="00AB57B6">
      <w:pPr>
        <w:rPr>
          <w:rFonts w:ascii="楷体" w:eastAsia="楷体" w:hAnsi="楷体" w:hint="eastAsia"/>
          <w:sz w:val="21"/>
          <w:szCs w:val="21"/>
        </w:rPr>
      </w:pPr>
      <w:r w:rsidRPr="00CE649B">
        <w:rPr>
          <w:rFonts w:ascii="楷体" w:eastAsia="楷体" w:hAnsi="楷体" w:hint="eastAsia"/>
          <w:sz w:val="21"/>
          <w:szCs w:val="21"/>
        </w:rPr>
        <w:t>数据来源:东吴证券</w:t>
      </w:r>
    </w:p>
    <w:p w14:paraId="7F57380B" w14:textId="77777777" w:rsidR="00103F86" w:rsidRDefault="00103F86"/>
    <w:sectPr w:rsidR="00103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68C4" w14:textId="77777777" w:rsidR="00276DE5" w:rsidRDefault="00276DE5" w:rsidP="00AB57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3713CF" w14:textId="77777777" w:rsidR="00276DE5" w:rsidRDefault="00276DE5" w:rsidP="00AB57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EB8F0" w14:textId="77777777" w:rsidR="00276DE5" w:rsidRDefault="00276DE5" w:rsidP="00AB57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67B85B" w14:textId="77777777" w:rsidR="00276DE5" w:rsidRDefault="00276DE5" w:rsidP="00AB57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86"/>
    <w:rsid w:val="00103F86"/>
    <w:rsid w:val="00276DE5"/>
    <w:rsid w:val="00AB57B6"/>
    <w:rsid w:val="00E9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3159E0-8185-4190-B854-DF61EAF8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7B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3F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F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03F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F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F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F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F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F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F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3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03F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F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3F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F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F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F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F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F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F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F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F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3F8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57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57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57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57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2</cp:revision>
  <dcterms:created xsi:type="dcterms:W3CDTF">2026-06-15T07:29:00Z</dcterms:created>
  <dcterms:modified xsi:type="dcterms:W3CDTF">2026-06-15T07:29:00Z</dcterms:modified>
</cp:coreProperties>
</file>