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4B13" w14:textId="77777777" w:rsidR="006C3BDF" w:rsidRDefault="006C3BDF" w:rsidP="006C3BDF">
      <w:pPr>
        <w:rPr>
          <w:rFonts w:ascii="楷体" w:eastAsia="楷体" w:hAnsi="楷体" w:hint="eastAsia"/>
          <w:sz w:val="28"/>
          <w:szCs w:val="28"/>
        </w:rPr>
      </w:pPr>
      <w:r>
        <w:rPr>
          <w:rFonts w:ascii="楷体" w:eastAsia="楷体" w:hAnsi="楷体" w:hint="eastAsia"/>
          <w:sz w:val="28"/>
          <w:szCs w:val="28"/>
        </w:rPr>
        <w:t>通信行业进入工业化之初，电是最主要的载体。在十九世纪到二十世纪初出现的电报，电话，其工作方式都是依靠电，尤其是以铜缆为物理载体的电通信实现的。一个例子是1858年的跨大西洋电缆，第一次实现了两大洲之间的高速通信。</w:t>
      </w:r>
    </w:p>
    <w:p w14:paraId="7D64C36F" w14:textId="77777777" w:rsidR="006C3BDF" w:rsidRDefault="006C3BDF" w:rsidP="006C3BDF">
      <w:pPr>
        <w:rPr>
          <w:rFonts w:ascii="楷体" w:eastAsia="楷体" w:hAnsi="楷体" w:hint="eastAsia"/>
          <w:sz w:val="28"/>
          <w:szCs w:val="28"/>
        </w:rPr>
      </w:pPr>
      <w:r>
        <w:rPr>
          <w:rFonts w:ascii="楷体" w:eastAsia="楷体" w:hAnsi="楷体" w:hint="eastAsia"/>
          <w:sz w:val="28"/>
          <w:szCs w:val="28"/>
        </w:rPr>
        <w:t>在整个电报和早期电话时代，铜缆都占据了十分重要的地位（其实在今天依然占据着很重要的地位），通信工业对于铜缆进行了各种各样的开发和研究，使之适用于不同的场景，。</w:t>
      </w:r>
    </w:p>
    <w:p w14:paraId="1DAA679F" w14:textId="77777777" w:rsidR="006C3BDF" w:rsidRDefault="006C3BDF" w:rsidP="006C3BDF">
      <w:pPr>
        <w:rPr>
          <w:rFonts w:ascii="楷体" w:eastAsia="楷体" w:hAnsi="楷体" w:hint="eastAsia"/>
          <w:sz w:val="28"/>
          <w:szCs w:val="28"/>
        </w:rPr>
      </w:pPr>
      <w:r>
        <w:rPr>
          <w:rFonts w:ascii="楷体" w:eastAsia="楷体" w:hAnsi="楷体" w:hint="eastAsia"/>
          <w:sz w:val="28"/>
          <w:szCs w:val="28"/>
        </w:rPr>
        <w:t>但随着通信技术的不断发展，和数据传输量与速率的巨幅提高，铜缆遭遇了多方面的瓶颈限制，如插入损耗（铜缆越长，数据传输速率越高，损失越大），串扰（铜缆与铜缆间信号相互干扰，A铜缆的传输数据串流到B上，B铜缆的传输数据串流A上），反射（铜线一般是双绞线结构，可以理解为双螺旋形，是一种典型的抗干扰结构，插头，双绞线结构一旦出现结构形变，铜缆整体信息传送速率立刻降低，极难排查）抗干扰约束（高速率铜缆的相绞密度很高，额外的屏蔽层也很厚，导致整个铜缆非常粗，用料上的笨重导致成本也很大）等等。</w:t>
      </w:r>
    </w:p>
    <w:p w14:paraId="2D5600A0" w14:textId="77777777" w:rsidR="006C3BDF" w:rsidRDefault="006C3BDF" w:rsidP="006C3BDF">
      <w:pPr>
        <w:rPr>
          <w:rFonts w:ascii="楷体" w:eastAsia="楷体" w:hAnsi="楷体"/>
          <w:sz w:val="28"/>
          <w:szCs w:val="28"/>
        </w:rPr>
      </w:pPr>
      <w:r>
        <w:rPr>
          <w:rFonts w:ascii="楷体" w:eastAsia="楷体" w:hAnsi="楷体" w:hint="eastAsia"/>
          <w:sz w:val="28"/>
          <w:szCs w:val="28"/>
        </w:rPr>
        <w:t>在这一情况下，发展以光为载体的通信就成为了一个最优可行方案，光通信作为一条新的道路，从距离，干扰，发热，体积上解决了铜缆遭遇的问题。距离上，光在纤芯中几乎衰减极小，干扰上，光与光之间不存在类似电磁的干扰，发热上，光自身没有电热效应，体积上，光并不需要做高密度双绞结构来提升抗干扰能力，也</w:t>
      </w:r>
      <w:r>
        <w:rPr>
          <w:rFonts w:ascii="楷体" w:eastAsia="楷体" w:hAnsi="楷体" w:hint="eastAsia"/>
          <w:sz w:val="28"/>
          <w:szCs w:val="28"/>
        </w:rPr>
        <w:lastRenderedPageBreak/>
        <w:t>就没有越做越粗的需求。因为这些优良的品质，光纤成为了二十世纪末以来最主要也是得到最大发展的通信载体。而光模块就是为了配套以光纤为主的光通信而诞生的。</w:t>
      </w:r>
    </w:p>
    <w:p w14:paraId="5762C700" w14:textId="77777777" w:rsidR="006C3BDF" w:rsidRDefault="006C3BDF" w:rsidP="006C3BDF">
      <w:pPr>
        <w:rPr>
          <w:rFonts w:ascii="楷体" w:eastAsia="楷体" w:hAnsi="楷体" w:hint="eastAsia"/>
          <w:sz w:val="28"/>
          <w:szCs w:val="28"/>
        </w:rPr>
      </w:pPr>
      <w:r>
        <w:rPr>
          <w:rFonts w:ascii="楷体" w:eastAsia="楷体" w:hAnsi="楷体" w:hint="eastAsia"/>
          <w:sz w:val="28"/>
          <w:szCs w:val="28"/>
        </w:rPr>
        <w:t>不论是数字通信（</w:t>
      </w:r>
      <w:proofErr w:type="spellStart"/>
      <w:r>
        <w:rPr>
          <w:rFonts w:ascii="楷体" w:eastAsia="楷体" w:hAnsi="楷体" w:hint="eastAsia"/>
          <w:sz w:val="28"/>
          <w:szCs w:val="28"/>
        </w:rPr>
        <w:t>DataCom</w:t>
      </w:r>
      <w:proofErr w:type="spellEnd"/>
      <w:r>
        <w:rPr>
          <w:rFonts w:ascii="楷体" w:eastAsia="楷体" w:hAnsi="楷体" w:hint="eastAsia"/>
          <w:sz w:val="28"/>
          <w:szCs w:val="28"/>
        </w:rPr>
        <w:t>，机器与机器间通信）还是互联通信（</w:t>
      </w:r>
      <w:proofErr w:type="spellStart"/>
      <w:r>
        <w:rPr>
          <w:rFonts w:ascii="楷体" w:eastAsia="楷体" w:hAnsi="楷体" w:hint="eastAsia"/>
          <w:sz w:val="28"/>
          <w:szCs w:val="28"/>
        </w:rPr>
        <w:t>TeleCom</w:t>
      </w:r>
      <w:proofErr w:type="spellEnd"/>
      <w:r>
        <w:rPr>
          <w:rFonts w:ascii="楷体" w:eastAsia="楷体" w:hAnsi="楷体" w:hint="eastAsia"/>
          <w:sz w:val="28"/>
          <w:szCs w:val="28"/>
        </w:rPr>
        <w:t>，人与人的通信），终端接口都是绕不开计算终端。直到2026年，一般的个人PC和小型服务器的</w:t>
      </w:r>
      <w:r w:rsidRPr="000A3596">
        <w:rPr>
          <w:rFonts w:ascii="楷体" w:eastAsia="楷体" w:hAnsi="楷体"/>
          <w:sz w:val="28"/>
          <w:szCs w:val="28"/>
        </w:rPr>
        <w:t>核心计算与接口仍基于电信号处理</w:t>
      </w:r>
      <w:r>
        <w:rPr>
          <w:rFonts w:ascii="楷体" w:eastAsia="楷体" w:hAnsi="楷体" w:hint="eastAsia"/>
          <w:sz w:val="28"/>
          <w:szCs w:val="28"/>
        </w:rPr>
        <w:t>。在铜缆的时代，电信号只需要顺着网络基建入户即可，而到了光的时代，纯电的计算设备在面对光纤介质的进入时，需要专门转译。信号的光电转换就成为了必选项。因此自1990年代商用光通信爆发并开始快速发展，光电双向转化设备也与之同步进化，并逐渐规范化，模块化。光电转换设备在个人家庭体现为以光网络终端（ONT）/光网络单元（ONU）（也即光猫）为代表的嵌入式光收发调试设备，在企业端和工业端，则体现为重型交换机和光模块的结合</w:t>
      </w:r>
    </w:p>
    <w:p w14:paraId="037932C8" w14:textId="107FCA2B" w:rsidR="006C3BDF" w:rsidRDefault="006C3BDF" w:rsidP="006C3BDF">
      <w:pPr>
        <w:rPr>
          <w:rFonts w:ascii="楷体" w:eastAsia="楷体" w:hAnsi="楷体"/>
          <w:sz w:val="28"/>
          <w:szCs w:val="28"/>
        </w:rPr>
      </w:pPr>
      <w:r>
        <w:rPr>
          <w:rFonts w:ascii="楷体" w:eastAsia="楷体" w:hAnsi="楷体" w:hint="eastAsia"/>
          <w:sz w:val="28"/>
          <w:szCs w:val="28"/>
        </w:rPr>
        <w:t>自九十年代商用化以来到AI大规模爆发前夜，从需求上看，主要是因为电信-互联网经济在过去三十年中从初生到蓬勃发展所产生的互联需求，时间尺度上，从</w:t>
      </w:r>
      <w:r w:rsidR="00B62614">
        <w:rPr>
          <w:rFonts w:ascii="楷体" w:eastAsia="楷体" w:hAnsi="楷体" w:hint="eastAsia"/>
          <w:sz w:val="28"/>
          <w:szCs w:val="28"/>
        </w:rPr>
        <w:t>电信-</w:t>
      </w:r>
      <w:r>
        <w:rPr>
          <w:rFonts w:ascii="楷体" w:eastAsia="楷体" w:hAnsi="楷体" w:hint="eastAsia"/>
          <w:sz w:val="28"/>
          <w:szCs w:val="28"/>
        </w:rPr>
        <w:t>互联网产业的发展规模印证，光模块的发展可以随之分为大致四个阶段：</w:t>
      </w:r>
    </w:p>
    <w:p w14:paraId="5B9DC5B9" w14:textId="77777777" w:rsidR="006C3BDF" w:rsidRDefault="006C3BDF" w:rsidP="006C3BDF">
      <w:pPr>
        <w:rPr>
          <w:rFonts w:ascii="楷体" w:eastAsia="楷体" w:hAnsi="楷体"/>
          <w:sz w:val="28"/>
          <w:szCs w:val="28"/>
        </w:rPr>
      </w:pPr>
      <w:r>
        <w:rPr>
          <w:rFonts w:ascii="楷体" w:eastAsia="楷体" w:hAnsi="楷体" w:hint="eastAsia"/>
          <w:sz w:val="28"/>
          <w:szCs w:val="28"/>
        </w:rPr>
        <w:t>第一阶段为1990年代中期到2000年代初中期，这一阶段的主要动力是电信网络</w:t>
      </w:r>
      <w:r w:rsidRPr="00A05832">
        <w:rPr>
          <w:rFonts w:ascii="楷体" w:eastAsia="楷体" w:hAnsi="楷体"/>
          <w:sz w:val="28"/>
          <w:szCs w:val="28"/>
        </w:rPr>
        <w:t>商业化爆发，全球IP流量激增，电信运营商需要升级长途传输骨干网。</w:t>
      </w:r>
      <w:r w:rsidRPr="00E773AC">
        <w:rPr>
          <w:rFonts w:ascii="楷体" w:eastAsia="楷体" w:hAnsi="楷体"/>
          <w:sz w:val="28"/>
          <w:szCs w:val="28"/>
        </w:rPr>
        <w:t>电信运营商（AT&amp;T、NTT、中国电信等）铺设跨洋</w:t>
      </w:r>
      <w:r w:rsidRPr="00E773AC">
        <w:rPr>
          <w:rFonts w:ascii="楷体" w:eastAsia="楷体" w:hAnsi="楷体"/>
          <w:sz w:val="28"/>
          <w:szCs w:val="28"/>
        </w:rPr>
        <w:lastRenderedPageBreak/>
        <w:t>和跨省光纤干线，需要高速率、长距离传输</w:t>
      </w:r>
      <w:r>
        <w:rPr>
          <w:rFonts w:ascii="楷体" w:eastAsia="楷体" w:hAnsi="楷体" w:hint="eastAsia"/>
          <w:sz w:val="28"/>
          <w:szCs w:val="28"/>
        </w:rPr>
        <w:t>。同时技术上，</w:t>
      </w:r>
      <w:r w:rsidRPr="00E773AC">
        <w:rPr>
          <w:rFonts w:ascii="楷体" w:eastAsia="楷体" w:hAnsi="楷体"/>
          <w:sz w:val="28"/>
          <w:szCs w:val="28"/>
        </w:rPr>
        <w:t>WDM（波分复用）技术成熟，单根光纤可同时传输多波长，每个波长需要独立光模块</w:t>
      </w:r>
      <w:r>
        <w:rPr>
          <w:rFonts w:ascii="楷体" w:eastAsia="楷体" w:hAnsi="楷体" w:hint="eastAsia"/>
          <w:sz w:val="28"/>
          <w:szCs w:val="28"/>
        </w:rPr>
        <w:t>。</w:t>
      </w:r>
    </w:p>
    <w:p w14:paraId="4EB72458" w14:textId="77777777" w:rsidR="006C3BDF" w:rsidRDefault="006C3BDF" w:rsidP="006C3BDF">
      <w:pPr>
        <w:rPr>
          <w:rFonts w:ascii="楷体" w:eastAsia="楷体" w:hAnsi="楷体"/>
          <w:sz w:val="28"/>
          <w:szCs w:val="28"/>
        </w:rPr>
      </w:pPr>
      <w:r>
        <w:rPr>
          <w:rFonts w:ascii="楷体" w:eastAsia="楷体" w:hAnsi="楷体" w:hint="eastAsia"/>
          <w:sz w:val="28"/>
          <w:szCs w:val="28"/>
        </w:rPr>
        <w:t>随着大规模通信需求的增加，过去一体化通信设备和光模块逐渐成为一种不经济的选择，因为一旦设备光口损坏，那么整个设备就需要维修或者更换，极不方便。在这种情况下，可插拔光模块成为了低运营成本和高设备灵活性共同追求的结果。GBIC（</w:t>
      </w:r>
      <w:r w:rsidRPr="00AD64DB">
        <w:rPr>
          <w:rFonts w:ascii="楷体" w:eastAsia="楷体" w:hAnsi="楷体"/>
          <w:sz w:val="28"/>
          <w:szCs w:val="28"/>
        </w:rPr>
        <w:t>Gigabit Interface Converter，即千兆位接口转换器</w:t>
      </w:r>
      <w:r>
        <w:rPr>
          <w:rFonts w:ascii="楷体" w:eastAsia="楷体" w:hAnsi="楷体" w:hint="eastAsia"/>
          <w:sz w:val="28"/>
          <w:szCs w:val="28"/>
        </w:rPr>
        <w:t>）就是这一结果的一个典范，这是第一款真正意义上遵循国际标准，跨品牌可通用的可插拔光模块，是通信变革浪潮中第一款标准可插拔产品。</w:t>
      </w:r>
    </w:p>
    <w:p w14:paraId="62FA3183" w14:textId="77777777" w:rsidR="006C3BDF" w:rsidRDefault="006C3BDF" w:rsidP="006C3BDF">
      <w:pPr>
        <w:rPr>
          <w:rFonts w:ascii="楷体" w:eastAsia="楷体" w:hAnsi="楷体"/>
          <w:sz w:val="28"/>
          <w:szCs w:val="28"/>
        </w:rPr>
      </w:pPr>
      <w:r>
        <w:rPr>
          <w:rFonts w:ascii="楷体" w:eastAsia="楷体" w:hAnsi="楷体" w:hint="eastAsia"/>
          <w:sz w:val="28"/>
          <w:szCs w:val="28"/>
        </w:rPr>
        <w:t>第二阶段为2000年代初中期至2010年代，这一阶段的主要动力是互联网泡沫破裂后的后泡沫时代和web2.0时代的繁荣。无数今日耳熟能详的巨头和网页端应用在这一时期或建立，或壮大。百度（2000年创立），淘宝（2003年创立），支付宝（2003年创立），Google（2004年上市），Facebook（2004年创立），</w:t>
      </w:r>
      <w:proofErr w:type="spellStart"/>
      <w:r>
        <w:rPr>
          <w:rFonts w:ascii="楷体" w:eastAsia="楷体" w:hAnsi="楷体" w:hint="eastAsia"/>
          <w:sz w:val="28"/>
          <w:szCs w:val="28"/>
        </w:rPr>
        <w:t>Youtube</w:t>
      </w:r>
      <w:proofErr w:type="spellEnd"/>
      <w:r>
        <w:rPr>
          <w:rFonts w:ascii="楷体" w:eastAsia="楷体" w:hAnsi="楷体" w:hint="eastAsia"/>
          <w:sz w:val="28"/>
          <w:szCs w:val="28"/>
        </w:rPr>
        <w:t>（2005年创立），这些巨头引领了网络空间中的搜索，社交和分享，从而彻底将互联网的交互方式从简单的浏览转为高频率的互动，互动就意味着数据的来往，这一现实不可避免地对数据中心的处理能力和传输能力提出了新的要求。同时，因为电商业务的周期性特征，为解决高峰期算力不足，休息期算力浪费的问题，2006年，亚马逊推出了</w:t>
      </w:r>
      <w:r w:rsidRPr="009A1F0C">
        <w:rPr>
          <w:rFonts w:ascii="楷体" w:eastAsia="楷体" w:hAnsi="楷体"/>
          <w:sz w:val="28"/>
          <w:szCs w:val="28"/>
        </w:rPr>
        <w:t>Elastic Compute Cloud (EC2)</w:t>
      </w:r>
      <w:r>
        <w:rPr>
          <w:rFonts w:ascii="楷体" w:eastAsia="楷体" w:hAnsi="楷体" w:hint="eastAsia"/>
          <w:sz w:val="28"/>
          <w:szCs w:val="28"/>
        </w:rPr>
        <w:t>，标志着现代云计算的起点，从这之后，互联网巨头们纷纷开始自建大规模数据中心，以支撑其不</w:t>
      </w:r>
      <w:r>
        <w:rPr>
          <w:rFonts w:ascii="楷体" w:eastAsia="楷体" w:hAnsi="楷体" w:hint="eastAsia"/>
          <w:sz w:val="28"/>
          <w:szCs w:val="28"/>
        </w:rPr>
        <w:lastRenderedPageBreak/>
        <w:t>断扩张的业务。</w:t>
      </w:r>
    </w:p>
    <w:p w14:paraId="334A5DDC" w14:textId="77777777" w:rsidR="006C3BDF" w:rsidRDefault="006C3BDF" w:rsidP="006C3BDF">
      <w:pPr>
        <w:rPr>
          <w:rFonts w:ascii="楷体" w:eastAsia="楷体" w:hAnsi="楷体" w:hint="eastAsia"/>
          <w:sz w:val="28"/>
          <w:szCs w:val="28"/>
        </w:rPr>
      </w:pPr>
      <w:r>
        <w:rPr>
          <w:rFonts w:ascii="楷体" w:eastAsia="楷体" w:hAnsi="楷体" w:hint="eastAsia"/>
          <w:sz w:val="28"/>
          <w:szCs w:val="28"/>
        </w:rPr>
        <w:t>Web2.0和云时代激增的数据密度对于数据传输提出了更高要求，其结果是通信及计算终端功能的再调整，以SFP（</w:t>
      </w:r>
      <w:r w:rsidRPr="001935B6">
        <w:rPr>
          <w:rFonts w:ascii="楷体" w:eastAsia="楷体" w:hAnsi="楷体"/>
          <w:sz w:val="28"/>
          <w:szCs w:val="28"/>
        </w:rPr>
        <w:t>小型封装热插拔收发器，Small form-factor</w:t>
      </w:r>
      <w:r>
        <w:rPr>
          <w:rFonts w:ascii="楷体" w:eastAsia="楷体" w:hAnsi="楷体" w:hint="eastAsia"/>
          <w:sz w:val="28"/>
          <w:szCs w:val="28"/>
        </w:rPr>
        <w:t xml:space="preserve"> </w:t>
      </w:r>
      <w:r w:rsidRPr="001935B6">
        <w:rPr>
          <w:rFonts w:ascii="楷体" w:eastAsia="楷体" w:hAnsi="楷体"/>
          <w:sz w:val="28"/>
          <w:szCs w:val="28"/>
        </w:rPr>
        <w:t>pluggable</w:t>
      </w:r>
      <w:r>
        <w:rPr>
          <w:rFonts w:ascii="楷体" w:eastAsia="楷体" w:hAnsi="楷体" w:hint="eastAsia"/>
          <w:sz w:val="28"/>
          <w:szCs w:val="28"/>
        </w:rPr>
        <w:t xml:space="preserve"> </w:t>
      </w:r>
      <w:r w:rsidRPr="001935B6">
        <w:rPr>
          <w:rFonts w:ascii="楷体" w:eastAsia="楷体" w:hAnsi="楷体"/>
          <w:sz w:val="28"/>
          <w:szCs w:val="28"/>
        </w:rPr>
        <w:t>transceiver</w:t>
      </w:r>
      <w:r>
        <w:rPr>
          <w:rFonts w:ascii="楷体" w:eastAsia="楷体" w:hAnsi="楷体" w:hint="eastAsia"/>
          <w:sz w:val="28"/>
          <w:szCs w:val="28"/>
        </w:rPr>
        <w:t>）技术为代表的光模块新范式诞生，其体积相较传统的GBIC缩减50%以上，并去除了部分不必要的功能，使得其在端口密度，功耗，散热上相较GBIC都有了巨大的提升。而其更小的体积和简化的电路设计，又使得其成本显著低于GBIC，于是SFP</w:t>
      </w:r>
    </w:p>
    <w:p w14:paraId="3B27F527" w14:textId="77777777" w:rsidR="00321019" w:rsidRPr="006C3BDF" w:rsidRDefault="00321019"/>
    <w:sectPr w:rsidR="00321019" w:rsidRPr="006C3B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DD4A" w14:textId="77777777" w:rsidR="00CE5D16" w:rsidRDefault="00CE5D16" w:rsidP="006C3BDF">
      <w:pPr>
        <w:spacing w:after="0" w:line="240" w:lineRule="auto"/>
        <w:rPr>
          <w:rFonts w:hint="eastAsia"/>
        </w:rPr>
      </w:pPr>
      <w:r>
        <w:separator/>
      </w:r>
    </w:p>
  </w:endnote>
  <w:endnote w:type="continuationSeparator" w:id="0">
    <w:p w14:paraId="2928AFBB" w14:textId="77777777" w:rsidR="00CE5D16" w:rsidRDefault="00CE5D16" w:rsidP="006C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35F10" w14:textId="77777777" w:rsidR="00CE5D16" w:rsidRDefault="00CE5D16" w:rsidP="006C3BDF">
      <w:pPr>
        <w:spacing w:after="0" w:line="240" w:lineRule="auto"/>
        <w:rPr>
          <w:rFonts w:hint="eastAsia"/>
        </w:rPr>
      </w:pPr>
      <w:r>
        <w:separator/>
      </w:r>
    </w:p>
  </w:footnote>
  <w:footnote w:type="continuationSeparator" w:id="0">
    <w:p w14:paraId="530AEBCD" w14:textId="77777777" w:rsidR="00CE5D16" w:rsidRDefault="00CE5D16" w:rsidP="006C3BD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19"/>
    <w:rsid w:val="00321019"/>
    <w:rsid w:val="005C5744"/>
    <w:rsid w:val="006C3BDF"/>
    <w:rsid w:val="00B62614"/>
    <w:rsid w:val="00CE5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49748"/>
  <w15:chartTrackingRefBased/>
  <w15:docId w15:val="{B7B9C4E5-C48C-4911-BC6E-B12211E2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BDF"/>
    <w:pPr>
      <w:widowControl w:val="0"/>
    </w:pPr>
  </w:style>
  <w:style w:type="paragraph" w:styleId="1">
    <w:name w:val="heading 1"/>
    <w:basedOn w:val="a"/>
    <w:next w:val="a"/>
    <w:link w:val="10"/>
    <w:uiPriority w:val="9"/>
    <w:qFormat/>
    <w:rsid w:val="003210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210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210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210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210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210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210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0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10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0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210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210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21019"/>
    <w:rPr>
      <w:rFonts w:cstheme="majorBidi"/>
      <w:color w:val="2F5496" w:themeColor="accent1" w:themeShade="BF"/>
      <w:sz w:val="28"/>
      <w:szCs w:val="28"/>
    </w:rPr>
  </w:style>
  <w:style w:type="character" w:customStyle="1" w:styleId="50">
    <w:name w:val="标题 5 字符"/>
    <w:basedOn w:val="a0"/>
    <w:link w:val="5"/>
    <w:uiPriority w:val="9"/>
    <w:semiHidden/>
    <w:rsid w:val="00321019"/>
    <w:rPr>
      <w:rFonts w:cstheme="majorBidi"/>
      <w:color w:val="2F5496" w:themeColor="accent1" w:themeShade="BF"/>
      <w:sz w:val="24"/>
    </w:rPr>
  </w:style>
  <w:style w:type="character" w:customStyle="1" w:styleId="60">
    <w:name w:val="标题 6 字符"/>
    <w:basedOn w:val="a0"/>
    <w:link w:val="6"/>
    <w:uiPriority w:val="9"/>
    <w:semiHidden/>
    <w:rsid w:val="00321019"/>
    <w:rPr>
      <w:rFonts w:cstheme="majorBidi"/>
      <w:b/>
      <w:bCs/>
      <w:color w:val="2F5496" w:themeColor="accent1" w:themeShade="BF"/>
    </w:rPr>
  </w:style>
  <w:style w:type="character" w:customStyle="1" w:styleId="70">
    <w:name w:val="标题 7 字符"/>
    <w:basedOn w:val="a0"/>
    <w:link w:val="7"/>
    <w:uiPriority w:val="9"/>
    <w:semiHidden/>
    <w:rsid w:val="00321019"/>
    <w:rPr>
      <w:rFonts w:cstheme="majorBidi"/>
      <w:b/>
      <w:bCs/>
      <w:color w:val="595959" w:themeColor="text1" w:themeTint="A6"/>
    </w:rPr>
  </w:style>
  <w:style w:type="character" w:customStyle="1" w:styleId="80">
    <w:name w:val="标题 8 字符"/>
    <w:basedOn w:val="a0"/>
    <w:link w:val="8"/>
    <w:uiPriority w:val="9"/>
    <w:semiHidden/>
    <w:rsid w:val="00321019"/>
    <w:rPr>
      <w:rFonts w:cstheme="majorBidi"/>
      <w:color w:val="595959" w:themeColor="text1" w:themeTint="A6"/>
    </w:rPr>
  </w:style>
  <w:style w:type="character" w:customStyle="1" w:styleId="90">
    <w:name w:val="标题 9 字符"/>
    <w:basedOn w:val="a0"/>
    <w:link w:val="9"/>
    <w:uiPriority w:val="9"/>
    <w:semiHidden/>
    <w:rsid w:val="00321019"/>
    <w:rPr>
      <w:rFonts w:eastAsiaTheme="majorEastAsia" w:cstheme="majorBidi"/>
      <w:color w:val="595959" w:themeColor="text1" w:themeTint="A6"/>
    </w:rPr>
  </w:style>
  <w:style w:type="paragraph" w:styleId="a3">
    <w:name w:val="Title"/>
    <w:basedOn w:val="a"/>
    <w:next w:val="a"/>
    <w:link w:val="a4"/>
    <w:uiPriority w:val="10"/>
    <w:qFormat/>
    <w:rsid w:val="003210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0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0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0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019"/>
    <w:pPr>
      <w:spacing w:before="160"/>
      <w:jc w:val="center"/>
    </w:pPr>
    <w:rPr>
      <w:i/>
      <w:iCs/>
      <w:color w:val="404040" w:themeColor="text1" w:themeTint="BF"/>
    </w:rPr>
  </w:style>
  <w:style w:type="character" w:customStyle="1" w:styleId="a8">
    <w:name w:val="引用 字符"/>
    <w:basedOn w:val="a0"/>
    <w:link w:val="a7"/>
    <w:uiPriority w:val="29"/>
    <w:rsid w:val="00321019"/>
    <w:rPr>
      <w:i/>
      <w:iCs/>
      <w:color w:val="404040" w:themeColor="text1" w:themeTint="BF"/>
    </w:rPr>
  </w:style>
  <w:style w:type="paragraph" w:styleId="a9">
    <w:name w:val="List Paragraph"/>
    <w:basedOn w:val="a"/>
    <w:uiPriority w:val="34"/>
    <w:qFormat/>
    <w:rsid w:val="00321019"/>
    <w:pPr>
      <w:ind w:left="720"/>
      <w:contextualSpacing/>
    </w:pPr>
  </w:style>
  <w:style w:type="character" w:styleId="aa">
    <w:name w:val="Intense Emphasis"/>
    <w:basedOn w:val="a0"/>
    <w:uiPriority w:val="21"/>
    <w:qFormat/>
    <w:rsid w:val="00321019"/>
    <w:rPr>
      <w:i/>
      <w:iCs/>
      <w:color w:val="2F5496" w:themeColor="accent1" w:themeShade="BF"/>
    </w:rPr>
  </w:style>
  <w:style w:type="paragraph" w:styleId="ab">
    <w:name w:val="Intense Quote"/>
    <w:basedOn w:val="a"/>
    <w:next w:val="a"/>
    <w:link w:val="ac"/>
    <w:uiPriority w:val="30"/>
    <w:qFormat/>
    <w:rsid w:val="00321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21019"/>
    <w:rPr>
      <w:i/>
      <w:iCs/>
      <w:color w:val="2F5496" w:themeColor="accent1" w:themeShade="BF"/>
    </w:rPr>
  </w:style>
  <w:style w:type="character" w:styleId="ad">
    <w:name w:val="Intense Reference"/>
    <w:basedOn w:val="a0"/>
    <w:uiPriority w:val="32"/>
    <w:qFormat/>
    <w:rsid w:val="00321019"/>
    <w:rPr>
      <w:b/>
      <w:bCs/>
      <w:smallCaps/>
      <w:color w:val="2F5496" w:themeColor="accent1" w:themeShade="BF"/>
      <w:spacing w:val="5"/>
    </w:rPr>
  </w:style>
  <w:style w:type="paragraph" w:styleId="ae">
    <w:name w:val="header"/>
    <w:basedOn w:val="a"/>
    <w:link w:val="af"/>
    <w:uiPriority w:val="99"/>
    <w:unhideWhenUsed/>
    <w:rsid w:val="006C3B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C3BDF"/>
    <w:rPr>
      <w:sz w:val="18"/>
      <w:szCs w:val="18"/>
    </w:rPr>
  </w:style>
  <w:style w:type="paragraph" w:styleId="af0">
    <w:name w:val="footer"/>
    <w:basedOn w:val="a"/>
    <w:link w:val="af1"/>
    <w:uiPriority w:val="99"/>
    <w:unhideWhenUsed/>
    <w:rsid w:val="006C3B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C3B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4</cp:revision>
  <dcterms:created xsi:type="dcterms:W3CDTF">2026-06-09T02:32:00Z</dcterms:created>
  <dcterms:modified xsi:type="dcterms:W3CDTF">2026-06-09T02:33:00Z</dcterms:modified>
</cp:coreProperties>
</file>