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Supplementary Material S1</w:t>
      </w:r>
    </w:p>
    <w:p>
      <w:pPr>
        <w:spacing w:after="200"/>
        <w:jc w:val="center"/>
      </w:pPr>
      <w:r>
        <w:rPr>
          <w:b/>
          <w:bCs/>
          <w:sz w:val="26"/>
          <w:szCs w:val="26"/>
        </w:rPr>
        <w:t xml:space="preserve">ODD protocol for the agent-based model of promoter critical mass and initial energy in positive and negative word of mouth</w:t>
      </w:r>
    </w:p>
    <w:p>
      <w:pPr>
        <w:spacing w:after="60"/>
        <w:jc w:val="center"/>
      </w:pPr>
      <w:r>
        <w:t xml:space="preserve">Ever Carpio-Meza, Joaquín Tahta, Alejandro Peláez-Arango</w:t>
      </w:r>
    </w:p>
    <w:p>
      <w:pPr>
        <w:spacing w:after="240"/>
        <w:jc w:val="center"/>
      </w:pPr>
      <w:r>
        <w:rPr>
          <w:i/>
          <w:iCs/>
        </w:rPr>
        <w:t xml:space="preserve">Supplement to: Promoter critical mass and initial energy in an agent-based model of positive and negative word of mouth</w:t>
      </w:r>
    </w:p>
    <w:p>
      <w:pPr>
        <w:spacing w:after="120" w:line="276"/>
        <w:jc w:val="both"/>
      </w:pPr>
      <w:r>
        <w:t xml:space="preserve">This supplement describes the simulation model following the ODD (Overview, Design concepts, Details) protocol in its second update (Grimm et al., 2020). Section 2 of the article gives a condensed version of the same description. Here the model is documented in enough detail to be reimplemented without access to the code. Sections 1 to 3 give an overview, Section 4 the design concepts, and Sections 5 to 7 the details. Section 8 adds implementation, verification and the simulation experiments, which are not part of the ODD standard but are needed to reproduce the reported results.</w:t>
      </w:r>
    </w:p>
    <w:p>
      <w:pPr>
        <w:spacing w:after="120" w:line="276"/>
        <w:jc w:val="both"/>
      </w:pPr>
      <w:r>
        <w:t xml:space="preserve">All parameter values are illustrative design choices fixed in the model specification before the experiments were run. None is an empirical estimate, and the model is not calibrated to an observed market.</w:t>
      </w:r>
    </w:p>
    <w:p>
      <w:pPr>
        <w:pStyle w:val="Heading1"/>
        <w:spacing w:after="120" w:before="280"/>
      </w:pPr>
      <w:r>
        <w:t xml:space="preserve">1. Purpose and patterns</w:t>
      </w:r>
    </w:p>
    <w:p>
      <w:pPr>
        <w:spacing w:after="120" w:line="276"/>
        <w:jc w:val="both"/>
      </w:pPr>
      <w:r>
        <w:t xml:space="preserve">The model examines when a small initial group of satisfied, active customers (promoters) starts a self-sustaining word-of-mouth (WOM) process in a closed market, and how that outcome depends on the communication energy promoters retain and on the weight of negative messages in purchase decisions. Its reference point is an earlier agent-based study that reported 15% of the client total as the minimum share of promoters needed to start a WOM process (Robledo Giraldo, 2018). The model does not replicate that study. It asks whether a critical mass of promoters behaves as a fixed share or as a condition-dependent outcome.</w:t>
      </w:r>
    </w:p>
    <w:p>
      <w:pPr>
        <w:spacing w:after="120" w:line="276"/>
        <w:jc w:val="both"/>
      </w:pPr>
      <w:r>
        <w:t xml:space="preserve">The model is a theoretical tool for comparison across simulated conditions, not a predictive model of a particular firm. Three questions guided the experiments: whether a second initial promoter raises the frequency of sustained diffusion, whether higher initial promoter energy does so and whether the gain persists at high energy, and whether stronger negative influence reduces sustained diffusion or alters the energy effect.</w:t>
      </w:r>
    </w:p>
    <w:p>
      <w:pPr>
        <w:spacing w:after="120" w:line="276"/>
        <w:jc w:val="both"/>
      </w:pPr>
      <w:r>
        <w:t xml:space="preserve">The model was built to distinguish several qualitative outcomes rather than to match empirical data. A run may never take off, which is guaranteed without any initial promoter because there is no spontaneous adoption. It may take off and later saturate the finite market, or it may take off and then collapse before the market is exhausted. A small promoter cohort may also fade before successors activate (early extinction). Throughout, fatigue reduces the activity of individual promoters without implying dissatisfaction.</w:t>
      </w:r>
    </w:p>
    <w:p>
      <w:pPr>
        <w:pStyle w:val="Heading1"/>
        <w:spacing w:after="120" w:before="280"/>
      </w:pPr>
      <w:r>
        <w:t xml:space="preserve">2. Entities, state variables and scales</w:t>
      </w:r>
    </w:p>
    <w:p>
      <w:pPr>
        <w:pStyle w:val="Heading2"/>
        <w:spacing w:after="100" w:before="200"/>
      </w:pPr>
      <w:r>
        <w:t xml:space="preserve">2.1 Entities</w:t>
      </w:r>
    </w:p>
    <w:p>
      <w:pPr>
        <w:spacing w:after="120" w:line="276"/>
        <w:jc w:val="both"/>
      </w:pPr>
      <w:r>
        <w:t xml:space="preserve">The model contains one type of agent, a person who may be a potential customer, a customer, a promoter or a detractor. Agents are linked by a static social network and grouped into six communities. There is one firm and one product, and each person can purchase at most once. The firm takes no action during a run: there is no advertising, pricing, incentive or external recruitment of promoters.</w:t>
      </w:r>
    </w:p>
    <w:p>
      <w:pPr>
        <w:pStyle w:val="Heading2"/>
        <w:spacing w:after="100" w:before="200"/>
      </w:pPr>
      <w:r>
        <w:t xml:space="preserve">2.2 State variables</w:t>
      </w:r>
    </w:p>
    <w:p>
      <w:pPr>
        <w:spacing w:after="120" w:line="276"/>
        <w:jc w:val="both"/>
      </w:pPr>
      <w:r>
        <w:t xml:space="preserve">To keep purchase, satisfaction and communication activity separate, each agent has three state dimensions (Table S1). A satisfied customer need not become a promoter, a potential promoter does not yet send messages, and a fatigued promoter keeps its purchase and satisfaction: fatigue is not dissatisfaction. An agent can never be an active promoter and an active detractor at the same time, and only customers with experience can send messages.</w:t>
      </w:r>
    </w:p>
    <w:p>
      <w:pPr>
        <w:keepNext/>
        <w:spacing w:after="80" w:before="160"/>
      </w:pPr>
      <w:r>
        <w:rPr>
          <w:b/>
          <w:bCs/>
        </w:rPr>
        <w:t xml:space="preserve">Table S1.</w:t>
      </w:r>
      <w:r>
        <w:t xml:space="preserve"> State dimensions of each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20"/>
                <w:szCs w:val="20"/>
              </w:rPr>
              <w:t xml:space="preserve">Dimension</w:t>
            </w:r>
          </w:p>
        </w:tc>
        <w:tc>
          <w:tcPr>
            <w:tcW w:type="dxa" w:w="7038"/>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20"/>
                <w:szCs w:val="20"/>
              </w:rPr>
              <w:t xml:space="preserve">Possible values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Commercial state</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Susceptible; customer awaiting experience; customer with experience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Experience</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Unevaluated; neutral; satisfied; dissatisfied</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WOM state</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None; potential promoter; active promoter; fatigued promoter; potential detractor; active detractor; inactive detractor</w:t>
            </w:r>
          </w:p>
        </w:tc>
      </w:tr>
    </w:tbl>
    <w:p>
      <w:pPr>
        <w:spacing w:after="120"/>
      </w:pPr>
    </w:p>
    <w:p>
      <w:pPr>
        <w:spacing w:after="120" w:line="276"/>
        <w:jc w:val="both"/>
      </w:pPr>
      <w:r>
        <w:t xml:space="preserve">Table S2 lists the agent variables. Traits are drawn once and remain fixed during a run.</w:t>
      </w:r>
    </w:p>
    <w:p>
      <w:pPr>
        <w:keepNext/>
        <w:spacing w:after="80" w:before="160"/>
      </w:pPr>
      <w:r>
        <w:rPr>
          <w:b/>
          <w:bCs/>
        </w:rPr>
        <w:t xml:space="preserve">Table S2.</w:t>
      </w:r>
      <w:r>
        <w:t xml:space="preserve"> Agent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4338"/>
      </w:tblGrid>
      <w:tr>
        <w:trPr>
          <w:tblHeader/>
        </w:trPr>
        <w:tc>
          <w:tcPr>
            <w:tcW w:type="dxa" w:w="27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20"/>
                <w:szCs w:val="20"/>
              </w:rPr>
              <w:t xml:space="preserve">Variable</w:t>
            </w:r>
          </w:p>
        </w:tc>
        <w:tc>
          <w:tcPr>
            <w:tcW w:type="dxa" w:w="26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20"/>
                <w:szCs w:val="20"/>
              </w:rPr>
              <w:t xml:space="preserve">Type and range</w:t>
            </w:r>
          </w:p>
        </w:tc>
        <w:tc>
          <w:tcPr>
            <w:tcW w:type="dxa" w:w="4338"/>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20"/>
                <w:szCs w:val="20"/>
              </w:rPr>
              <w:t xml:space="preserve">Meaning</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Identifier; community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Integer from 0; one of six communities</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Identity and community membership</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Neighbors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Set of agent identifiers</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Undirected links in the static network</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Need </w:t>
            </w:r>
            <w:r>
              <w:rPr>
                <w:i/>
                <w:iCs/>
              </w:rPr>
              <w:t xml:space="preserve">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Fixed, U(0.5, 1)</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Need for the product; enters the purchase index</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Fit </w:t>
            </w:r>
            <w:r>
              <w:rPr>
                <w:i/>
                <w:iCs/>
              </w:rPr>
              <w:t xml:space="preserve">f</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Fixed, U(0.5, 1)</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Product fit; enters the purchase index and satisfaction</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Credibility </w:t>
            </w:r>
            <w:r>
              <w:rPr>
                <w:i/>
                <w:iCs/>
              </w:rPr>
              <w:t xml:space="preserve">c</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Fixed, U(0.6, 1)</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Weight of the agent’s messages in a receiver’s memory</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Satisfaction </w:t>
            </w:r>
            <w:r>
              <w:rPr>
                <w:i/>
                <w:iCs/>
              </w:rPr>
              <w:t xml:space="preserve">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 1]; evaluated once</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Result of the purchase experience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Positive and negative energy </w:t>
            </w:r>
            <w:r>
              <w:rPr>
                <w:i/>
                <w:iCs/>
              </w:rPr>
              <w:t xml:space="preserve">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 1]</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Communication capacity of a promoter or detractor</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Influence memories </w:t>
            </w:r>
            <w:r>
              <w:rPr>
                <w:i/>
                <w:iCs/>
              </w:rPr>
              <w:t xml:space="preserve">L</w:t>
            </w:r>
            <w:r>
              <w:t xml:space="preserve">⁺, </w:t>
            </w:r>
            <w:r>
              <w:rPr>
                <w:i/>
                <w:iCs/>
              </w:rPr>
              <w:t xml:space="preserve">L</w:t>
            </w:r>
            <w:r>
              <w:t xml:space="preserv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Non-negative</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Accumulated credibility of positive and negative messages received</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Contacted sets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Sets of neighbors, by sign</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Neighbors already contacted with each sign</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Dates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Periods</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Purchase, experience, scheduled activation, activation and deactivation</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Deactivation reasons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Energy exhausted; contacts exhausted; both</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Recorded when an active sender stops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Attributed parent; generation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Agent identifier; integer</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Lineage of each purchase and promoter</w:t>
            </w:r>
          </w:p>
        </w:tc>
      </w:tr>
    </w:tbl>
    <w:p>
      <w:pPr>
        <w:spacing w:after="120"/>
      </w:pPr>
    </w:p>
    <w:p>
      <w:pPr>
        <w:pStyle w:val="Heading2"/>
        <w:spacing w:after="100" w:before="200"/>
      </w:pPr>
      <w:r>
        <w:t xml:space="preserve">2.3 Scales</w:t>
      </w:r>
    </w:p>
    <w:p>
      <w:pPr>
        <w:spacing w:after="120" w:line="276"/>
        <w:jc w:val="both"/>
      </w:pPr>
      <w:r>
        <w:t xml:space="preserve">The population has </w:t>
      </w:r>
      <w:r>
        <w:rPr>
          <w:i/>
          <w:iCs/>
        </w:rPr>
        <w:t xml:space="preserve">N</w:t>
      </w:r>
      <w:r>
        <w:t xml:space="preserve"> = 600 agents in six communities of 100. One time step is a period, an abstract decision interval that is not calibrated to a day, week or month. The original model specification labeled the period a simulated month by convention, with no calibrated empirical equivalence; no parameter was derived from monthly data, so the label has no effect on the results. The state at </w:t>
      </w:r>
      <w:r>
        <w:rPr>
          <w:i/>
          <w:iCs/>
        </w:rPr>
        <w:t xml:space="preserve">t</w:t>
      </w:r>
      <w:r>
        <w:t xml:space="preserve"> = 0 records the initialization, and runs last 60 periods in Stage 1 and 120 periods in Stages 2 and 3 (Section 8.3). There is no geographic space: proximity is defined only by the network.</w:t>
      </w:r>
    </w:p>
    <w:p>
      <w:pPr>
        <w:pStyle w:val="Heading1"/>
        <w:spacing w:after="120" w:before="280"/>
      </w:pPr>
      <w:r>
        <w:t xml:space="preserve">3. Process overview and scheduling</w:t>
      </w:r>
    </w:p>
    <w:p>
      <w:pPr>
        <w:spacing w:after="120" w:line="276"/>
        <w:jc w:val="both"/>
      </w:pPr>
      <w:r>
        <w:t xml:space="preserve">Updating is synchronous. All messages of a period are generated against a single snapshot of susceptible agents and are collected before any purchase is decided, so the order in which senders are processed cannot affect the result and a new buyer cannot send messages in the period of its purchase. Each period </w:t>
      </w:r>
      <w:r>
        <w:rPr>
          <w:i/>
          <w:iCs/>
        </w:rPr>
        <w:t xml:space="preserve">t</w:t>
      </w:r>
      <w:r>
        <w:t xml:space="preserve"> = 1, …, </w:t>
      </w:r>
      <w:r>
        <w:rPr>
          <w:i/>
          <w:iCs/>
        </w:rPr>
        <w:t xml:space="preserve">T</w:t>
      </w:r>
      <w:r>
        <w:t xml:space="preserve"> runs the following steps in this order:</w:t>
      </w:r>
    </w:p>
    <w:p>
      <w:pPr>
        <w:pStyle w:val="ListParagraph"/>
        <w:numPr>
          <w:ilvl w:val="0"/>
          <w:numId w:val="2"/>
        </w:numPr>
        <w:spacing w:after="60" w:line="276"/>
        <w:jc w:val="both"/>
      </w:pPr>
      <w:r>
        <w:t xml:space="preserve">Evaluate the experience of every purchase made in </w:t>
      </w:r>
      <w:r>
        <w:rPr>
          <w:i/>
          <w:iCs/>
        </w:rPr>
        <w:t xml:space="preserve">t</w:t>
      </w:r>
      <w:r>
        <w:t xml:space="preserve"> − 1 (Section 7.5).</w:t>
      </w:r>
    </w:p>
    <w:p>
      <w:pPr>
        <w:pStyle w:val="ListParagraph"/>
        <w:numPr>
          <w:ilvl w:val="0"/>
          <w:numId w:val="2"/>
        </w:numPr>
        <w:spacing w:after="60" w:line="276"/>
        <w:jc w:val="both"/>
      </w:pPr>
      <w:r>
        <w:t xml:space="preserve">Attempt the activations scheduled for </w:t>
      </w:r>
      <w:r>
        <w:rPr>
          <w:i/>
          <w:iCs/>
        </w:rPr>
        <w:t xml:space="preserve">t</w:t>
      </w:r>
      <w:r>
        <w:t xml:space="preserve">, checking energy and eligible contacts (Section 7.6).</w:t>
      </w:r>
    </w:p>
    <w:p>
      <w:pPr>
        <w:pStyle w:val="ListParagraph"/>
        <w:numPr>
          <w:ilvl w:val="0"/>
          <w:numId w:val="2"/>
        </w:numPr>
        <w:spacing w:after="60" w:line="276"/>
        <w:jc w:val="both"/>
      </w:pPr>
      <w:r>
        <w:t xml:space="preserve">Fix the snapshot of susceptible agents and of eligible senders.</w:t>
      </w:r>
    </w:p>
    <w:p>
      <w:pPr>
        <w:pStyle w:val="ListParagraph"/>
        <w:numPr>
          <w:ilvl w:val="0"/>
          <w:numId w:val="2"/>
        </w:numPr>
        <w:spacing w:after="60" w:line="276"/>
        <w:jc w:val="both"/>
      </w:pPr>
      <w:r>
        <w:t xml:space="preserve">Generate all positive and negative messages from that snapshot (Section 7.2).</w:t>
      </w:r>
    </w:p>
    <w:p>
      <w:pPr>
        <w:pStyle w:val="ListParagraph"/>
        <w:numPr>
          <w:ilvl w:val="0"/>
          <w:numId w:val="2"/>
        </w:numPr>
        <w:spacing w:after="60" w:line="276"/>
        <w:jc w:val="both"/>
      </w:pPr>
      <w:r>
        <w:t xml:space="preserve">Update exposures and the positive and negative influence memories (Section 7.3).</w:t>
      </w:r>
    </w:p>
    <w:p>
      <w:pPr>
        <w:pStyle w:val="ListParagraph"/>
        <w:numPr>
          <w:ilvl w:val="0"/>
          <w:numId w:val="2"/>
        </w:numPr>
        <w:spacing w:after="60" w:line="276"/>
        <w:jc w:val="both"/>
      </w:pPr>
      <w:r>
        <w:t xml:space="preserve">Compute one purchase decision for each susceptible agent that received a new positive message, and execute all purchases jointly (Section 7.4).</w:t>
      </w:r>
    </w:p>
    <w:p>
      <w:pPr>
        <w:pStyle w:val="ListParagraph"/>
        <w:numPr>
          <w:ilvl w:val="0"/>
          <w:numId w:val="2"/>
        </w:numPr>
        <w:spacing w:after="60" w:line="276"/>
        <w:jc w:val="both"/>
      </w:pPr>
      <w:r>
        <w:t xml:space="preserve">Attribute each purchase to one positive sender and schedule its experience for </w:t>
      </w:r>
      <w:r>
        <w:rPr>
          <w:i/>
          <w:iCs/>
        </w:rPr>
        <w:t xml:space="preserve">t</w:t>
      </w:r>
      <w:r>
        <w:t xml:space="preserve"> + 1 (Section 7.8).</w:t>
      </w:r>
    </w:p>
    <w:p>
      <w:pPr>
        <w:pStyle w:val="ListParagraph"/>
        <w:numPr>
          <w:ilvl w:val="0"/>
          <w:numId w:val="2"/>
        </w:numPr>
        <w:spacing w:after="60" w:line="276"/>
        <w:jc w:val="both"/>
      </w:pPr>
      <w:r>
        <w:t xml:space="preserve">Update the energy of every sender that was active during the period (Section 7.7).</w:t>
      </w:r>
    </w:p>
    <w:p>
      <w:pPr>
        <w:pStyle w:val="ListParagraph"/>
        <w:numPr>
          <w:ilvl w:val="0"/>
          <w:numId w:val="2"/>
        </w:numPr>
        <w:spacing w:after="60" w:line="276"/>
        <w:jc w:val="both"/>
      </w:pPr>
      <w:r>
        <w:t xml:space="preserve">Recompute remaining eligible contacts after the purchases and deactivate senders where the rules require it (Section 7.7).</w:t>
      </w:r>
    </w:p>
    <w:p>
      <w:pPr>
        <w:pStyle w:val="ListParagraph"/>
        <w:numPr>
          <w:ilvl w:val="0"/>
          <w:numId w:val="2"/>
        </w:numPr>
        <w:spacing w:after="60" w:line="276"/>
        <w:jc w:val="both"/>
      </w:pPr>
      <w:r>
        <w:t xml:space="preserve">Record agent states, events, indicators and classification flags (Sections 7.9 and 7.10).</w:t>
      </w:r>
    </w:p>
    <w:p>
      <w:pPr>
        <w:spacing w:after="120" w:before="120" w:line="276"/>
        <w:jc w:val="both"/>
      </w:pPr>
      <w:r>
        <w:t xml:space="preserve">As a consequence, a purchase in period </w:t>
      </w:r>
      <w:r>
        <w:rPr>
          <w:i/>
          <w:iCs/>
        </w:rPr>
        <w:t xml:space="preserve">t</w:t>
      </w:r>
      <w:r>
        <w:t xml:space="preserve"> is evaluated in </w:t>
      </w:r>
      <w:r>
        <w:rPr>
          <w:i/>
          <w:iCs/>
        </w:rPr>
        <w:t xml:space="preserve">t</w:t>
      </w:r>
      <w:r>
        <w:t xml:space="preserve"> + 1 and can produce a new sender only from </w:t>
      </w:r>
      <w:r>
        <w:rPr>
          <w:i/>
          <w:iCs/>
        </w:rPr>
        <w:t xml:space="preserve">t</w:t>
      </w:r>
      <w:r>
        <w:t xml:space="preserve"> + 2. Instantaneous cascades within one period are impossible.</w:t>
      </w:r>
    </w:p>
    <w:p>
      <w:pPr>
        <w:pStyle w:val="Heading1"/>
        <w:spacing w:after="120" w:before="280"/>
      </w:pPr>
      <w:r>
        <w:t xml:space="preserve">4. Design concepts</w:t>
      </w:r>
    </w:p>
    <w:p>
      <w:pPr>
        <w:spacing w:after="120" w:line="276"/>
        <w:jc w:val="both"/>
      </w:pPr>
      <w:r>
        <w:rPr>
          <w:b/>
          <w:bCs/>
        </w:rPr>
        <w:t xml:space="preserve">Basic principles. </w:t>
      </w:r>
      <w:r>
        <w:t xml:space="preserve">The model combines a diffusion process on a network, in which purchases follow from interpersonal messages, with a finite communication resource. A promoter is defined functionally as an experienced, satisfied customer who is eligible and able to communicate positively. Nominal promoter mass (the initial count) is therefore distinguished from effective capacity, which also depends on energy, credibility and remaining eligible contacts. Sustained diffusion requires that the communication process replenishes itself, through purchases that generate new promoters, faster than existing promoters stop.</w:t>
      </w:r>
    </w:p>
    <w:p>
      <w:pPr>
        <w:spacing w:after="120" w:line="276"/>
        <w:jc w:val="both"/>
      </w:pPr>
      <w:r>
        <w:rPr>
          <w:b/>
          <w:bCs/>
        </w:rPr>
        <w:t xml:space="preserve">Emergence. </w:t>
      </w:r>
      <w:r>
        <w:t xml:space="preserve">Sustained diffusion, early extinction, saturation, collapse after takeoff and the sizes of purchase cascades emerge from individual messages, purchase decisions, experiences, activations and energy loss. The frequency of sustained diffusion across replicates, which the article reads as a condition-dependent critical mass, is also emergent.</w:t>
      </w:r>
    </w:p>
    <w:p>
      <w:pPr>
        <w:spacing w:after="120" w:line="276"/>
        <w:jc w:val="both"/>
      </w:pPr>
      <w:r>
        <w:rPr>
          <w:b/>
          <w:bCs/>
        </w:rPr>
        <w:t xml:space="preserve">Adaptation. </w:t>
      </w:r>
      <w:r>
        <w:t xml:space="preserve">Agents do not adapt their behavior to improve any outcome. Purchase decisions respond to accumulated influence through a fixed probabilistic rule (Section 7.4).</w:t>
      </w:r>
    </w:p>
    <w:p>
      <w:pPr>
        <w:spacing w:after="120" w:line="276"/>
        <w:jc w:val="both"/>
      </w:pPr>
      <w:r>
        <w:rPr>
          <w:b/>
          <w:bCs/>
        </w:rPr>
        <w:t xml:space="preserve">Objectives. </w:t>
      </w:r>
      <w:r>
        <w:t xml:space="preserve">Agents have no explicit objectives or utility maximization.</w:t>
      </w:r>
    </w:p>
    <w:p>
      <w:pPr>
        <w:spacing w:after="120" w:line="276"/>
        <w:jc w:val="both"/>
      </w:pPr>
      <w:r>
        <w:rPr>
          <w:b/>
          <w:bCs/>
        </w:rPr>
        <w:t xml:space="preserve">Learning. </w:t>
      </w:r>
      <w:r>
        <w:t xml:space="preserve">There is no learning. Satisfaction is evaluated once and is never updated.</w:t>
      </w:r>
    </w:p>
    <w:p>
      <w:pPr>
        <w:spacing w:after="120" w:line="276"/>
        <w:jc w:val="both"/>
      </w:pPr>
      <w:r>
        <w:rPr>
          <w:b/>
          <w:bCs/>
        </w:rPr>
        <w:t xml:space="preserve">Prediction. </w:t>
      </w:r>
      <w:r>
        <w:t xml:space="preserve">Agents do not predict future states.</w:t>
      </w:r>
    </w:p>
    <w:p>
      <w:pPr>
        <w:spacing w:after="120" w:line="276"/>
        <w:jc w:val="both"/>
      </w:pPr>
      <w:r>
        <w:rPr>
          <w:b/>
          <w:bCs/>
        </w:rPr>
        <w:t xml:space="preserve">Sensing. </w:t>
      </w:r>
      <w:r>
        <w:t xml:space="preserve">A sender knows which of its neighbors are still susceptible and which it has already contacted with each sign. A susceptible agent perceives the messages it receives and the credibility of their senders. No agent perceives global quantities.</w:t>
      </w:r>
    </w:p>
    <w:p>
      <w:pPr>
        <w:spacing w:after="120" w:line="276"/>
        <w:jc w:val="both"/>
      </w:pPr>
      <w:r>
        <w:rPr>
          <w:b/>
          <w:bCs/>
        </w:rPr>
        <w:t xml:space="preserve">Interaction. </w:t>
      </w:r>
      <w:r>
        <w:t xml:space="preserve">Interaction is direct and local: a sender can contact only its network neighbors, and each directed sender–receiver pair carries at most one message of each sign during a run. Different senders can reach the same receiver, and positive and negative messages can arrive together.</w:t>
      </w:r>
    </w:p>
    <w:p>
      <w:pPr>
        <w:spacing w:after="120" w:line="276"/>
        <w:jc w:val="both"/>
      </w:pPr>
      <w:r>
        <w:rPr>
          <w:b/>
          <w:bCs/>
        </w:rPr>
        <w:t xml:space="preserve">Stochasticity. </w:t>
      </w:r>
      <w:r>
        <w:t xml:space="preserve">Network links, traits, the selection of initial customers, detractors and promoters, message opportunities, the choice of recipient, purchase decisions, experience noise and dispositions are random. Each random decision draws from a uniform value indexed by replicate, agent, period, mechanism and opportunity (Section 8.1). Paired scenarios therefore consult the same value for the same potential decision even when other decisions differ, which isolates the effect of the experimental factor.</w:t>
      </w:r>
    </w:p>
    <w:p>
      <w:pPr>
        <w:spacing w:after="120" w:line="276"/>
        <w:jc w:val="both"/>
      </w:pPr>
      <w:r>
        <w:rPr>
          <w:b/>
          <w:bCs/>
        </w:rPr>
        <w:t xml:space="preserve">Collectives. </w:t>
      </w:r>
      <w:r>
        <w:t xml:space="preserve">The six communities are fixed groups imposed at initialization. They determine link probabilities and the placement of initial promoters; they have no behavior of their own.</w:t>
      </w:r>
    </w:p>
    <w:p>
      <w:pPr>
        <w:spacing w:after="120" w:line="276"/>
        <w:jc w:val="both"/>
      </w:pPr>
      <w:r>
        <w:rPr>
          <w:b/>
          <w:bCs/>
        </w:rPr>
        <w:t xml:space="preserve">Observation. </w:t>
      </w:r>
      <w:r>
        <w:t xml:space="preserve">Each run records its parameters, the network, initial agent states, every message, purchase decision, experience, activation attempt, energy update and deactivation, the lineage of purchases, and period-level system indicators. Outcomes are computed from these records after the run and never feed back into the dynamics (Sections 7.9 and 7.10).</w:t>
      </w:r>
    </w:p>
    <w:p>
      <w:pPr>
        <w:pStyle w:val="Heading1"/>
        <w:spacing w:after="120" w:before="280"/>
      </w:pPr>
      <w:r>
        <w:t xml:space="preserve">5. Initialization</w:t>
      </w:r>
    </w:p>
    <w:p>
      <w:pPr>
        <w:spacing w:after="120" w:line="276"/>
        <w:jc w:val="both"/>
      </w:pPr>
      <w:r>
        <w:t xml:space="preserve">Each replicate builds the network and draws the traits of all 600 agents. It then selects 20 customers at random in each community, giving </w:t>
      </w:r>
      <w:r>
        <w:rPr>
          <w:i/>
          <w:iCs/>
        </w:rPr>
        <w:t xml:space="preserve">C</w:t>
      </w:r>
      <w:r>
        <w:t xml:space="preserve">₀ = 120 initial customers and </w:t>
      </w:r>
      <w:r>
        <w:rPr>
          <w:i/>
          <w:iCs/>
        </w:rPr>
        <w:t xml:space="preserve">U</w:t>
      </w:r>
      <w:r>
        <w:t xml:space="preserve">₀ = 480 susceptible agents. One customer per community is reserved as an initial detractor, so </w:t>
      </w:r>
      <w:r>
        <w:rPr>
          <w:i/>
          <w:iCs/>
        </w:rPr>
        <w:t xml:space="preserve">D</w:t>
      </w:r>
      <w:r>
        <w:t xml:space="preserve">₀ = 6. Initial customers are counted as customers with prior experience: their </w:t>
      </w:r>
      <w:r>
        <w:rPr>
          <w:i/>
          <w:iCs/>
        </w:rPr>
        <w:t xml:space="preserve">t</w:t>
      </w:r>
      <w:r>
        <w:t xml:space="preserve"> = 0 dates mark presence before the observation period and are not empirical purchase dates.</w:t>
      </w:r>
    </w:p>
    <w:p>
      <w:pPr>
        <w:spacing w:after="120" w:line="276"/>
        <w:jc w:val="both"/>
      </w:pPr>
      <w:r>
        <w:t xml:space="preserve">Initial promoters are drawn from the remaining 114 customers under one of two placement policies. Under distributed placement, used in all reported results except a Stage 1 diagnostic, promoters are spread as evenly as possible across the six communities, and remainders follow a community permutation fixed by the replicate seed. Under concentrated placement, they are spread evenly across the first two communities of that permutation. Within each community a fixed random ordering is used, so the promoter set for a smaller count is nested in the set for a larger count under the same policy. With one and two initial promoters, the second promoter therefore occupies a different community from the first.</w:t>
      </w:r>
    </w:p>
    <w:p>
      <w:pPr>
        <w:spacing w:after="120" w:line="276"/>
        <w:jc w:val="both"/>
      </w:pPr>
      <w:r>
        <w:t xml:space="preserve">Counts are supplied as exact integers. One and two promoters correspond to 0.8333% and 1.6667% of the initial customers, and the Stage 1 shares of 0% to 30% correspond to 0 to 36 promoters in steps of three (Section 8.3). Proportions that would not give an integer count, or that exceed community capacity, are rejected rather than rounded.</w:t>
      </w:r>
    </w:p>
    <w:p>
      <w:pPr>
        <w:spacing w:after="120" w:line="276"/>
        <w:jc w:val="both"/>
      </w:pPr>
      <w:r>
        <w:t xml:space="preserve">Initial promoters are satisfied by construction (satisfaction 1), initial detractors are dissatisfied (satisfaction 0), and the other initial customers are neutral (satisfaction 0.5) and are never reassessed. Initial promoters receive the experimental energy </w:t>
      </w:r>
      <w:r>
        <w:rPr>
          <w:i/>
          <w:iCs/>
        </w:rPr>
        <w:t xml:space="preserve">E</w:t>
      </w:r>
      <w:r>
        <w:t xml:space="preserve">₀ (0.3, 0.6 or 0.9 in Stage 3; 0.6 in Stages 1 and 2). Initial detractors receive energy 0.6. A nominal promoter or detractor that has no energy above the threshold or no eligible contact at </w:t>
      </w:r>
      <w:r>
        <w:rPr>
          <w:i/>
          <w:iCs/>
        </w:rPr>
        <w:t xml:space="preserve">t</w:t>
      </w:r>
      <w:r>
        <w:t xml:space="preserve"> = 0 is recorded as inactive with its reason; this marks an initial block, not a simulated deactivation. All other agents start with zero energy and empty memories.</w:t>
      </w:r>
    </w:p>
    <w:p>
      <w:pPr>
        <w:spacing w:after="120" w:line="276"/>
        <w:jc w:val="both"/>
      </w:pPr>
      <w:r>
        <w:t xml:space="preserve">Network, traits, customers, detractors, community order and selection order are generated without reference to the promoter count, energy or placement policy. Scenarios that share a replicate seed are therefore paired: they start from the same environment and differ only in the experimental factor.</w:t>
      </w:r>
    </w:p>
    <w:p>
      <w:pPr>
        <w:pStyle w:val="Heading1"/>
        <w:spacing w:after="120" w:before="280"/>
      </w:pPr>
      <w:r>
        <w:t xml:space="preserve">6. Input data</w:t>
      </w:r>
    </w:p>
    <w:p>
      <w:pPr>
        <w:spacing w:after="120" w:line="276"/>
        <w:jc w:val="both"/>
      </w:pPr>
      <w:r>
        <w:t xml:space="preserve">The model uses no external input data. It does not read time series, empirical networks or survey data, and no parameter was estimated from data. All drivers are internal to the simulation.</w:t>
      </w:r>
    </w:p>
    <w:p>
      <w:pPr>
        <w:pStyle w:val="Heading1"/>
        <w:spacing w:after="120" w:before="280"/>
      </w:pPr>
      <w:r>
        <w:t xml:space="preserve">7. Submodels</w:t>
      </w:r>
    </w:p>
    <w:p>
      <w:pPr>
        <w:spacing w:after="120" w:line="276"/>
        <w:jc w:val="both"/>
      </w:pPr>
      <w:r>
        <w:t xml:space="preserve">Table S3 summarizes all parameters. The submodels below give the rules in the order in which they act.</w:t>
      </w:r>
    </w:p>
    <w:p>
      <w:pPr>
        <w:keepNext/>
        <w:spacing w:after="80" w:before="160"/>
      </w:pPr>
      <w:r>
        <w:rPr>
          <w:b/>
          <w:bCs/>
        </w:rPr>
        <w:t xml:space="preserve">Table S3.</w:t>
      </w:r>
      <w:r>
        <w:t xml:space="preserve"> Model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638"/>
      </w:tblGrid>
      <w:tr>
        <w:trPr>
          <w:tblHeader/>
        </w:trPr>
        <w:tc>
          <w:tcPr>
            <w:tcW w:type="dxa" w:w="43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20"/>
                <w:szCs w:val="20"/>
              </w:rPr>
              <w:t xml:space="preserve">Parameter</w:t>
            </w:r>
          </w:p>
        </w:tc>
        <w:tc>
          <w:tcPr>
            <w:tcW w:type="dxa" w:w="17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20"/>
                <w:szCs w:val="20"/>
              </w:rPr>
              <w:t xml:space="preserve">Symbol</w:t>
            </w:r>
          </w:p>
        </w:tc>
        <w:tc>
          <w:tcPr>
            <w:tcW w:type="dxa" w:w="3638"/>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20"/>
                <w:szCs w:val="20"/>
              </w:rPr>
              <w:t xml:space="preserve">Value</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Population; communities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i/>
                <w:iCs/>
              </w:rPr>
              <w:t xml:space="preserve">N</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600; 6 of 100 agents</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Link probability within / between communities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i/>
                <w:iCs/>
              </w:rPr>
              <w:t xml:space="preserve">p</w:t>
            </w:r>
            <w:r>
              <w:t xml:space="preserve">ᵢₙ / </w:t>
            </w:r>
            <w:r>
              <w:rPr>
                <w:i/>
                <w:iCs/>
              </w:rPr>
              <w:t xml:space="preserve">p</w:t>
            </w:r>
            <w:r>
              <w:t xml:space="preserve">ₒᵤₜ</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0.08 / 0.006 (expected mean degree 10.92)</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Initial customers; initial detractors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i/>
                <w:iCs/>
              </w:rPr>
              <w:t xml:space="preserve">C</w:t>
            </w:r>
            <w:r>
              <w:t xml:space="preserve">₀; </w:t>
            </w:r>
            <w:r>
              <w:rPr>
                <w:i/>
                <w:iCs/>
              </w:rPr>
              <w:t xml:space="preserve">D</w:t>
            </w:r>
            <w:r>
              <w:t xml:space="preserve">₀</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120 (20 per community); 6 (1 per community)</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Need; fit; credibility</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i/>
                <w:iCs/>
              </w:rPr>
              <w:t xml:space="preserve">n</w:t>
            </w:r>
            <w:r>
              <w:t xml:space="preserve">; </w:t>
            </w:r>
            <w:r>
              <w:rPr>
                <w:i/>
                <w:iCs/>
              </w:rPr>
              <w:t xml:space="preserve">f</w:t>
            </w:r>
            <w:r>
              <w:t xml:space="preserve">; </w:t>
            </w:r>
            <w:r>
              <w:rPr>
                <w:i/>
                <w:iCs/>
              </w:rPr>
              <w:t xml:space="preserve">c</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U(0.5, 1); U(0.5, 1); U(0.6, 1)</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Message opportunities per period; success factor</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i/>
                <w:iCs/>
              </w:rPr>
              <w:t xml:space="preserve">k</w:t>
            </w:r>
            <w:r>
              <w:t xml:space="preserve">; </w:t>
            </w:r>
            <w:r>
              <w:rPr>
                <w:i/>
                <w:iCs/>
              </w:rPr>
              <w:t xml:space="preserve">o</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 0.8</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Memory persistence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ρ</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0.5</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Purchase index coefficients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Equation S3</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 1.5; 1.5; 1.2; 1.2λ</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Negative-influence weight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λ</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 1, 2 (1 in Stages 1–2)</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Product quality; experience noise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i/>
                <w:iCs/>
              </w:rPr>
              <w:t xml:space="preserve">q</w:t>
            </w:r>
            <w:r>
              <w:t xml:space="preserve">; ε</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0.7; U(−0.4, 0.4)</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Effect of fit on satisfaction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0.2</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Satisfaction thresholds (satisfied / dissatisfied)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 0.75 / ≤ 0.35</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Disposition probability (positive / negative)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0.8 / 0.8</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Energy decay per period; cost per message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δ; </w:t>
            </w:r>
            <w:r>
              <w:rPr>
                <w:i/>
                <w:iCs/>
              </w:rPr>
              <w:t xml:space="preserve">c</w:t>
            </w:r>
            <w:r>
              <w:t xml:space="preserve">ₘ</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0.06; 0.04</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Inactivity threshold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i/>
                <w:iCs/>
              </w:rPr>
              <w:t xml:space="preserve">E</w:t>
            </w:r>
            <w:r>
              <w:t xml:space="preserve">ₘᵢₙ</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0.05</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Initial energy of initial promoters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i/>
                <w:iCs/>
              </w:rPr>
              <w:t xml:space="preserve">E</w:t>
            </w:r>
            <w:r>
              <w:t xml:space="preserve">₀</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0.3, 0.6, 0.9 (0.6 in Stages 1–2)</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Energy of new promoters and of all detractors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0.6</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Horizon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i/>
                <w:iCs/>
              </w:rPr>
              <w:t xml:space="preserve">T</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60 (Stage 1); 120 (Stages 2–3)</w:t>
            </w:r>
          </w:p>
        </w:tc>
      </w:tr>
    </w:tbl>
    <w:p>
      <w:pPr>
        <w:spacing w:after="160" w:before="60"/>
      </w:pPr>
      <w:r>
        <w:t xml:space="preserve">Note. All values are illustrative design choices fixed in the model specification, not empirical estimates. U(</w:t>
      </w:r>
      <w:r>
        <w:rPr>
          <w:i/>
          <w:iCs/>
        </w:rPr>
        <w:t xml:space="preserve">a</w:t>
      </w:r>
      <w:r>
        <w:t xml:space="preserve">, </w:t>
      </w:r>
      <w:r>
        <w:rPr>
          <w:i/>
          <w:iCs/>
        </w:rPr>
        <w:t xml:space="preserve">b</w:t>
      </w:r>
      <w:r>
        <w:t xml:space="preserve">) denotes a uniform distribution.</w:t>
      </w:r>
    </w:p>
    <w:p>
      <w:pPr>
        <w:pStyle w:val="Heading2"/>
        <w:spacing w:after="100" w:before="200"/>
      </w:pPr>
      <w:r>
        <w:t xml:space="preserve">7.1 Network</w:t>
      </w:r>
    </w:p>
    <w:p>
      <w:pPr>
        <w:spacing w:after="120" w:line="276"/>
        <w:jc w:val="both"/>
      </w:pPr>
      <w:r>
        <w:t xml:space="preserve">The network is simple and undirected, without self-links. For each pair of agents a link is created with probability 0.08 if both belong to the same community and 0.006 otherwise, which gives an expected mean degree of 99 × 0.08 + 500 × 0.006 = 10.92. The network is held fixed during a run. No link is added to favor diffusion and no network is discarded because of its commercial outcome. Each link is stored once with the lower identifier first.</w:t>
      </w:r>
    </w:p>
    <w:p>
      <w:pPr>
        <w:pStyle w:val="Heading2"/>
        <w:spacing w:after="100" w:before="200"/>
      </w:pPr>
      <w:r>
        <w:t xml:space="preserve">7.2 Message emission</w:t>
      </w:r>
    </w:p>
    <w:p>
      <w:pPr>
        <w:spacing w:after="120" w:line="276"/>
        <w:jc w:val="both"/>
      </w:pPr>
      <w:r>
        <w:t xml:space="preserve">For sender </w:t>
      </w:r>
      <w:r>
        <w:rPr>
          <w:i/>
          <w:iCs/>
        </w:rPr>
        <w:t xml:space="preserve">i</w:t>
      </w:r>
      <w:r>
        <w:t xml:space="preserve"> and sign </w:t>
      </w:r>
      <w:r>
        <w:rPr>
          <w:i/>
          <w:iCs/>
        </w:rPr>
        <w:t xml:space="preserve">s</w:t>
      </w:r>
      <w:r>
        <w:t xml:space="preserve">, the eligible contacts are neighbors that are susceptible at the start of the period and that </w:t>
      </w:r>
      <w:r>
        <w:rPr>
          <w:i/>
          <w:iCs/>
        </w:rPr>
        <w:t xml:space="preserve">i</w:t>
      </w:r>
      <w:r>
        <w:t xml:space="preserve"> has never contacted with sign </w:t>
      </w:r>
      <w:r>
        <w:rPr>
          <w:i/>
          <w:iCs/>
        </w:rPr>
        <w:t xml:space="preserve">s</w:t>
      </w:r>
      <w:r>
        <w:t xml:space="preserve">. Each active sender has </w:t>
      </w:r>
      <w:r>
        <w:rPr>
          <w:i/>
          <w:iCs/>
        </w:rPr>
        <w:t xml:space="preserve">k</w:t>
      </w:r>
      <w:r>
        <w:t xml:space="preserve"> = 2 opportunities per period. In each opportunity it sends a message with probability </w:t>
      </w:r>
      <w:r>
        <w:rPr>
          <w:i/>
          <w:iCs/>
        </w:rPr>
        <w:t xml:space="preserve">o</w:t>
      </w:r>
      <w:r>
        <w:t xml:space="preserve"> × </w:t>
      </w:r>
      <w:r>
        <w:rPr>
          <w:i/>
          <w:iCs/>
        </w:rPr>
        <w:t xml:space="preserve">E</w:t>
      </w:r>
      <w:r>
        <w:t xml:space="preserve">ᵢ, where </w:t>
      </w:r>
      <w:r>
        <w:rPr>
          <w:i/>
          <w:iCs/>
        </w:rPr>
        <w:t xml:space="preserve">E</w:t>
      </w:r>
      <w:r>
        <w:t xml:space="preserve">ᵢ is its energy at the start of the period, provided that </w:t>
      </w:r>
      <w:r>
        <w:rPr>
          <w:i/>
          <w:iCs/>
        </w:rPr>
        <w:t xml:space="preserve">E</w:t>
      </w:r>
      <w:r>
        <w:t xml:space="preserve">ᵢ &gt; 0.05 and at least one eligible contact remains. The recipient is chosen uniformly among the eligible contacts, ordered by identifier for reproducibility, and is removed from the sender’s eligible set for the rest of the period and of the run. A refused purchase does not allow the same sender to try the same receiver again. Positive and negative senders use the same rules and the same snapshot of susceptible agents.</w:t>
      </w:r>
    </w:p>
    <w:p>
      <w:pPr>
        <w:pStyle w:val="Heading2"/>
        <w:spacing w:after="100" w:before="200"/>
      </w:pPr>
      <w:r>
        <w:t xml:space="preserve">7.3 Influence memory</w:t>
      </w:r>
    </w:p>
    <w:p>
      <w:pPr>
        <w:spacing w:after="120" w:line="276"/>
        <w:jc w:val="both"/>
      </w:pPr>
      <w:r>
        <w:t xml:space="preserve">Each susceptible agent </w:t>
      </w:r>
      <w:r>
        <w:rPr>
          <w:i/>
          <w:iCs/>
        </w:rPr>
        <w:t xml:space="preserve">j</w:t>
      </w:r>
      <w:r>
        <w:t xml:space="preserve"> keeps a positive and a negative memory, updated separately each period:</w:t>
      </w:r>
    </w:p>
    <w:p>
      <w:pPr>
        <w:spacing w:after="120" w:before="80"/>
        <w:jc w:val="center"/>
      </w:pPr>
      <w:r>
        <w:t xml:space="preserve">Lⱼ⁺(t) = ρ Lⱼ⁺(t − 1) + Σ cᵢ,     Hⱼ⁺(t) = 1 − exp[−Lⱼ⁺(t)]</w:t>
      </w:r>
      <w:r>
        <w:t xml:space="preserve">          (S1)</w:t>
      </w:r>
    </w:p>
    <w:p>
      <w:pPr>
        <w:spacing w:after="120" w:before="80"/>
        <w:jc w:val="center"/>
      </w:pPr>
      <w:r>
        <w:t xml:space="preserve">Lⱼ⁻(t) = ρ Lⱼ⁻(t − 1) + Σ cᵢ,     Hⱼ⁻(t) = 1 − exp[−Lⱼ⁻(t)]</w:t>
      </w:r>
      <w:r>
        <w:t xml:space="preserve">          (S2)</w:t>
      </w:r>
    </w:p>
    <w:p>
      <w:pPr>
        <w:spacing w:after="120" w:line="276"/>
        <w:jc w:val="both"/>
      </w:pPr>
      <w:r>
        <w:t xml:space="preserve">where the sums run over the credibilities of the positive and negative senders that reached </w:t>
      </w:r>
      <w:r>
        <w:rPr>
          <w:i/>
          <w:iCs/>
        </w:rPr>
        <w:t xml:space="preserve">j</w:t>
      </w:r>
      <w:r>
        <w:t xml:space="preserve"> in period </w:t>
      </w:r>
      <w:r>
        <w:rPr>
          <w:i/>
          <w:iCs/>
        </w:rPr>
        <w:t xml:space="preserve">t</w:t>
      </w:r>
      <w:r>
        <w:t xml:space="preserve">, and ρ = 0.5. </w:t>
      </w:r>
      <w:r>
        <w:rPr>
          <w:i/>
          <w:iCs/>
        </w:rPr>
        <w:t xml:space="preserve">H</w:t>
      </w:r>
      <w:r>
        <w:t xml:space="preserve">⁺ and </w:t>
      </w:r>
      <w:r>
        <w:rPr>
          <w:i/>
          <w:iCs/>
        </w:rPr>
        <w:t xml:space="preserve">H</w:t>
      </w:r>
      <w:r>
        <w:t xml:space="preserve">⁻ are bounded influence terms in [0, 1). The memories of an agent that has purchased are frozen.</w:t>
      </w:r>
    </w:p>
    <w:p>
      <w:pPr>
        <w:pStyle w:val="Heading2"/>
        <w:spacing w:after="100" w:before="200"/>
      </w:pPr>
      <w:r>
        <w:t xml:space="preserve">7.4 Purchase decision</w:t>
      </w:r>
    </w:p>
    <w:p>
      <w:pPr>
        <w:spacing w:after="120" w:line="276"/>
        <w:jc w:val="both"/>
      </w:pPr>
      <w:r>
        <w:t xml:space="preserve">Only a susceptible agent that receives at least one new positive message in period </w:t>
      </w:r>
      <w:r>
        <w:rPr>
          <w:i/>
          <w:iCs/>
        </w:rPr>
        <w:t xml:space="preserve">t</w:t>
      </w:r>
      <w:r>
        <w:t xml:space="preserve"> can purchase in </w:t>
      </w:r>
      <w:r>
        <w:rPr>
          <w:i/>
          <w:iCs/>
        </w:rPr>
        <w:t xml:space="preserve">t</w:t>
      </w:r>
      <w:r>
        <w:t xml:space="preserve">. This gate prevents spontaneous purchases from the intercept of the purchase index and implies that older recommendations contribute only when a new positive message arrives. For an eligible agent:</w:t>
      </w:r>
    </w:p>
    <w:p>
      <w:pPr>
        <w:spacing w:after="120" w:before="80"/>
        <w:jc w:val="center"/>
      </w:pPr>
      <w:r>
        <w:t xml:space="preserve">zⱼ(t) = −2 + 1.5 nⱼ + 1.5 fⱼ + 1.2 Hⱼ⁺(t) − 1.2 λ Hⱼ⁻(t),     pⱼ(t) = 1 / [1 + exp(−zⱼ(t))]</w:t>
      </w:r>
      <w:r>
        <w:t xml:space="preserve">          (S3)</w:t>
      </w:r>
    </w:p>
    <w:p>
      <w:pPr>
        <w:spacing w:after="120" w:line="276"/>
        <w:jc w:val="both"/>
      </w:pPr>
      <w:r>
        <w:t xml:space="preserve">The agent purchases if an indexed uniform draw </w:t>
      </w:r>
      <w:r>
        <w:rPr>
          <w:i/>
          <w:iCs/>
        </w:rPr>
        <w:t xml:space="preserve">u</w:t>
      </w:r>
      <w:r>
        <w:t xml:space="preserve"> satisfies </w:t>
      </w:r>
      <w:r>
        <w:rPr>
          <w:i/>
          <w:iCs/>
        </w:rPr>
        <w:t xml:space="preserve">u</w:t>
      </w:r>
      <w:r>
        <w:t xml:space="preserve"> &lt; </w:t>
      </w:r>
      <w:r>
        <w:rPr>
          <w:i/>
          <w:iCs/>
        </w:rPr>
        <w:t xml:space="preserve">p</w:t>
      </w:r>
      <w:r>
        <w:t xml:space="preserve">ⱼ(</w:t>
      </w:r>
      <w:r>
        <w:rPr>
          <w:i/>
          <w:iCs/>
        </w:rPr>
        <w:t xml:space="preserve">t</w:t>
      </w:r>
      <w:r>
        <w:t xml:space="preserve">). Several messages in the same period lead to a single decision. An agent exposed only to negative messages has zero probability, consumes no draw and is recorded as an ineligible exposure, not as a refused sale. A buyer becomes a customer awaiting experience, stops being susceptible and never purchases again.</w:t>
      </w:r>
    </w:p>
    <w:p>
      <w:pPr>
        <w:spacing w:after="120" w:line="276"/>
        <w:jc w:val="both"/>
      </w:pPr>
      <w:r>
        <w:t xml:space="preserve">The weight λ scales negative influence in both the purchase index and the net pressure indicator (Section 7.9). With λ = 0, negative messages and detractor formation still occur, but they have no effect on purchases. This differs from disabling the negative mechanism, which removes negative messages, memories and activations altogether; the disabled condition was used in verification and is not part of the reported experiments.</w:t>
      </w:r>
    </w:p>
    <w:p>
      <w:pPr>
        <w:pStyle w:val="Heading2"/>
        <w:spacing w:after="100" w:before="200"/>
      </w:pPr>
      <w:r>
        <w:t xml:space="preserve">7.5 Experience and disposition</w:t>
      </w:r>
    </w:p>
    <w:p>
      <w:pPr>
        <w:spacing w:after="120" w:line="276"/>
        <w:jc w:val="both"/>
      </w:pPr>
      <w:r>
        <w:t xml:space="preserve">A purchase made in period </w:t>
      </w:r>
      <w:r>
        <w:rPr>
          <w:i/>
          <w:iCs/>
        </w:rPr>
        <w:t xml:space="preserve">t</w:t>
      </w:r>
      <w:r>
        <w:t xml:space="preserve"> is evaluated once, at the start of </w:t>
      </w:r>
      <w:r>
        <w:rPr>
          <w:i/>
          <w:iCs/>
        </w:rPr>
        <w:t xml:space="preserve">t</w:t>
      </w:r>
      <w:r>
        <w:t xml:space="preserve"> + 1:</w:t>
      </w:r>
    </w:p>
    <w:p>
      <w:pPr>
        <w:spacing w:after="120" w:before="80"/>
        <w:jc w:val="center"/>
      </w:pPr>
      <w:r>
        <w:t xml:space="preserve">sᵢ = min{1, max[0, q + 0.2 (fᵢ − 0.5) + εᵢ]},     εᵢ ~ U(−0.4, 0.4)</w:t>
      </w:r>
      <w:r>
        <w:t xml:space="preserve">          (S4)</w:t>
      </w:r>
    </w:p>
    <w:p>
      <w:pPr>
        <w:spacing w:after="120" w:line="276"/>
        <w:jc w:val="both"/>
      </w:pPr>
      <w:r>
        <w:t xml:space="preserve">with </w:t>
      </w:r>
      <w:r>
        <w:rPr>
          <w:i/>
          <w:iCs/>
        </w:rPr>
        <w:t xml:space="preserve">q</w:t>
      </w:r>
      <w:r>
        <w:t xml:space="preserve"> = 0.7. A customer with satisfaction of at least 0.75 is satisfied and receives one Bernoulli draw with probability 0.8; if it succeeds, the customer becomes a potential promoter with energy 0.6. A customer with satisfaction of at most 0.35 is dissatisfied and receives one Bernoulli draw with probability 0.8; if it succeeds, the customer becomes a potential detractor with energy 0.6. Customers in between are neutral, and satisfied or dissatisfied customers without a favorable draw keep the WOM state none. Receiving negative messages never turns an agent into a detractor: dissatisfaction requires its own purchase and experience. The energy of new promoters does not depend on the experimental energy of the initial cohort.</w:t>
      </w:r>
    </w:p>
    <w:p>
      <w:pPr>
        <w:pStyle w:val="Heading2"/>
        <w:spacing w:after="100" w:before="200"/>
      </w:pPr>
      <w:r>
        <w:t xml:space="preserve">7.6 Activation</w:t>
      </w:r>
    </w:p>
    <w:p>
      <w:pPr>
        <w:spacing w:after="120" w:line="276"/>
        <w:jc w:val="both"/>
      </w:pPr>
      <w:r>
        <w:t xml:space="preserve">A potential sender attempts activation once, at the start of </w:t>
      </w:r>
      <w:r>
        <w:rPr>
          <w:i/>
          <w:iCs/>
        </w:rPr>
        <w:t xml:space="preserve">t</w:t>
      </w:r>
      <w:r>
        <w:t xml:space="preserve"> + 2. It activates if its energy is strictly greater than 0.05 and at least one eligible contact remains, and it can then send messages in the same period. If either condition fails, the agent stays potential, the reason is recorded, and no further attempt is made. A failed attempt is not counted as a deactivation.</w:t>
      </w:r>
    </w:p>
    <w:p>
      <w:pPr>
        <w:pStyle w:val="Heading2"/>
        <w:spacing w:after="100" w:before="200"/>
      </w:pPr>
      <w:r>
        <w:t xml:space="preserve">7.7 Energy, fatigue and deactivation</w:t>
      </w:r>
    </w:p>
    <w:p>
      <w:pPr>
        <w:spacing w:after="120" w:line="276"/>
        <w:jc w:val="both"/>
      </w:pPr>
      <w:r>
        <w:t xml:space="preserve">At the end of each period, the energy of every sender that was active during the period is updated as</w:t>
      </w:r>
    </w:p>
    <w:p>
      <w:pPr>
        <w:spacing w:after="120" w:before="80"/>
        <w:jc w:val="center"/>
      </w:pPr>
      <w:r>
        <w:t xml:space="preserve">Eᵢ(t + 1) = max[0, (1 − δ) Eᵢ(t) − cₘ mᵢ(t)]</w:t>
      </w:r>
      <w:r>
        <w:t xml:space="preserve">          (S5)</w:t>
      </w:r>
    </w:p>
    <w:p>
      <w:pPr>
        <w:spacing w:after="120" w:line="276"/>
        <w:jc w:val="both"/>
      </w:pPr>
      <w:r>
        <w:t xml:space="preserve">where </w:t>
      </w:r>
      <w:r>
        <w:rPr>
          <w:i/>
          <w:iCs/>
        </w:rPr>
        <w:t xml:space="preserve">m</w:t>
      </w:r>
      <w:r>
        <w:t xml:space="preserve">ᵢ(</w:t>
      </w:r>
      <w:r>
        <w:rPr>
          <w:i/>
          <w:iCs/>
        </w:rPr>
        <w:t xml:space="preserve">t</w:t>
      </w:r>
      <w:r>
        <w:t xml:space="preserve">) is the number of messages actually sent, δ = 0.06 and </w:t>
      </w:r>
      <w:r>
        <w:rPr>
          <w:i/>
          <w:iCs/>
        </w:rPr>
        <w:t xml:space="preserve">c</w:t>
      </w:r>
      <w:r>
        <w:t xml:space="preserve">ₘ = 0.04. All opportunities in a period use the energy at its start, and the cost is charged after messages and purchases. The decay applies whether or not the sender communicated, while failed opportunities carry no message cost. The same rule applies to positive and negative senders. Potential, pending and inactive agents keep their energy unchanged.</w:t>
      </w:r>
    </w:p>
    <w:p>
      <w:pPr>
        <w:spacing w:after="120" w:line="276"/>
        <w:jc w:val="both"/>
      </w:pPr>
      <w:r>
        <w:t xml:space="preserve">An active sender becomes inactive (fatigued, for a promoter) when its final energy is at most 0.05, when no eligible contact remains after the purchases of the period, or both. The reasons are recorded separately as energy exhausted and contacts exhausted and are not rewritten later. Inactive senders keep their purchase, satisfaction, parent and generation. There is no reactivation, energy recovery, extra cost for a refused purchase or reinforcement for a successful one. The model therefore distinguishes elapsed-time decay, activity-related expenditure and contact exhaustion, although their separate causal effects are not estimated.</w:t>
      </w:r>
    </w:p>
    <w:p>
      <w:pPr>
        <w:pStyle w:val="Heading2"/>
        <w:spacing w:after="100" w:before="200"/>
      </w:pPr>
      <w:r>
        <w:t xml:space="preserve">7.8 Attribution and lineage</w:t>
      </w:r>
    </w:p>
    <w:p>
      <w:pPr>
        <w:spacing w:after="120" w:line="276"/>
        <w:jc w:val="both"/>
      </w:pPr>
      <w:r>
        <w:t xml:space="preserve">Each purchase is attributed to the positive sender with the highest credibility among those that reached the buyer in the purchase period, with ties resolved by the lowest identifier. Negative senders never receive credit. Initial promoters have generation 0, and a new promoter receives the generation of its attributed parent plus one when it activates, even if the parent is already inactive. Detractors keep the positive parent of their purchase but no generation. Attribution is an accounting convention that supports reproducible lineage records; it is not an empirically identified causal allocation among competing recommendations.</w:t>
      </w:r>
    </w:p>
    <w:p>
      <w:pPr>
        <w:pStyle w:val="Heading2"/>
        <w:spacing w:after="100" w:before="200"/>
      </w:pPr>
      <w:r>
        <w:t xml:space="preserve">7.9 System indicators</w:t>
      </w:r>
    </w:p>
    <w:p>
      <w:pPr>
        <w:spacing w:after="120" w:line="276"/>
        <w:jc w:val="both"/>
      </w:pPr>
      <w:r>
        <w:t xml:space="preserve">For each sign, communication capacity sums over active senders their energy multiplied by credibility and by the remaining fraction </w:t>
      </w:r>
      <w:r>
        <w:rPr>
          <w:i/>
          <w:iCs/>
        </w:rPr>
        <w:t xml:space="preserve">h</w:t>
      </w:r>
      <w:r>
        <w:t xml:space="preserve">ᵢ of their original neighbors still eligible for that sign; agents without neighbors contribute zero. Net pressure subtracts weighted negative capacity from positive capacity:</w:t>
      </w:r>
    </w:p>
    <w:p>
      <w:pPr>
        <w:spacing w:after="120" w:before="80"/>
        <w:jc w:val="center"/>
      </w:pPr>
      <w:r>
        <w:t xml:space="preserve">M⁺ = Σ Eᵢ cᵢ hᵢ,     M⁻ defined analogously,     W = M⁺ − λ M⁻</w:t>
      </w:r>
      <w:r>
        <w:t xml:space="preserve">          (S6)</w:t>
      </w:r>
    </w:p>
    <w:p>
      <w:pPr>
        <w:spacing w:after="120" w:line="276"/>
        <w:jc w:val="both"/>
      </w:pPr>
      <w:r>
        <w:rPr>
          <w:i/>
          <w:iCs/>
        </w:rPr>
        <w:t xml:space="preserve">M</w:t>
      </w:r>
      <w:r>
        <w:t xml:space="preserve">⁺ and </w:t>
      </w:r>
      <w:r>
        <w:rPr>
          <w:i/>
          <w:iCs/>
        </w:rPr>
        <w:t xml:space="preserve">W</w:t>
      </w:r>
      <w:r>
        <w:t xml:space="preserve"> are descriptive indices, not probabilities or measured market variables, and they do not enter the purchase rule. Other period-level indicators include new purchases, customers and susceptible agents, active, potential and inactive senders of each sign, new activations </w:t>
      </w:r>
      <w:r>
        <w:rPr>
          <w:i/>
          <w:iCs/>
        </w:rPr>
        <w:t xml:space="preserve">B</w:t>
      </w:r>
      <w:r>
        <w:t xml:space="preserve">ₜ and deactivations </w:t>
      </w:r>
      <w:r>
        <w:rPr>
          <w:i/>
          <w:iCs/>
        </w:rPr>
        <w:t xml:space="preserve">D</w:t>
      </w:r>
      <w:r>
        <w:t xml:space="preserve">ₜ of promoters, market depletion 1 − </w:t>
      </w:r>
      <w:r>
        <w:rPr>
          <w:i/>
          <w:iCs/>
        </w:rPr>
        <w:t xml:space="preserve">U</w:t>
      </w:r>
      <w:r>
        <w:t xml:space="preserve">ₜ/</w:t>
      </w:r>
      <w:r>
        <w:rPr>
          <w:i/>
          <w:iCs/>
        </w:rPr>
        <w:t xml:space="preserve">U</w:t>
      </w:r>
      <w:r>
        <w:t xml:space="preserve">₀, and the communities reached by messages and by new purchases.</w:t>
      </w:r>
    </w:p>
    <w:p>
      <w:pPr>
        <w:spacing w:after="120" w:line="276"/>
        <w:jc w:val="both"/>
      </w:pPr>
      <w:r>
        <w:t xml:space="preserve">Replacement in period </w:t>
      </w:r>
      <w:r>
        <w:rPr>
          <w:i/>
          <w:iCs/>
        </w:rPr>
        <w:t xml:space="preserve">t</w:t>
      </w:r>
      <w:r>
        <w:t xml:space="preserve"> is </w:t>
      </w:r>
      <w:r>
        <w:rPr>
          <w:i/>
          <w:iCs/>
        </w:rPr>
        <w:t xml:space="preserve">B</w:t>
      </w:r>
      <w:r>
        <w:t xml:space="preserve">ₜ / </w:t>
      </w:r>
      <w:r>
        <w:rPr>
          <w:i/>
          <w:iCs/>
        </w:rPr>
        <w:t xml:space="preserve">D</w:t>
      </w:r>
      <w:r>
        <w:t xml:space="preserve">ₜ and is recorded as not defined when </w:t>
      </w:r>
      <w:r>
        <w:rPr>
          <w:i/>
          <w:iCs/>
        </w:rPr>
        <w:t xml:space="preserve">D</w:t>
      </w:r>
      <w:r>
        <w:t xml:space="preserve">ₜ = 0. For a window of </w:t>
      </w:r>
      <w:r>
        <w:rPr>
          <w:i/>
          <w:iCs/>
        </w:rPr>
        <w:t xml:space="preserve">w</w:t>
      </w:r>
      <w:r>
        <w:t xml:space="preserve"> periods starting at </w:t>
      </w:r>
      <w:r>
        <w:rPr>
          <w:i/>
          <w:iCs/>
        </w:rPr>
        <w:t xml:space="preserve">a</w:t>
      </w:r>
      <w:r>
        <w:t xml:space="preserve">, the window ratio divides new positive activations in the window by the active promoter stock at the close of </w:t>
      </w:r>
      <w:r>
        <w:rPr>
          <w:i/>
          <w:iCs/>
        </w:rPr>
        <w:t xml:space="preserve">a</w:t>
      </w:r>
      <w:r>
        <w:t xml:space="preserve"> − 1. The cohort ratio divides the directly attributed children of that stock, whose purchases fall in the window and which later activate, by the same stock. It becomes available two periods after the window closes, to allow for experience and activation. Windows of 3, 6 and 12 periods are computed, with 6 as the main one; windows without complete follow-up are marked as censored rather than counted as failures. A window ratio above one does not by itself demonstrate growth, and the cohort ratio is an attribution-based statistic, not an analytically derived reproduction number.</w:t>
      </w:r>
    </w:p>
    <w:p>
      <w:pPr>
        <w:pStyle w:val="Heading2"/>
        <w:spacing w:after="100" w:before="200"/>
      </w:pPr>
      <w:r>
        <w:t xml:space="preserve">7.10 Outcome classification</w:t>
      </w:r>
    </w:p>
    <w:p>
      <w:pPr>
        <w:spacing w:after="120" w:line="276"/>
        <w:jc w:val="both"/>
      </w:pPr>
      <w:r>
        <w:t xml:space="preserve">Classification is applied to recorded trajectories and never alters them. The </w:t>
      </w:r>
      <w:r>
        <w:rPr>
          <w:b/>
          <w:bCs/>
        </w:rPr>
        <w:t xml:space="preserve">primary criterion</w:t>
      </w:r>
      <w:r>
        <w:t xml:space="preserve"> (historical sustained diffusion) was defined after Stage 1 and fixed before Stages 2 and 3 were run. A complete six-period window qualifies only if it meets five conditions at once. New purchases must occur in every period of the window, and their total must reach at least 24, equivalent to 5% of the initial susceptible population. Net pressure must remain strictly positive in every period. The active-promoter stock at the end of the window must be positive and no smaller than the stock immediately before it. During the second half of the window, at least one new promoter must activate, and promoter births must be at least as numerous as deactivations. Finally, purchases must occur in at least two communities, with no external promoter entries. Confirmation occurs at the end of the first qualifying window, and later inactivity does not erase the event. Sensitivity analyses combine window durations of 4, 6 and 8 periods with minimum volumes of 12, 24 and 48 purchases, without rescaling the volume with duration.</w:t>
      </w:r>
    </w:p>
    <w:p>
      <w:pPr>
        <w:spacing w:after="120" w:line="276"/>
        <w:jc w:val="both"/>
      </w:pPr>
      <w:r>
        <w:t xml:space="preserve">The </w:t>
      </w:r>
      <w:r>
        <w:rPr>
          <w:b/>
          <w:bCs/>
        </w:rPr>
        <w:t xml:space="preserve">growth-ratio criterion</w:t>
      </w:r>
      <w:r>
        <w:t xml:space="preserve"> was fixed in the original specification, used to classify Stage 1 and kept as a reference afterwards. It requires at least three purchases in the first half of a six-period window and at least 1.25 times that volume in the second half, together with the stock, replacement, pressure, community and no-external-entry conditions of the primary criterion, but not its period-by-period continuity and 24-purchase minimum. Growth factors of 1.10 and 1.50 provide two further variants.</w:t>
      </w:r>
    </w:p>
    <w:p>
      <w:pPr>
        <w:spacing w:after="120" w:line="276"/>
        <w:jc w:val="both"/>
      </w:pPr>
      <w:r>
        <w:t xml:space="preserve">The growth-ratio framework also assigns each trajectory a state at the horizon. </w:t>
      </w:r>
      <w:r>
        <w:rPr>
          <w:b/>
          <w:bCs/>
        </w:rPr>
        <w:t xml:space="preserve">Saturation</w:t>
      </w:r>
      <w:r>
        <w:t xml:space="preserve"> holds when no more than 10% of the initial susceptible market remains. </w:t>
      </w:r>
      <w:r>
        <w:rPr>
          <w:b/>
          <w:bCs/>
        </w:rPr>
        <w:t xml:space="preserve">Collapse</w:t>
      </w:r>
      <w:r>
        <w:t xml:space="preserve"> is evaluated only after a confirmed takeoff: in a later six-period window, purchases fall to at most half of the mean of the three preceding periods and do not rise in the second half, the active promoter stock falls to at most half of its initial value, net pressure at the close is not positive or </w:t>
      </w:r>
      <w:r>
        <w:rPr>
          <w:i/>
          <w:iCs/>
        </w:rPr>
        <w:t xml:space="preserve">M</w:t>
      </w:r>
      <w:r>
        <w:t xml:space="preserve">⁺ falls to at most half of its previous maximum, and at least 20% of the initial market remains available. A plateau, a temporary spike without takeoff, an evolving state after an old takeoff, no confirmed takeoff and insufficient follow-up complete the labels. When several apply, the terminal label follows the order saturation, collapse, plateau, current takeoff, historical spike, insufficient follow-up, evolving and no confirmed takeoff. Markets with between 10% and 20% of susceptible agents remaining are not forced into saturation or collapse. The collapse rule identifies a pattern and does not attribute its cause to negative WOM.</w:t>
      </w:r>
    </w:p>
    <w:p>
      <w:pPr>
        <w:pStyle w:val="Heading1"/>
        <w:spacing w:after="120" w:before="280"/>
      </w:pPr>
      <w:r>
        <w:t xml:space="preserve">8. Implementation, verification and simulation experiments</w:t>
      </w:r>
    </w:p>
    <w:p>
      <w:pPr>
        <w:pStyle w:val="Heading2"/>
        <w:spacing w:after="100" w:before="200"/>
      </w:pPr>
      <w:r>
        <w:t xml:space="preserve">8.1 Implementation and random numbers</w:t>
      </w:r>
    </w:p>
    <w:p>
      <w:pPr>
        <w:spacing w:after="120" w:line="276"/>
        <w:jc w:val="both"/>
      </w:pPr>
      <w:r>
        <w:t xml:space="preserve">The model is implemented in Python using only the standard library, verified with Python 3.12.14, and requires at least Python 3.11. Analysis and figures used NumPy and Matplotlib. Agent and community identifiers start at zero. Seeds for each component (network, traits, assignment and dynamics) are derived with SHA-256 from a master seed and the component name, under the schema identifier article8-sha256-v1, and each stream uses an isolated random generator. Dynamic decisions draw from a deterministic uniform function indexed by seed, agent, period, mechanism and opportunity, so a skipped draw never shifts later decisions and paired scenarios share common random numbers.</w:t>
      </w:r>
    </w:p>
    <w:p>
      <w:pPr>
        <w:pStyle w:val="Heading2"/>
        <w:spacing w:after="100" w:before="200"/>
      </w:pPr>
      <w:r>
        <w:t xml:space="preserve">8.2 Verification</w:t>
      </w:r>
    </w:p>
    <w:p>
      <w:pPr>
        <w:spacing w:after="120" w:line="276"/>
        <w:jc w:val="both"/>
      </w:pPr>
      <w:r>
        <w:t xml:space="preserve">The engine was developed in six modules, each verified before the next was added: network, population and initial states (M1); positive WOM, contacts and purchase (M2); experience and promoter formation (M3); energy decay and fatigue (M4); negative WOM and detractors (M5); and reproduction, replacement and classification indicators (M6). The final engine passed 229 automated tests covering population conservation, single purchase, compatible states, delays between purchase, experience and activation, finite contacts, energy and stock balances, independence from processing order, extreme parameter values, lineage, censoring and reproducibility. Its 61 files were frozen and checked against a source manifest before each experimental stage. In Stage 3, all 1,800 runs passed invariant checks, message reconciliation and 648,000 independent cohort-window reconciliations, and a matched baseline run reproduced the states, events and agent histories of the earlier execution script. These checks support implementation integrity and reproducibility; they do not establish empirical validity.</w:t>
      </w:r>
    </w:p>
    <w:p>
      <w:pPr>
        <w:pStyle w:val="Heading2"/>
        <w:spacing w:after="100" w:before="200"/>
      </w:pPr>
      <w:r>
        <w:t xml:space="preserve">8.3 Simulation experiments</w:t>
      </w:r>
    </w:p>
    <w:p>
      <w:pPr>
        <w:spacing w:after="120" w:line="276"/>
        <w:jc w:val="both"/>
      </w:pPr>
      <w:r>
        <w:t xml:space="preserve">Results were produced in three sequential stages that share the frozen engine and differ only in design and seeds. Results from different stages are reported separately and never pooled (Table S4).</w:t>
      </w:r>
    </w:p>
    <w:p>
      <w:pPr>
        <w:keepNext/>
        <w:spacing w:after="80" w:before="160"/>
      </w:pPr>
      <w:r>
        <w:rPr>
          <w:b/>
          <w:bCs/>
        </w:rPr>
        <w:t xml:space="preserve">Table S4.</w:t>
      </w:r>
      <w:r>
        <w:t xml:space="preserve"> Simulation experiments.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2100"/>
        <w:gridCol w:w="1238"/>
      </w:tblGrid>
      <w:tr>
        <w:trPr>
          <w:tblHeader/>
        </w:trPr>
        <w:tc>
          <w:tcPr>
            <w:tcW w:type="dxa" w:w="19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20"/>
                <w:szCs w:val="20"/>
              </w:rPr>
              <w:t xml:space="preserve">Stage</w:t>
            </w:r>
          </w:p>
        </w:tc>
        <w:tc>
          <w:tcPr>
            <w:tcW w:type="dxa" w:w="44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20"/>
                <w:szCs w:val="20"/>
              </w:rPr>
              <w:t xml:space="preserve">Design</w:t>
            </w:r>
          </w:p>
        </w:tc>
        <w:tc>
          <w:tcPr>
            <w:tcW w:type="dxa" w:w="21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20"/>
                <w:szCs w:val="20"/>
              </w:rPr>
              <w:t xml:space="preserve">Seeds</w:t>
            </w:r>
          </w:p>
        </w:tc>
        <w:tc>
          <w:tcPr>
            <w:tcW w:type="dxa" w:w="1238"/>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20"/>
                <w:szCs w:val="20"/>
              </w:rPr>
              <w:t xml:space="preserve">Runs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 Exploratory sweep</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Initial shares of 0% to 30% of initial customers (0, 3, 6, 9, 12, 15, 18, 21, 24, 30 and 36 promoters); </w:t>
            </w:r>
            <w:r>
              <w:rPr>
                <w:i/>
                <w:iCs/>
              </w:rPr>
              <w:t xml:space="preserve">E</w:t>
            </w:r>
            <w:r>
              <w:t xml:space="preserve">₀ = 0.6; λ = 1; distributed placement; plus four diagnostic contrasts at 15% crossing </w:t>
            </w:r>
            <w:r>
              <w:rPr>
                <w:i/>
                <w:iCs/>
              </w:rPr>
              <w:t xml:space="preserve">E</w:t>
            </w:r>
            <w:r>
              <w:t xml:space="preserve">₀ of 0.3 and 0.9 with distributed and concentrated placement; 60 periods; growth-ratio criterion</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810001–810010 (10 paired replicates)</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150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 Refined experiment</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 1, 2 and 3 initial promoters; </w:t>
            </w:r>
            <w:r>
              <w:rPr>
                <w:i/>
                <w:iCs/>
              </w:rPr>
              <w:t xml:space="preserve">E</w:t>
            </w:r>
            <w:r>
              <w:t xml:space="preserve">₀ = 0.6; λ = 1; distributed placement; 120 periods; primary criterion</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820001–820100 (100 paired environments)</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400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 Factorial</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 or 2 initial promoters × </w:t>
            </w:r>
            <w:r>
              <w:rPr>
                <w:i/>
                <w:iCs/>
              </w:rPr>
              <w:t xml:space="preserve">E</w:t>
            </w:r>
            <w:r>
              <w:t xml:space="preserve">₀ of 0.3, 0.6 and 0.9 × λ of 0, 1 and 2; distributed placement; 120 periods; primary criterion</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830001–830100 (100 paired environments)</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1,800</w:t>
            </w:r>
          </w:p>
        </w:tc>
      </w:tr>
    </w:tbl>
    <w:p>
      <w:pPr>
        <w:spacing w:after="120"/>
      </w:pPr>
    </w:p>
    <w:p>
      <w:pPr>
        <w:spacing w:after="120" w:line="276"/>
        <w:jc w:val="both"/>
      </w:pPr>
      <w:r>
        <w:t xml:space="preserve">Within each stage, networks, traits, initial customer and detractor sets and indexed random mechanisms are paired across conditions, so each stage contains as many independent environment blocks as seeds. Event proportions are reported with 95% Wilson intervals, and paired differences with percentile bootstrap intervals based on 20,000 resamples of environment blocks, using bootstrap seeds 88201–88204 in Stage 2 and 88301–88335 in Stage 3, one per contrast. The intervals are exploratory, are not adjusted for multiple comparisons and represent Monte Carlo uncertainty under the selected model.</w:t>
      </w:r>
    </w:p>
    <w:p>
      <w:pPr>
        <w:spacing w:after="120" w:line="276"/>
        <w:jc w:val="both"/>
      </w:pPr>
      <w:r>
        <w:t xml:space="preserve">The 120-period horizon was adopted after Stage 1, in which six of its 150 runs still had active promoters, pending experiences or pending activations at period 60. During Stage 3 the execution environment restarted; the 608 runs completed before the interruption were checked and preserved, and the remaining runs were regenerated with the same seeds and frozen plan, so the final set contains 1,800 unique runs without substitutions.</w:t>
      </w:r>
    </w:p>
    <w:p>
      <w:pPr>
        <w:pStyle w:val="Heading1"/>
        <w:spacing w:after="120" w:before="280"/>
      </w:pPr>
      <w:r>
        <w:t xml:space="preserve">References</w:t>
      </w:r>
    </w:p>
    <w:p>
      <w:pPr>
        <w:spacing w:after="120"/>
        <w:ind w:left="720" w:hanging="720"/>
      </w:pPr>
      <w:r>
        <w:t xml:space="preserve">Grimm, V., Railsback, S. F., Vincenot, C. E., Berger, U., Gallagher, C., DeAngelis, D. L., Edmonds, B., Ge, J., Giske, J., Groeneveld, J., Johnston, A. S. A., Milles, A., Nabe-Nielsen, J., Polhill, J. G., Radchuk, V., Rohwäder, M.-S., Stillman, R. A., Thiele, J. C., &amp; Ayllón, D. (2020). The ODD protocol for describing agent-based and other simulation models: A second update to improve clarity, replication, and structural realism. </w:t>
      </w:r>
      <w:r>
        <w:rPr>
          <w:i/>
          <w:iCs/>
        </w:rPr>
        <w:t xml:space="preserve">Journal of Artificial Societies and Social Simulation, 23</w:t>
      </w:r>
      <w:r>
        <w:t xml:space="preserve">(2), Article 7. https://doi.org/10.18564/jasss.4259</w:t>
      </w:r>
    </w:p>
    <w:p>
      <w:pPr>
        <w:spacing w:after="120"/>
        <w:ind w:left="720" w:hanging="720"/>
      </w:pPr>
      <w:r>
        <w:t xml:space="preserve">Robledo Giraldo, S. (2018). </w:t>
      </w:r>
      <w:r>
        <w:rPr>
          <w:i/>
          <w:iCs/>
        </w:rPr>
        <w:t xml:space="preserve">Networking as a word of mouth marketing strategy in entrepreneurial contexts</w:t>
      </w:r>
      <w:r>
        <w:t xml:space="preserve"> [Doctoral dissertation, Universidad Nacional de Colombia]. Repositorio Institucional UNAL. https://repositorio.unal.edu.co/handle/unal/64728</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9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2026-10-13T21:41:51.902Z</dcterms:created>
  <dcterms:modified xsi:type="dcterms:W3CDTF">2026-10-13T21:41:51.905Z</dcterms:modified>
</cp:coreProperties>
</file>

<file path=docProps/custom.xml><?xml version="1.0" encoding="utf-8"?>
<Properties xmlns="http://schemas.openxmlformats.org/officeDocument/2006/custom-properties" xmlns:vt="http://schemas.openxmlformats.org/officeDocument/2006/docPropsVTypes"/>
</file>