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871EA5">
        <w:rPr>
          <w:sz w:val="28"/>
          <w:lang w:val="ru-RU"/>
        </w:rPr>
        <w:t>02.17</w:t>
      </w:r>
      <w:r w:rsidR="00B65ED2" w:rsidRPr="008E4E81">
        <w:rPr>
          <w:sz w:val="28"/>
          <w:lang w:val="ru-RU"/>
        </w:rPr>
        <w:t xml:space="preserve"> по   .</w:t>
      </w:r>
      <w:r w:rsidR="00950B45">
        <w:rPr>
          <w:sz w:val="28"/>
          <w:lang w:val="ru-RU"/>
        </w:rPr>
        <w:t>02</w:t>
      </w:r>
      <w:r w:rsidR="00957E47">
        <w:rPr>
          <w:sz w:val="28"/>
          <w:lang w:val="ru-RU"/>
        </w:rPr>
        <w:t>.</w:t>
      </w:r>
      <w:r w:rsidR="00A6040B">
        <w:rPr>
          <w:sz w:val="28"/>
          <w:lang w:val="ru-RU"/>
        </w:rPr>
        <w:t>17</w:t>
      </w:r>
      <w:r w:rsidR="002433BD" w:rsidRPr="008E4E81">
        <w:rPr>
          <w:sz w:val="28"/>
          <w:lang w:val="ru-RU"/>
        </w:rPr>
        <w:t xml:space="preserve"> в</w:t>
      </w:r>
      <w:r w:rsidR="00CF583F">
        <w:rPr>
          <w:sz w:val="28"/>
          <w:lang w:val="ru-RU"/>
        </w:rPr>
        <w:t xml:space="preserve">  </w:t>
      </w:r>
      <w:r w:rsidR="002433BD" w:rsidRPr="008E4E81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alias w:val="отделения"/>
          <w:tag w:val="отделения"/>
          <w:id w:val="1219949308"/>
          <w:placeholder>
            <w:docPart w:val="A0AB86A654CA4172A0EBC0F0657A373F"/>
          </w:placeholder>
          <w:comboBox>
            <w:listItem w:value="Выберите элемент."/>
            <w:listItem w:displayText="энд" w:value="энд"/>
            <w:listItem w:displayText="диаб" w:value="диаб"/>
          </w:comboBox>
        </w:sdtPr>
        <w:sdtContent>
          <w:r w:rsidR="000212DA">
            <w:rPr>
              <w:sz w:val="28"/>
              <w:lang w:val="ru-RU"/>
            </w:rPr>
            <w:t>диаб</w:t>
          </w:r>
        </w:sdtContent>
      </w:sdt>
      <w:r w:rsidR="008C6955" w:rsidRPr="008E4E81">
        <w:rPr>
          <w:sz w:val="28"/>
          <w:lang w:val="ru-RU"/>
        </w:rPr>
        <w:t>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9F0557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bookmarkStart w:id="1" w:name="диагноз"/>
      <w:r w:rsidRPr="00DE288F">
        <w:rPr>
          <w:sz w:val="28"/>
          <w:szCs w:val="28"/>
          <w:lang w:val="ru-RU"/>
        </w:rPr>
        <w:t xml:space="preserve">Сахарный диабет, тип </w:t>
      </w:r>
      <w:r w:rsidR="00EC7E93">
        <w:rPr>
          <w:sz w:val="28"/>
          <w:szCs w:val="28"/>
          <w:lang w:val="ru-RU"/>
        </w:rPr>
        <w:t>3</w:t>
      </w:r>
      <w:r w:rsidRPr="00DE288F">
        <w:rPr>
          <w:sz w:val="28"/>
          <w:szCs w:val="28"/>
          <w:lang w:val="ru-RU"/>
        </w:rPr>
        <w:t>,</w:t>
      </w:r>
    </w:p>
    <w:p w:rsidR="008C6955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</w:p>
    <w:p w:rsidR="008C6955" w:rsidRPr="00DE288F" w:rsidRDefault="001B3CF8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средней тяжести, 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241352">
        <w:rPr>
          <w:sz w:val="28"/>
          <w:szCs w:val="28"/>
          <w:lang w:val="ru-RU"/>
        </w:rPr>
        <w:t xml:space="preserve">ст. </w:t>
      </w:r>
      <w:r w:rsidR="00127FBF" w:rsidRPr="00DE288F">
        <w:rPr>
          <w:sz w:val="28"/>
          <w:szCs w:val="28"/>
          <w:lang w:val="ru-RU"/>
        </w:rPr>
        <w:t>де</w:t>
      </w:r>
      <w:r w:rsidR="00F7479F" w:rsidRPr="00DE288F">
        <w:rPr>
          <w:sz w:val="28"/>
          <w:szCs w:val="28"/>
          <w:lang w:val="ru-RU"/>
        </w:rPr>
        <w:t>компенсаци</w:t>
      </w:r>
      <w:r w:rsidR="00241352">
        <w:rPr>
          <w:sz w:val="28"/>
          <w:szCs w:val="28"/>
          <w:lang w:val="ru-RU"/>
        </w:rPr>
        <w:t>и</w:t>
      </w:r>
      <w:r w:rsidR="00F7479F" w:rsidRPr="00DE288F">
        <w:rPr>
          <w:sz w:val="28"/>
          <w:szCs w:val="28"/>
          <w:lang w:val="ru-RU"/>
        </w:rPr>
        <w:t>.</w:t>
      </w:r>
    </w:p>
    <w:p w:rsidR="0074562C" w:rsidRPr="00DE288F" w:rsidRDefault="0074562C" w:rsidP="00DE288F">
      <w:pPr>
        <w:ind w:left="-567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rPr>
          <w:sz w:val="28"/>
          <w:lang w:val="ru-RU"/>
        </w:rPr>
      </w:pPr>
    </w:p>
    <w:p w:rsidR="005215E7" w:rsidRDefault="001B3CF8" w:rsidP="00FC5396">
      <w:pPr>
        <w:ind w:left="-567"/>
        <w:rPr>
          <w:sz w:val="28"/>
          <w:lang w:val="ru-RU"/>
        </w:rPr>
      </w:pPr>
      <w:bookmarkStart w:id="2" w:name="дк"/>
      <w:bookmarkEnd w:id="1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увеличение веса на …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>, боли в прекардиальной области, боли в эпигастральной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62738D">
        <w:rPr>
          <w:sz w:val="28"/>
          <w:lang w:val="ru-RU"/>
        </w:rPr>
        <w:t>, никтурия до 5раз за ночь</w:t>
      </w:r>
    </w:p>
    <w:p w:rsidR="001B3CF8" w:rsidRPr="004468E8" w:rsidRDefault="001B3CF8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г. Течение заболевания лабильное, в анамнезе частые  гипогликемические состояния. Комы отрицает. С начала заболевания ССП (манинил). </w:t>
      </w:r>
      <w:r w:rsidR="00BF2FA1">
        <w:rPr>
          <w:sz w:val="28"/>
          <w:lang w:val="ru-RU"/>
        </w:rPr>
        <w:t xml:space="preserve">С … в связи с декомпенсацией СД переведен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C50670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 К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Хумулин R, Хумулин NРН,  Фармасулин Н, Фармасулин НNР, диабетон МR, </w:t>
      </w:r>
    </w:p>
    <w:p w:rsidR="001B3CF8" w:rsidRPr="004468E8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ТТГ – 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 .</w:t>
      </w:r>
    </w:p>
    <w:p w:rsidR="001B3CF8" w:rsidRPr="004468E8" w:rsidRDefault="001B3CF8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 г/л  эритр –  лейк –  СОЭ –  мм/час   </w:t>
      </w:r>
    </w:p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%    п- %   с- %   л-  %   м- %  </w:t>
      </w:r>
    </w:p>
    <w:p w:rsidR="00F7479F" w:rsidRPr="004468E8" w:rsidRDefault="00B7284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мл./мин., </w:t>
      </w:r>
      <w:r w:rsidR="00F7479F" w:rsidRPr="004468E8">
        <w:rPr>
          <w:sz w:val="28"/>
          <w:lang w:val="ru-RU"/>
        </w:rPr>
        <w:t xml:space="preserve">хол – тригл - ХСЛПВП - ХСЛПНП - Катер - мочевина –  креатинин –   бил общ –  бил пр –  тим –  АСТ –   АЛТ –   ммоль/л; 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Глик. гемоглобин - %</w:t>
      </w:r>
      <w:r w:rsidR="007953AC">
        <w:rPr>
          <w:sz w:val="28"/>
          <w:lang w:val="ru-RU"/>
        </w:rPr>
        <w:t xml:space="preserve"> </w:t>
      </w:r>
    </w:p>
    <w:p w:rsidR="00AD7400" w:rsidRPr="004468E8" w:rsidRDefault="00B7284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2A5CAF" w:rsidRPr="004468E8" w:rsidRDefault="002A5CAF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>
        <w:rPr>
          <w:sz w:val="28"/>
          <w:lang w:val="ru-RU"/>
        </w:rPr>
        <w:t xml:space="preserve"> С-реактивный белок - отр</w:t>
      </w:r>
    </w:p>
    <w:p w:rsidR="00871EA5" w:rsidRPr="004468E8" w:rsidRDefault="00871EA5" w:rsidP="00871EA5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.02.17 </w:t>
      </w:r>
      <w:r w:rsidRPr="004468E8">
        <w:rPr>
          <w:sz w:val="28"/>
          <w:szCs w:val="28"/>
          <w:lang w:val="ru-RU"/>
        </w:rPr>
        <w:t>Гемогл –  ; гематокр –  ; общ. белок –   г/л; К –   ; Nа –   ммоль/л</w:t>
      </w:r>
    </w:p>
    <w:p w:rsidR="00871EA5" w:rsidRPr="004468E8" w:rsidRDefault="00871EA5" w:rsidP="00871EA5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.02.17 </w:t>
      </w:r>
      <w:r w:rsidRPr="004468E8">
        <w:rPr>
          <w:sz w:val="28"/>
          <w:szCs w:val="28"/>
          <w:lang w:val="ru-RU"/>
        </w:rPr>
        <w:t xml:space="preserve">К –   ; Nа – </w:t>
      </w:r>
      <w:r>
        <w:rPr>
          <w:sz w:val="28"/>
          <w:szCs w:val="28"/>
          <w:lang w:val="ru-RU"/>
        </w:rPr>
        <w:t xml:space="preserve"> Са  -    Са</w:t>
      </w:r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871EA5">
        <w:rPr>
          <w:sz w:val="28"/>
          <w:szCs w:val="28"/>
          <w:lang w:val="ru-RU"/>
        </w:rPr>
        <w:t>02.17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ind w:left="-567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871EA5">
        <w:rPr>
          <w:bCs/>
          <w:sz w:val="28"/>
          <w:lang w:val="ru-RU"/>
        </w:rPr>
        <w:t>02.17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 мкмоль/л;  креатинин мочи-  мкмоль/л;  КФ- мл/мин;  КР-  %</w:t>
      </w:r>
    </w:p>
    <w:p w:rsidR="00F7479F" w:rsidRPr="004468E8" w:rsidRDefault="00B72843" w:rsidP="00FC5396">
      <w:pPr>
        <w:pStyle w:val="3"/>
        <w:ind w:left="-567"/>
        <w:rPr>
          <w:b w:val="0"/>
        </w:rPr>
      </w:pPr>
      <w:r>
        <w:rPr>
          <w:b w:val="0"/>
        </w:rPr>
        <w:t>.</w:t>
      </w:r>
      <w:r w:rsidR="00871EA5">
        <w:rPr>
          <w:b w:val="0"/>
        </w:rPr>
        <w:t>02.17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Анализ мочи по Нечипоренко лейк -  эритр - 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871EA5">
        <w:rPr>
          <w:sz w:val="28"/>
          <w:lang w:val="ru-RU"/>
        </w:rPr>
        <w:t>02.17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871EA5">
        <w:t>02.17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0551AD">
            <w:pPr>
              <w:ind w:left="0"/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19949391"/>
          <w:placeholder>
            <w:docPart w:val="DefaultPlaceholder_22675704"/>
          </w:placeholder>
          <w:comboBox>
            <w:listItem w:value="Выберите элемент."/>
            <w:listItem w:displayText="Диабетическая дистальная симметричная полинейропатия н/к, сенсомоторная форма." w:value="Диабетическая дистальная симметричная полинейропатия н/к, сенсомоторная форма."/>
            <w:listItem w:displayText=" " w:value="  "/>
          </w:comboBox>
        </w:sdtPr>
        <w:sdtContent>
          <w:r w:rsidR="00ED7C4D">
            <w:rPr>
              <w:sz w:val="28"/>
              <w:lang w:val="ru-RU"/>
            </w:rPr>
            <w:t xml:space="preserve"> </w:t>
          </w:r>
        </w:sdtContent>
      </w:sdt>
    </w:p>
    <w:p w:rsidR="001A6BA7" w:rsidRPr="00751DE6" w:rsidRDefault="001A6BA7" w:rsidP="00FC5396">
      <w:pPr>
        <w:ind w:left="-567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751DE6">
        <w:rPr>
          <w:sz w:val="28"/>
          <w:lang w:val="en-US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751DE6">
        <w:rPr>
          <w:sz w:val="28"/>
          <w:lang w:val="en-US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751DE6">
        <w:rPr>
          <w:sz w:val="28"/>
          <w:lang w:val="en-US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751DE6">
        <w:rPr>
          <w:sz w:val="28"/>
          <w:lang w:val="en-US"/>
        </w:rPr>
        <w:t xml:space="preserve">=  </w:t>
      </w:r>
      <w:r w:rsidRPr="00751DE6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751DE6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>OD</w:t>
      </w:r>
      <w:r w:rsidRPr="00751DE6">
        <w:rPr>
          <w:sz w:val="28"/>
          <w:lang w:val="en-US"/>
        </w:rPr>
        <w:t xml:space="preserve">=   </w:t>
      </w:r>
      <w:r w:rsidRPr="005215E7">
        <w:rPr>
          <w:sz w:val="28"/>
          <w:lang w:val="en-US"/>
        </w:rPr>
        <w:t>OS</w:t>
      </w:r>
      <w:r w:rsidRPr="00751DE6">
        <w:rPr>
          <w:sz w:val="28"/>
          <w:lang w:val="en-US"/>
        </w:rPr>
        <w:t>=</w:t>
      </w:r>
      <w:r w:rsidR="00751DE6" w:rsidRPr="00751DE6">
        <w:rPr>
          <w:sz w:val="28"/>
          <w:lang w:val="en-US"/>
        </w:rPr>
        <w:t xml:space="preserve"> </w:t>
      </w:r>
    </w:p>
    <w:p w:rsidR="001A6BA7" w:rsidRPr="004468E8" w:rsidRDefault="00950B4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Оптические среды прозрачны. </w:t>
      </w:r>
      <w:r w:rsidR="001A6BA7" w:rsidRPr="004468E8">
        <w:rPr>
          <w:sz w:val="28"/>
          <w:lang w:val="ru-RU"/>
        </w:rPr>
        <w:t>Помутнения в хрусталиках ОИ.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1A6BA7"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</w:t>
      </w:r>
      <w:r w:rsidR="001A6BA7" w:rsidRPr="004468E8">
        <w:rPr>
          <w:sz w:val="28"/>
          <w:lang w:val="ru-RU"/>
        </w:rPr>
        <w:lastRenderedPageBreak/>
        <w:t>полнокровны. Вены неравномерно расширены.</w:t>
      </w:r>
      <w:r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4468E8" w:rsidRDefault="00F7479F" w:rsidP="00FC5396">
      <w:pPr>
        <w:ind w:left="-567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C23494" w:rsidP="00FC5396">
      <w:pPr>
        <w:ind w:left="-567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8E14D6" w:rsidRDefault="00DB03E4" w:rsidP="00FC5396">
      <w:pPr>
        <w:ind w:left="-567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8E14D6">
        <w:rPr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не нарушено, тонус  сосудов N. Нарушение кровообращения III ст. с обеих сторон, тонус сосудов N. </w:t>
      </w:r>
    </w:p>
    <w:p w:rsidR="00F7479F" w:rsidRPr="004468E8" w:rsidRDefault="00F7479F" w:rsidP="00FC5396">
      <w:pPr>
        <w:ind w:left="-567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Default="00F7479F" w:rsidP="00FC5396">
      <w:pPr>
        <w:ind w:left="-567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BC08B8" w:rsidRDefault="00BC08B8" w:rsidP="00FC5396">
      <w:pPr>
        <w:ind w:left="-567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острой хирургической  патологии  в данной момент нет.</w:t>
      </w:r>
    </w:p>
    <w:p w:rsidR="00C50670" w:rsidRPr="0062738D" w:rsidRDefault="00C50670" w:rsidP="00FC5396">
      <w:pPr>
        <w:ind w:left="-567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 w:rsidR="0062738D">
        <w:rPr>
          <w:sz w:val="28"/>
          <w:u w:val="single"/>
          <w:lang w:val="ru-RU"/>
        </w:rPr>
        <w:t>доц</w:t>
      </w:r>
      <w:r w:rsidRPr="00C50670">
        <w:rPr>
          <w:u w:val="single"/>
          <w:lang w:val="ru-RU"/>
        </w:rPr>
        <w:t>.каф.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62738D" w:rsidRPr="0062738D">
        <w:rPr>
          <w:lang w:val="ru-RU"/>
        </w:rPr>
        <w:t xml:space="preserve"> </w:t>
      </w:r>
    </w:p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>: Пр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r w:rsidRPr="004468E8">
        <w:rPr>
          <w:sz w:val="28"/>
          <w:lang w:val="ru-RU"/>
        </w:rPr>
        <w:t xml:space="preserve">повышенной </w:t>
      </w:r>
      <w:r w:rsidR="00E70C67" w:rsidRPr="004468E8">
        <w:rPr>
          <w:sz w:val="28"/>
          <w:lang w:val="ru-RU"/>
        </w:rPr>
        <w:t xml:space="preserve">эхогенности,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* см. </w:t>
      </w:r>
    </w:p>
    <w:p w:rsidR="00F7479F" w:rsidRPr="004468E8" w:rsidRDefault="00F7479F" w:rsidP="00FC5396">
      <w:pPr>
        <w:ind w:left="-567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bookmarkStart w:id="4" w:name="лечение"/>
      <w:r w:rsidR="000303AA">
        <w:rPr>
          <w:sz w:val="28"/>
          <w:lang w:val="ru-RU"/>
        </w:rPr>
        <w:t xml:space="preserve">Хумодар Р100Р , Хумодар Б100Р </w:t>
      </w:r>
    </w:p>
    <w:p w:rsidR="005F2F38" w:rsidRDefault="005F2F38" w:rsidP="005F2F38">
      <w:pPr>
        <w:ind w:left="-567"/>
        <w:rPr>
          <w:sz w:val="28"/>
          <w:lang w:val="ru-RU"/>
        </w:rPr>
      </w:pPr>
      <w:bookmarkStart w:id="5" w:name="дд"/>
      <w:bookmarkStart w:id="6" w:name="лк"/>
      <w:bookmarkEnd w:id="4"/>
      <w:bookmarkEnd w:id="5"/>
      <w:bookmarkEnd w:id="6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  СД компенсирован, уменьшились боли в н/к. АД  мм рт. ст. Согласно клинического протокола и на основании приказа УЗО от 14.06.12 №355, приказа ЛПУ от 23.06.11 №228-з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 xml:space="preserve">на  </w:t>
      </w:r>
      <w:r w:rsidRPr="004468E8">
        <w:rPr>
          <w:sz w:val="28"/>
          <w:lang w:val="ru-RU"/>
        </w:rPr>
        <w:t>.</w:t>
      </w:r>
    </w:p>
    <w:p w:rsidR="005F2F38" w:rsidRDefault="005F2F38" w:rsidP="005F2F38">
      <w:pPr>
        <w:ind w:left="-567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 xml:space="preserve">:  </w:t>
      </w:r>
      <w:sdt>
        <w:sdtPr>
          <w:rPr>
            <w:sz w:val="28"/>
            <w:lang w:val="ru-RU"/>
          </w:rPr>
          <w:id w:val="1219949383"/>
          <w:placeholder>
            <w:docPart w:val="DefaultPlaceholder_22675704"/>
          </w:placeholder>
          <w:comboBox>
            <w:listItem w:value="Выберите элемент."/>
            <w:listItem w:displayText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 w:value="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"/>
            <w:listItem w:displayText=" " w:value="  "/>
          </w:comboBox>
        </w:sdtPr>
        <w:sdtContent>
          <w:r w:rsidR="00DE0A3B">
            <w:rPr>
              <w:sz w:val="28"/>
              <w:lang w:val="ru-RU"/>
            </w:rPr>
            <w:t xml:space="preserve"> </w:t>
          </w:r>
        </w:sdtContent>
      </w:sdt>
      <w:r w:rsidRPr="005F2F38">
        <w:rPr>
          <w:sz w:val="28"/>
          <w:lang w:val="ru-RU"/>
        </w:rPr>
        <w:t>СД субкомпенсирован, сохраняются пекущие  боли в н/к,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 xml:space="preserve"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rPr>
          <w:sz w:val="28"/>
          <w:lang w:val="ru-RU"/>
        </w:rPr>
      </w:pPr>
    </w:p>
    <w:p w:rsidR="00F7479F" w:rsidRPr="004F6116" w:rsidRDefault="00F7479F">
      <w:pPr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rPr>
          <w:lang w:val="ru-RU"/>
        </w:rPr>
      </w:pPr>
      <w:bookmarkStart w:id="7" w:name="рекомендации"/>
      <w:r w:rsidRPr="004F6116">
        <w:rPr>
          <w:lang w:val="ru-RU"/>
        </w:rPr>
        <w:t>«Д» наблюдение эндокринолога, уч. терапевта по м\жит.</w:t>
      </w:r>
    </w:p>
    <w:p w:rsidR="003E417A" w:rsidRPr="001B65BC" w:rsidRDefault="003E417A" w:rsidP="003E417A">
      <w:pPr>
        <w:numPr>
          <w:ilvl w:val="0"/>
          <w:numId w:val="2"/>
        </w:numPr>
        <w:rPr>
          <w:lang w:val="ru-RU"/>
        </w:rPr>
      </w:pPr>
      <w:r w:rsidRPr="001B65BC">
        <w:rPr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lastRenderedPageBreak/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Рек. гематолога: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>ограничение физ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7F0127" w:rsidRDefault="00F7479F" w:rsidP="006B4D99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</w:t>
      </w:r>
    </w:p>
    <w:p w:rsidR="007F0127" w:rsidRPr="007F0127" w:rsidRDefault="007F0127" w:rsidP="007F0127">
      <w:pPr>
        <w:numPr>
          <w:ilvl w:val="0"/>
          <w:numId w:val="2"/>
        </w:numPr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F7479F" w:rsidRPr="004F6116" w:rsidRDefault="004A4A54" w:rsidP="009420A6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С больным</w:t>
      </w:r>
      <w:r w:rsidR="00ED2F38">
        <w:rPr>
          <w:lang w:val="ru-RU"/>
        </w:rPr>
        <w:t>(-ой)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ED2F38">
        <w:rPr>
          <w:lang w:val="ru-RU"/>
        </w:rPr>
        <w:t>(-а)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Default="00A368D2" w:rsidP="00A9598B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0B45">
        <w:rPr>
          <w:lang w:val="ru-RU"/>
        </w:rPr>
        <w:t>6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871EA5">
        <w:rPr>
          <w:lang w:val="ru-RU"/>
        </w:rPr>
        <w:t>02.17</w:t>
      </w:r>
      <w:r w:rsidR="00E447D4" w:rsidRPr="004F6116">
        <w:rPr>
          <w:lang w:val="ru-RU"/>
        </w:rPr>
        <w:t xml:space="preserve"> по  .</w:t>
      </w:r>
      <w:r w:rsidR="00950B45">
        <w:rPr>
          <w:lang w:val="ru-RU"/>
        </w:rPr>
        <w:t>02</w:t>
      </w:r>
      <w:r w:rsidR="004A541F">
        <w:rPr>
          <w:lang w:val="ru-RU"/>
        </w:rPr>
        <w:t>.</w:t>
      </w:r>
      <w:r w:rsidR="00A6040B">
        <w:rPr>
          <w:lang w:val="ru-RU"/>
        </w:rPr>
        <w:t>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50B45">
        <w:rPr>
          <w:lang w:val="ru-RU"/>
        </w:rPr>
        <w:t>02</w:t>
      </w:r>
      <w:r w:rsidR="00B022B7" w:rsidRPr="00B022B7">
        <w:rPr>
          <w:lang w:val="ru-RU"/>
        </w:rPr>
        <w:t>.</w:t>
      </w:r>
      <w:r w:rsidR="00B022B7">
        <w:rPr>
          <w:lang w:val="ru-RU"/>
        </w:rPr>
        <w:t>17</w:t>
      </w:r>
      <w:r w:rsidR="00B022B7" w:rsidRPr="00B022B7">
        <w:rPr>
          <w:lang w:val="ru-RU"/>
        </w:rPr>
        <w:t xml:space="preserve"> б/л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rPr>
          <w:lang w:val="ru-RU"/>
        </w:rPr>
      </w:pPr>
      <w:r w:rsidRPr="004F6116">
        <w:rPr>
          <w:lang w:val="ru-RU"/>
        </w:rPr>
        <w:t>Б/л серия. АГВ  №   23</w:t>
      </w:r>
      <w:r>
        <w:rPr>
          <w:lang w:val="ru-RU"/>
        </w:rPr>
        <w:t>56</w:t>
      </w:r>
      <w:r w:rsidRPr="004F6116">
        <w:rPr>
          <w:lang w:val="ru-RU"/>
        </w:rPr>
        <w:t xml:space="preserve">     с  .</w:t>
      </w:r>
      <w:r>
        <w:rPr>
          <w:lang w:val="ru-RU"/>
        </w:rPr>
        <w:t>02.17</w:t>
      </w:r>
      <w:r w:rsidRPr="004F6116">
        <w:rPr>
          <w:lang w:val="ru-RU"/>
        </w:rPr>
        <w:t xml:space="preserve"> по  .</w:t>
      </w:r>
      <w:r>
        <w:rPr>
          <w:lang w:val="ru-RU"/>
        </w:rPr>
        <w:t>02.17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>
        <w:rPr>
          <w:lang w:val="ru-RU"/>
        </w:rPr>
        <w:t>02</w:t>
      </w:r>
      <w:r w:rsidRPr="00B022B7">
        <w:rPr>
          <w:lang w:val="ru-RU"/>
        </w:rPr>
        <w:t>.</w:t>
      </w:r>
      <w:r>
        <w:rPr>
          <w:lang w:val="ru-RU"/>
        </w:rPr>
        <w:t xml:space="preserve">17 </w:t>
      </w:r>
    </w:p>
    <w:bookmarkEnd w:id="7"/>
    <w:p w:rsidR="00A9598B" w:rsidRPr="004F6116" w:rsidRDefault="00A9598B" w:rsidP="00A9598B">
      <w:pPr>
        <w:ind w:left="435"/>
        <w:rPr>
          <w:lang w:val="ru-RU"/>
        </w:rPr>
      </w:pPr>
    </w:p>
    <w:p w:rsidR="00F7479F" w:rsidRPr="008440D8" w:rsidRDefault="00F7479F">
      <w:pPr>
        <w:rPr>
          <w:b/>
          <w:lang w:val="ru-RU"/>
        </w:rPr>
      </w:pPr>
    </w:p>
    <w:p w:rsidR="001B3729" w:rsidRPr="008440D8" w:rsidRDefault="004468E8" w:rsidP="001B3729">
      <w:pPr>
        <w:pStyle w:val="5"/>
        <w:rPr>
          <w:sz w:val="24"/>
          <w:szCs w:val="24"/>
        </w:rPr>
      </w:pPr>
      <w:bookmarkStart w:id="8" w:name="оо"/>
      <w:bookmarkEnd w:id="8"/>
      <w:r w:rsidRPr="008440D8">
        <w:rPr>
          <w:sz w:val="24"/>
          <w:szCs w:val="24"/>
        </w:rPr>
        <w:t xml:space="preserve">Леч. врач </w:t>
      </w:r>
      <w:sdt>
        <w:sdtPr>
          <w:rPr>
            <w:sz w:val="24"/>
            <w:szCs w:val="24"/>
          </w:rPr>
          <w:alias w:val="леч. врач"/>
          <w:tag w:val="леч. врач"/>
          <w:id w:val="1219949323"/>
          <w:placeholder>
            <w:docPart w:val="E24D7AE566484CA0BF72712A9D28E656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8440D8" w:rsidRPr="008440D8">
            <w:rPr>
              <w:rStyle w:val="a8"/>
              <w:sz w:val="24"/>
              <w:szCs w:val="24"/>
            </w:rPr>
            <w:t>Выберите элемент.</w:t>
          </w:r>
        </w:sdtContent>
      </w:sdt>
    </w:p>
    <w:p w:rsidR="004468E8" w:rsidRPr="008440D8" w:rsidRDefault="00EC02F5" w:rsidP="004468E8">
      <w:pPr>
        <w:rPr>
          <w:lang w:val="ru-RU"/>
        </w:rPr>
      </w:pPr>
      <w:sdt>
        <w:sdtPr>
          <w:rPr>
            <w:color w:val="808080"/>
            <w:lang w:val="ru-RU"/>
          </w:rPr>
          <w:alias w:val="зав. отд"/>
          <w:tag w:val="зав. отд"/>
          <w:id w:val="1219949338"/>
          <w:placeholder>
            <w:docPart w:val="DefaultPlaceholder_22675704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DE0A3B">
            <w:rPr>
              <w:lang w:val="ru-RU"/>
            </w:rPr>
            <w:t xml:space="preserve">Зав. отд.  </w:t>
          </w:r>
        </w:sdtContent>
      </w:sdt>
      <w:r w:rsidR="004468E8" w:rsidRPr="008440D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lock w:val="sdtLocked"/>
          <w:placeholder>
            <w:docPart w:val="57B013C2FA3245CF8E52542F6CBEC32C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Content>
          <w:r w:rsidR="008440D8" w:rsidRPr="008440D8">
            <w:rPr>
              <w:rStyle w:val="a8"/>
            </w:rPr>
            <w:t>Выберите элемент.</w:t>
          </w:r>
        </w:sdtContent>
      </w:sdt>
    </w:p>
    <w:p w:rsidR="00DD028B" w:rsidRPr="008440D8" w:rsidRDefault="00DD028B" w:rsidP="00DD028B">
      <w:pPr>
        <w:rPr>
          <w:lang w:val="ru-RU"/>
        </w:rPr>
      </w:pPr>
      <w:r w:rsidRPr="008440D8">
        <w:rPr>
          <w:lang w:val="ru-RU"/>
        </w:rPr>
        <w:t xml:space="preserve">Нач. мед. </w:t>
      </w:r>
      <w:r w:rsidR="00241352" w:rsidRPr="008440D8">
        <w:rPr>
          <w:lang w:val="ru-RU"/>
        </w:rPr>
        <w:t>Карпенко И.В</w:t>
      </w:r>
    </w:p>
    <w:p w:rsidR="007B262D" w:rsidRPr="004F6116" w:rsidRDefault="007B262D" w:rsidP="00EB798A">
      <w:pPr>
        <w:rPr>
          <w:lang w:val="ru-RU"/>
        </w:rPr>
      </w:pPr>
      <w:r>
        <w:rPr>
          <w:lang w:val="ru-RU"/>
        </w:rPr>
        <w:br w:type="column"/>
      </w:r>
    </w:p>
    <w:tbl>
      <w:tblPr>
        <w:tblW w:w="10349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2226"/>
        <w:gridCol w:w="180"/>
        <w:gridCol w:w="124"/>
        <w:gridCol w:w="306"/>
        <w:gridCol w:w="303"/>
        <w:gridCol w:w="305"/>
        <w:gridCol w:w="304"/>
        <w:gridCol w:w="305"/>
        <w:gridCol w:w="513"/>
        <w:gridCol w:w="96"/>
        <w:gridCol w:w="5498"/>
        <w:gridCol w:w="189"/>
      </w:tblGrid>
      <w:tr w:rsidR="007B262D" w:rsidRPr="007B262D" w:rsidTr="007B262D">
        <w:trPr>
          <w:gridAfter w:val="1"/>
          <w:wAfter w:w="189" w:type="dxa"/>
          <w:trHeight w:val="80"/>
        </w:trPr>
        <w:tc>
          <w:tcPr>
            <w:tcW w:w="10160" w:type="dxa"/>
            <w:gridSpan w:val="11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7B262D" w:rsidRPr="007B262D" w:rsidRDefault="007B262D" w:rsidP="00EC7E93">
            <w:r w:rsidRPr="007B262D">
              <w:rPr>
                <w:bCs/>
              </w:rPr>
              <w:t>Продовження форми № 003/о</w:t>
            </w:r>
          </w:p>
        </w:tc>
      </w:tr>
      <w:tr w:rsidR="007B262D" w:rsidRPr="007B262D" w:rsidTr="008440D8">
        <w:trPr>
          <w:trHeight w:val="6646"/>
        </w:trPr>
        <w:tc>
          <w:tcPr>
            <w:tcW w:w="10349" w:type="dxa"/>
            <w:gridSpan w:val="12"/>
            <w:tcBorders>
              <w:top w:val="single" w:sz="12" w:space="0" w:color="auto"/>
              <w:bottom w:val="nil"/>
            </w:tcBorders>
          </w:tcPr>
          <w:p w:rsidR="007B262D" w:rsidRPr="007B262D" w:rsidRDefault="007B262D" w:rsidP="007B262D">
            <w:r w:rsidRPr="007B262D">
              <w:t>54. Діагноз заключний клінічний</w:t>
            </w:r>
          </w:p>
          <w:tbl>
            <w:tblPr>
              <w:tblW w:w="10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1E0"/>
            </w:tblPr>
            <w:tblGrid>
              <w:gridCol w:w="527"/>
              <w:gridCol w:w="247"/>
              <w:gridCol w:w="522"/>
              <w:gridCol w:w="6919"/>
              <w:gridCol w:w="301"/>
              <w:gridCol w:w="301"/>
              <w:gridCol w:w="302"/>
              <w:gridCol w:w="301"/>
              <w:gridCol w:w="301"/>
              <w:gridCol w:w="294"/>
              <w:gridCol w:w="8"/>
              <w:gridCol w:w="397"/>
            </w:tblGrid>
            <w:tr w:rsidR="007B262D" w:rsidRPr="007B262D" w:rsidTr="00CF583F">
              <w:trPr>
                <w:cantSplit/>
                <w:trHeight w:val="274"/>
              </w:trPr>
              <w:tc>
                <w:tcPr>
                  <w:tcW w:w="8215" w:type="dxa"/>
                  <w:gridSpan w:val="4"/>
                  <w:tcBorders>
                    <w:top w:val="single" w:sz="12" w:space="0" w:color="auto"/>
                    <w:left w:val="single" w:sz="12" w:space="0" w:color="auto"/>
                    <w:bottom w:val="nil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  <w:jc w:val="center"/>
                  </w:pPr>
                  <w:r w:rsidRPr="007B262D">
                    <w:t>Назва діагнозу</w:t>
                  </w:r>
                </w:p>
              </w:tc>
              <w:tc>
                <w:tcPr>
                  <w:tcW w:w="1800" w:type="dxa"/>
                  <w:gridSpan w:val="6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bottom"/>
                </w:tcPr>
                <w:p w:rsidR="007B262D" w:rsidRPr="007B262D" w:rsidRDefault="007B262D" w:rsidP="00017D7D">
                  <w:pPr>
                    <w:ind w:left="-2"/>
                  </w:pPr>
                  <w:r w:rsidRPr="007B262D">
                    <w:t>Код за МКХ-10</w:t>
                  </w:r>
                </w:p>
              </w:tc>
              <w:tc>
                <w:tcPr>
                  <w:tcW w:w="405" w:type="dxa"/>
                  <w:gridSpan w:val="2"/>
                  <w:tcBorders>
                    <w:top w:val="nil"/>
                    <w:left w:val="single" w:sz="12" w:space="0" w:color="auto"/>
                    <w:bottom w:val="nil"/>
                    <w:right w:val="nil"/>
                  </w:tcBorders>
                  <w:vAlign w:val="bottom"/>
                </w:tcPr>
                <w:p w:rsidR="007B262D" w:rsidRPr="007B262D" w:rsidRDefault="007B262D" w:rsidP="00CF583F"/>
              </w:tc>
            </w:tr>
            <w:tr w:rsidR="007B262D" w:rsidRPr="007B262D" w:rsidTr="00CF583F">
              <w:trPr>
                <w:gridAfter w:val="1"/>
                <w:wAfter w:w="397" w:type="dxa"/>
                <w:trHeight w:val="243"/>
              </w:trPr>
              <w:tc>
                <w:tcPr>
                  <w:tcW w:w="1296" w:type="dxa"/>
                  <w:gridSpan w:val="3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7B262D" w:rsidRPr="007B262D" w:rsidRDefault="007B262D" w:rsidP="00CF583F">
                  <w:pPr>
                    <w:ind w:left="-9"/>
                  </w:pPr>
                  <w:r w:rsidRPr="007B262D">
                    <w:t>Основний</w:t>
                  </w:r>
                </w:p>
              </w:tc>
              <w:tc>
                <w:tcPr>
                  <w:tcW w:w="6919" w:type="dxa"/>
                  <w:vMerge w:val="restart"/>
                  <w:tcBorders>
                    <w:top w:val="single" w:sz="12" w:space="0" w:color="auto"/>
                  </w:tcBorders>
                  <w:vAlign w:val="center"/>
                </w:tcPr>
                <w:p w:rsidR="00751DE6" w:rsidRPr="00751DE6" w:rsidRDefault="00EC02F5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begin"/>
                  </w:r>
                  <w:r w:rsidR="000303AA"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instrText xml:space="preserve"> REF  диагноз  \* MERGEFORMAT </w:instrText>
                  </w: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separate"/>
                  </w:r>
                  <w:r w:rsidR="00751DE6"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Сахарный диабет, тип 3,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вторичноинсулинзависимый,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средней тяжести, тяжелая форма, лабильное течение со склонностью к гипогликемическим состояниям, ст. декомпенсации.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Миопия слабой степени ОИ.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Ангиопатия сосудов сетчатки ОИ. Начальная катаракта ОИ. 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Непролиферативная  диабетическая ретинопатия ОИ.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Диаб. ангиопатия артерий н/к.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ХБП II-IV ст. Диабетическая нефропатия III-IV ст.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в сочетании с инфекцией мочевыводящих путей.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Диабетическая дистальная симметричная полинейропатия н/к, сенсомоторная форма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Диабетическая хроническая дистальная симметричная полинейропатия н/к, сенсомоторная форма.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Дисциркуляторная энцефалопатия I-II сочетанного генеза (дисметаболическая, гипертоническая).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Диабетическая энцефалопатия I-II, Дисметаболическая энцефалопатия,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астеновегетативный с-м, астено-невротический с-м, вестибуло-атактический с-м.  цереброастенический с-м, цефалгический с-м,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 Ожирение II ст. (ИМТ кг/м2) алим.-конституционального генеза, стабильное течение. 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ИБС, стенокардия напряжения, диффузный кардиосклероз, II ф.кл. СН II А ф.кл. II. Гипертоническая болезнь III стадии … степени. Гипертензивное сердце СН I. Риск 4. Метаболическая кардиомиопатия СН 0-I. СН I ф.кл. II.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>НЦД по смешанному типу.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Аутоиммунный тиреоидит, без увеличения объема щит. 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  <w:r w:rsidRPr="00751DE6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t xml:space="preserve">Остеоартроз коленных с-вов Rо II СФН I-II. </w:t>
                  </w:r>
                </w:p>
                <w:p w:rsidR="00751DE6" w:rsidRPr="00751DE6" w:rsidRDefault="00751DE6" w:rsidP="00751DE6">
                  <w:pPr>
                    <w:ind w:left="-2"/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</w:pPr>
                </w:p>
                <w:p w:rsidR="007B262D" w:rsidRPr="0068746F" w:rsidRDefault="00EC02F5" w:rsidP="00017D7D">
                  <w:pPr>
                    <w:ind w:left="-2"/>
                    <w:rPr>
                      <w:rFonts w:asciiTheme="minorHAnsi" w:hAnsiTheme="minorHAnsi"/>
                      <w:sz w:val="16"/>
                      <w:szCs w:val="16"/>
                      <w:u w:val="single"/>
                    </w:rPr>
                  </w:pPr>
                  <w:r w:rsidRPr="000303AA">
                    <w:rPr>
                      <w:rFonts w:ascii="NinaCTT" w:hAnsi="NinaCTT"/>
                      <w:sz w:val="16"/>
                      <w:szCs w:val="16"/>
                      <w:u w:val="single"/>
                      <w:lang w:val="ru-RU"/>
                    </w:rPr>
                    <w:fldChar w:fldCharType="end"/>
                  </w: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top w:val="single" w:sz="1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top w:val="single" w:sz="12" w:space="0" w:color="auto"/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  <w:trHeight w:val="143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  <w:tr w:rsidR="00017D7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righ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24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522" w:type="dxa"/>
                  <w:tcBorders>
                    <w:left w:val="single" w:sz="4" w:space="0" w:color="auto"/>
                  </w:tcBorders>
                  <w:vAlign w:val="center"/>
                </w:tcPr>
                <w:p w:rsidR="00017D7D" w:rsidRPr="007B262D" w:rsidRDefault="00017D7D" w:rsidP="00CF583F"/>
              </w:tc>
              <w:tc>
                <w:tcPr>
                  <w:tcW w:w="6919" w:type="dxa"/>
                  <w:vMerge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017D7D" w:rsidRPr="007B262D" w:rsidRDefault="00017D7D" w:rsidP="00017D7D">
                  <w:pPr>
                    <w:ind w:left="-2"/>
                  </w:pPr>
                </w:p>
              </w:tc>
            </w:tr>
            <w:tr w:rsidR="007B262D" w:rsidRPr="007B262D" w:rsidTr="00CF583F">
              <w:trPr>
                <w:gridAfter w:val="1"/>
                <w:wAfter w:w="397" w:type="dxa"/>
              </w:trPr>
              <w:tc>
                <w:tcPr>
                  <w:tcW w:w="527" w:type="dxa"/>
                  <w:tcBorders>
                    <w:left w:val="single" w:sz="12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247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522" w:type="dxa"/>
                  <w:tcBorders>
                    <w:left w:val="single" w:sz="4" w:space="0" w:color="auto"/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CF583F"/>
              </w:tc>
              <w:tc>
                <w:tcPr>
                  <w:tcW w:w="6919" w:type="dxa"/>
                  <w:vMerge/>
                  <w:tcBorders>
                    <w:bottom w:val="single" w:sz="12" w:space="0" w:color="auto"/>
                  </w:tcBorders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1" w:type="dxa"/>
                  <w:tcBorders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  <w:tc>
                <w:tcPr>
                  <w:tcW w:w="302" w:type="dxa"/>
                  <w:gridSpan w:val="2"/>
                  <w:tcBorders>
                    <w:left w:val="single" w:sz="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7B262D" w:rsidRPr="007B262D" w:rsidRDefault="007B262D" w:rsidP="00017D7D">
                  <w:pPr>
                    <w:ind w:left="-2"/>
                  </w:pPr>
                </w:p>
              </w:tc>
            </w:tr>
          </w:tbl>
          <w:p w:rsidR="007B262D" w:rsidRPr="007B262D" w:rsidRDefault="007B262D" w:rsidP="007B262D"/>
          <w:p w:rsidR="007B262D" w:rsidRPr="008440D8" w:rsidRDefault="00EC02F5" w:rsidP="008440D8">
            <w:pPr>
              <w:ind w:left="176"/>
              <w:rPr>
                <w:sz w:val="22"/>
                <w:szCs w:val="22"/>
              </w:rPr>
            </w:pPr>
            <w:r w:rsidRPr="00EC02F5">
              <w:rPr>
                <w:sz w:val="22"/>
                <w:szCs w:val="22"/>
              </w:rPr>
              <w:pict>
                <v:rect id="Прямоугольник 1" o:spid="_x0000_s1035" style="position:absolute;left:0;text-align:left;margin-left:438.45pt;margin-top:3.35pt;width:9pt;height:9pt;z-index:251660288;visibility:visible"/>
              </w:pict>
            </w:r>
            <w:r w:rsidR="007B262D" w:rsidRPr="008440D8">
              <w:rPr>
                <w:sz w:val="22"/>
                <w:szCs w:val="22"/>
              </w:rPr>
              <w:t>Додаткові діагнози: ускладнення основного діагнозу – 1; супутнє захворювання – 2</w:t>
            </w:r>
          </w:p>
          <w:p w:rsidR="007B262D" w:rsidRPr="008440D8" w:rsidRDefault="007B262D" w:rsidP="00017D7D">
            <w:pPr>
              <w:ind w:left="176" w:right="-108"/>
              <w:rPr>
                <w:sz w:val="22"/>
                <w:szCs w:val="22"/>
              </w:rPr>
            </w:pPr>
          </w:p>
          <w:p w:rsidR="007B262D" w:rsidRPr="008440D8" w:rsidRDefault="00EC02F5" w:rsidP="008440D8">
            <w:pPr>
              <w:ind w:left="176"/>
              <w:rPr>
                <w:sz w:val="22"/>
                <w:szCs w:val="22"/>
              </w:rPr>
            </w:pPr>
            <w:r w:rsidRPr="00EC02F5">
              <w:rPr>
                <w:b/>
                <w:sz w:val="22"/>
                <w:szCs w:val="22"/>
              </w:rPr>
              <w:pict>
                <v:rect id="_x0000_s1036" style="position:absolute;left:0;text-align:left;margin-left:438.45pt;margin-top:1.15pt;width:9pt;height:9pt;z-index:251661312;visibility:visible"/>
              </w:pict>
            </w:r>
            <w:r w:rsidR="007B262D" w:rsidRPr="008440D8">
              <w:rPr>
                <w:sz w:val="22"/>
                <w:szCs w:val="22"/>
              </w:rPr>
              <w:t>Категорія резистентності: відсутня –1; чутливий ТБ – 2; монорезистентний ТБ – 3;</w:t>
            </w:r>
          </w:p>
          <w:p w:rsidR="007B262D" w:rsidRPr="008440D8" w:rsidRDefault="007B262D" w:rsidP="008440D8">
            <w:pPr>
              <w:ind w:left="176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>полірезистентний ТБ – 4; мультирезистентний ТБ – 5; туберкульоз із розширеною резистентністю – 6</w:t>
            </w:r>
          </w:p>
          <w:p w:rsidR="007B262D" w:rsidRPr="007B262D" w:rsidRDefault="007B262D" w:rsidP="007B262D"/>
          <w:p w:rsidR="007467F7" w:rsidRPr="007467F7" w:rsidRDefault="007B262D" w:rsidP="007467F7">
            <w:pPr>
              <w:rPr>
                <w:rFonts w:asciiTheme="minorHAnsi" w:hAnsiTheme="minorHAnsi"/>
                <w:lang w:val="ru-RU"/>
              </w:rPr>
            </w:pPr>
            <w:r w:rsidRPr="007B262D">
              <w:t>55.Медичне</w:t>
            </w:r>
            <w:r w:rsidRPr="007B262D">
              <w:rPr>
                <w:lang w:val="ru-RU"/>
              </w:rPr>
              <w:t xml:space="preserve"> </w:t>
            </w:r>
            <w:r w:rsidR="007467F7">
              <w:t>лікуван</w:t>
            </w:r>
            <w:r w:rsidR="007467F7">
              <w:rPr>
                <w:lang w:val="ru-RU"/>
              </w:rPr>
              <w:t>я</w:t>
            </w:r>
          </w:p>
          <w:p w:rsidR="00751DE6" w:rsidRPr="00751DE6" w:rsidRDefault="00EC02F5" w:rsidP="00751DE6">
            <w:pPr>
              <w:ind w:left="176"/>
              <w:rPr>
                <w:rFonts w:ascii="NinaCTT" w:hAnsi="NinaCTT"/>
                <w:sz w:val="17"/>
                <w:szCs w:val="17"/>
                <w:u w:val="dotted"/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begin"/>
            </w:r>
            <w:r w:rsidR="000303AA">
              <w:rPr>
                <w:rFonts w:ascii="NinaCTT" w:hAnsi="NinaCTT"/>
                <w:u w:val="dotted"/>
                <w:lang w:val="ru-RU"/>
              </w:rPr>
              <w:instrText xml:space="preserve"> REF  лечение  \* MERGEFORMAT </w:instrText>
            </w:r>
            <w:r>
              <w:rPr>
                <w:rFonts w:ascii="NinaCTT" w:hAnsi="NinaCTT"/>
                <w:u w:val="dotted"/>
                <w:lang w:val="ru-RU"/>
              </w:rPr>
              <w:fldChar w:fldCharType="separate"/>
            </w:r>
            <w:r w:rsidR="00751DE6" w:rsidRPr="00751DE6">
              <w:rPr>
                <w:rFonts w:ascii="NinaCTT" w:hAnsi="NinaCTT"/>
                <w:sz w:val="17"/>
                <w:szCs w:val="17"/>
                <w:u w:val="dotted"/>
                <w:lang w:val="ru-RU"/>
              </w:rPr>
              <w:t xml:space="preserve">Хумодар Р100Р , Хумодар Б100Р </w:t>
            </w:r>
          </w:p>
          <w:p w:rsidR="007B262D" w:rsidRPr="007B262D" w:rsidRDefault="00EC02F5" w:rsidP="000303AA">
            <w:pPr>
              <w:ind w:left="176"/>
              <w:rPr>
                <w:rFonts w:ascii="NinaCTT" w:hAnsi="NinaCTT"/>
                <w:u w:val="dotted"/>
                <w:lang w:val="ru-RU"/>
              </w:rPr>
            </w:pPr>
            <w:r>
              <w:rPr>
                <w:rFonts w:ascii="NinaCTT" w:hAnsi="NinaCTT"/>
                <w:u w:val="dotted"/>
                <w:lang w:val="ru-RU"/>
              </w:rPr>
              <w:fldChar w:fldCharType="end"/>
            </w:r>
            <w:r w:rsidR="007B262D" w:rsidRPr="007B262D">
              <w:rPr>
                <w:rFonts w:ascii="NinaCTT" w:hAnsi="NinaCTT"/>
                <w:u w:val="dotted"/>
                <w:lang w:val="ru-RU"/>
              </w:rPr>
              <w:t xml:space="preserve"> </w:t>
            </w:r>
          </w:p>
          <w:p w:rsidR="007B262D" w:rsidRPr="007B262D" w:rsidRDefault="007B262D" w:rsidP="007B262D">
            <w:pPr>
              <w:rPr>
                <w:u w:val="dotted"/>
                <w:lang w:val="ru-RU"/>
              </w:rPr>
            </w:pPr>
          </w:p>
          <w:p w:rsidR="007B262D" w:rsidRPr="007B262D" w:rsidRDefault="007B262D" w:rsidP="007B262D">
            <w:pPr>
              <w:rPr>
                <w:lang w:val="ru-RU"/>
              </w:rPr>
            </w:pPr>
            <w:r w:rsidRPr="007B262D">
              <w:t>56. Лікувальні рекомендації та режим хворого</w:t>
            </w:r>
          </w:p>
          <w:p w:rsidR="008440D8" w:rsidRPr="008440D8" w:rsidRDefault="008440D8" w:rsidP="007B262D">
            <w:pPr>
              <w:rPr>
                <w:lang w:val="ru-RU"/>
              </w:rPr>
            </w:pPr>
          </w:p>
        </w:tc>
      </w:tr>
      <w:tr w:rsidR="007B262D" w:rsidRPr="007B262D" w:rsidTr="00017D7D">
        <w:trPr>
          <w:trHeight w:val="3091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751DE6" w:rsidRPr="00751DE6" w:rsidRDefault="00EC02F5" w:rsidP="00751DE6">
            <w:pPr>
              <w:numPr>
                <w:ilvl w:val="0"/>
                <w:numId w:val="7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begin"/>
            </w:r>
            <w:r w:rsidR="004436DF"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instrText xml:space="preserve"> REF  рекомендации  \* MERGEFORMAT </w:instrText>
            </w: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separate"/>
            </w:r>
            <w:r w:rsidR="00751DE6"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«Д» наблюдение эндокринолога, уч. терапевта по м\жит.</w:t>
            </w:r>
          </w:p>
          <w:p w:rsidR="00751DE6" w:rsidRPr="00751DE6" w:rsidRDefault="00751DE6" w:rsidP="00751DE6">
            <w:pPr>
              <w:numPr>
                <w:ilvl w:val="0"/>
                <w:numId w:val="7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Преднизолон 5 мг 2 табл в 8.00, 2 табл  в 11.00 ,дозу преднизолона постепенно уменьшать на 5 мг 1 раз в неделю до отмены препарата ,под контролем ОАК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Тирозол (мерказолил) 5мг 3т. *3р/д. с послед. снижением дозы на 5мг в 2 недели под контролем ТТГ, Т4, общ. ан. крови до поддерживающей.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В настоящий момент в инсулинотерапии не нуждается.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Диета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9, умеренное ограничение животного белка в сут. рационе, гипохолестеринемическая диета.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Инсулинотерапия:   п/з- ед., п/о- ед., п/уж - ед.,  22.00   ед.</w:t>
            </w:r>
          </w:p>
          <w:p w:rsidR="00751DE6" w:rsidRPr="00751DE6" w:rsidRDefault="00751DE6" w:rsidP="00312A6B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Актрапид НМ, Протафан НМ, Хумодар Р100Р, Хумодар Б100Р, Хумодар К 25 100Р, Инсуман Базал, Инсуман Рапид, Хумулин R, Хумулин НПХ, Фармасулин Н, Фармасулин НNР, Генсулин R, Генсулин Н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ССТ: диабетон МR (диаглизид МR) 60 мг</w:t>
            </w:r>
          </w:p>
          <w:p w:rsidR="00751DE6" w:rsidRPr="00751DE6" w:rsidRDefault="00751DE6" w:rsidP="007E6EDD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диапирид (амарил,  олтар ) 3 мг 1т. *1р/сут. п/з., </w:t>
            </w:r>
          </w:p>
          <w:p w:rsidR="00751DE6" w:rsidRPr="00751DE6" w:rsidRDefault="00751DE6" w:rsidP="007E6EDD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диаформин (сиофор,  глюкофаж) 1000 - 1т. *2р/сут. </w:t>
            </w:r>
          </w:p>
          <w:p w:rsidR="00751DE6" w:rsidRPr="00751DE6" w:rsidRDefault="00751DE6" w:rsidP="009514BD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Регулярный самоконтроль с послед. коррекцией дозы инсулина, соблюдение режима диетотерапии. При нестабильной гликемии повторная консультация в КУ «ОКЭД» ЗОС, для решения вопроса о дальнейшей тактики инсулинотерапии.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Контроль глик. гемоглобина 1 раз в 6 мес., микроальбуминурии 1р. в 6 мес.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Гиполипидемическая терапия (розувастатин 10 мг) с контролем липидограммы.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Круглогодично сосудистая терапия: вазонит или агапурин-ретард  1т.*2 р. 1 мес. – курсами. 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кардиолога: </w:t>
            </w:r>
          </w:p>
          <w:p w:rsidR="00751DE6" w:rsidRPr="00751DE6" w:rsidRDefault="00751DE6" w:rsidP="004A2B43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аспирин кардио 100 мг 1р\д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аспекард 100 мг 1р/д., </w:t>
            </w:r>
          </w:p>
          <w:p w:rsidR="00751DE6" w:rsidRPr="00751DE6" w:rsidRDefault="00751DE6" w:rsidP="0074562C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аторвастатин 20 мг*1р/сут. на ночь. </w:t>
            </w:r>
          </w:p>
          <w:p w:rsidR="00751DE6" w:rsidRPr="00751DE6" w:rsidRDefault="00751DE6" w:rsidP="0074562C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розувастатин 10 мг*1р/сут. на ночь.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глицисед  1т*3р/д 1 мес.,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дилтиазем ретард 90мг *2р/д.,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эналаприл 5-10 мг *1р/д.,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лоспирин 75 мг *1р/д.,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карведилол 12,5-25мг утр.,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кардиомагнил 75мг 1т. веч.,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кардонат 1т. *3р/д.,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небилет 2,5-5 мг*1р/сут,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нолипрел форте 1т*утром,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предуктал МR 1т. *2р/д.  1 мес.,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престариум 5-10 мг веч., </w:t>
            </w:r>
          </w:p>
          <w:p w:rsidR="00751DE6" w:rsidRPr="00751DE6" w:rsidRDefault="00751DE6" w:rsidP="00BF2F29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тиотриазолин 200мг *3р/д.,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тридуктан МВ 1т. * 2р/д., 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фитосед  1к 4р/д 1 мес</w:t>
            </w:r>
          </w:p>
          <w:p w:rsidR="00751DE6" w:rsidRPr="00751DE6" w:rsidRDefault="00751DE6" w:rsidP="00836E0A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при болях в сердце изокет спрей. Контроль АД, ЭКГ. Дообследование: ЭХО КС по м/ж.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Эналаприл 5 мг утром, кардиомагнил  1 т. вечер. Контр. АД.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Берлитион (диалипон) 600 мг/сут. 2-3 мес., нейрорубин форте 1т./сут., (мильгамма 1т.*3р/д., витаксон 1т. *3р/д.) 1 мес., актовегин 200 мг *2р/д. 1 мес.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невропатолога: преп. а-липоевой к-ты 600 мг в/в кап., витамины гр В, актовегин 10,0 в/в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10, бенфогамма 300 мг 1т/сут до 2 мес.,  вита-мелатононин 1-2 т веч., вестибо 24 мг 2р\д,  вестинорм 16 мг 1т 3р\д до 2 мес,, габагамма 300 мг веч, габантин 300мг 2р/сут. 2-3 нед., глицин 2т 3/д., глиятон 1000  в/м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10, кортексин 10,0 в/м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10., келтикан 1т.*3р/д. 1 мес., луцетам 15,0 в/в стр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10, нуклео ЦМФ 1т. *2р/д 20 дней, сермион 30 мг утр. 1 мес.,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УЗИ щит. железы 1р. в год. Контр ТТГ 1р в 6 мес. Йодная профилактика  - употребление в пищу йодированной соли и продуктов содержащих йод.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Канефрон 2т. *3р/д. 1 мес.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окулиста: квинакс 2к.*3р/д. в ОИ, окювайт лютеин форте 1т.*1р/д., дицинон 1т. 3р/д., вазонит 1т.*2р/д., офтан катахром 2к. *3р/д, эмоксипин 2к. *3р/д. в ОИ, тауфон 2к.*3р/д. в ОИ, трайкор 1т 1р/д,, слезавит 1т.*1р/д. оптикс форте 1т 1р\д  конс. лазерного хирурга.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гастроэнтеролога: стол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5, режим питания,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алмагель  по 1 д. л. *3р/д ч/з 1 час после еды 10 дней,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галстена по 10 кап. *3р/д. за 20 мин. до еды 1 мес.,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домизон по 1 т 3р/д – 10 дней,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>квамател 20 мг 1т. веч.,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маалокс 1 дес. л. *3р/д. ч/з 1ч. после еды,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мезим 10 тыс. 1т. *3р/д. во время еды 2 нед.,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омепразол 1к. *2р/сут. за 10 мин. до еды;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пангрол 25 тыс. по 1т. *3р/д. во время еды 2 недели;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рафахолин Ц по 1др. *3р/д. после еды 1 мес.,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фосфалюгель 1п  2р/д ч/з час после еды 2 нед., </w:t>
            </w:r>
          </w:p>
          <w:p w:rsidR="00751DE6" w:rsidRPr="00751DE6" w:rsidRDefault="00751DE6" w:rsidP="00444BAB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урсохол 2т на ночь 1 мес, </w:t>
            </w:r>
          </w:p>
          <w:p w:rsidR="00751DE6" w:rsidRPr="00751DE6" w:rsidRDefault="00751DE6" w:rsidP="00502CA2">
            <w:pPr>
              <w:ind w:left="435"/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смарт омега 1кап. *1р/д. 1 мес.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гематолога: тардиферон 2т./д. 3р/д 1 мес.,  селен 50 мкг 1т 1р\д 40 дней, нейровитан 1т/д. веч. Дан совет по питанию. Сорбифер дурулес  1т.  Контроль ч/з 2 мес.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Рек. ревматолога: ограничение физ нагрузки на суставы, пиаскледин 300 1 к утром с едой 3 мес., синметон  750 1р/д  - 10 дней и при болях.  алфлутоп 1,0 *1р. в/м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20, кальцемин адванс 1т. *2р/д. 2 мес., инцена 10к. *3р/д. до 4 недель; местно: диклак гель 5% 2р/д. 10 дней.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Осмотр  зав. п-кой обл. энд. диспансера, зав. кафедрой энд. хирургии для комиссионного решения вопроса о целесообразности хир. лечения,  согласно приказа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609 от 01.10.07.   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color w:val="92D050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color w:val="92D050"/>
                <w:sz w:val="16"/>
                <w:szCs w:val="16"/>
                <w:u w:val="dotted"/>
                <w:lang w:val="ru-RU"/>
              </w:rPr>
              <w:t>Рекомендовано обращение в клинико-диагностического отд. областного перинатального центра. ( б. Шевченко 27, регистратура  т. 224-09-57).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С больным(-ой)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Предупрежден(-а) о переводе на генно-инженерные виды инсулина при неудовлетворительной компенсации. 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Б/л серия. АГВ 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  2356     с  .02.17 по  .02.17. продолжает болеть. С  .02.17 б/л  серия АГВ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     на реабилитационное лечение в санаторий «Березовый гай» </w:t>
            </w:r>
          </w:p>
          <w:p w:rsidR="00751DE6" w:rsidRPr="00751DE6" w:rsidRDefault="00751DE6" w:rsidP="00751DE6">
            <w:pPr>
              <w:numPr>
                <w:ilvl w:val="0"/>
                <w:numId w:val="6"/>
              </w:numPr>
              <w:rPr>
                <w:rFonts w:ascii="NinaCTT" w:hAnsi="NinaCTT"/>
                <w:sz w:val="16"/>
                <w:szCs w:val="16"/>
                <w:u w:val="dotted"/>
                <w:lang w:val="ru-RU"/>
              </w:rPr>
            </w:pP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Б/л серия. АГВ  </w:t>
            </w:r>
            <w:r w:rsidRPr="00751DE6">
              <w:rPr>
                <w:sz w:val="16"/>
                <w:szCs w:val="16"/>
                <w:u w:val="dotted"/>
                <w:lang w:val="ru-RU"/>
              </w:rPr>
              <w:t>№</w:t>
            </w:r>
            <w:r w:rsidRPr="00751DE6">
              <w:rPr>
                <w:rFonts w:ascii="NinaCTT" w:hAnsi="NinaCTT"/>
                <w:sz w:val="16"/>
                <w:szCs w:val="16"/>
                <w:u w:val="dotted"/>
                <w:lang w:val="ru-RU"/>
              </w:rPr>
              <w:t xml:space="preserve">   2356     с  .02.17 по  .02.17. к труду     .02.17 </w:t>
            </w:r>
          </w:p>
          <w:p w:rsidR="007B262D" w:rsidRPr="007B262D" w:rsidRDefault="00EC02F5" w:rsidP="008440D8">
            <w:pPr>
              <w:ind w:left="435"/>
            </w:pPr>
            <w:r w:rsidRPr="004436DF">
              <w:rPr>
                <w:rFonts w:ascii="NinaCTT" w:hAnsi="NinaCTT"/>
                <w:sz w:val="16"/>
                <w:szCs w:val="16"/>
                <w:u w:val="dotted"/>
                <w:lang w:val="ru-RU"/>
              </w:rPr>
              <w:fldChar w:fldCharType="end"/>
            </w:r>
          </w:p>
        </w:tc>
      </w:tr>
      <w:tr w:rsidR="007B262D" w:rsidRPr="007B262D" w:rsidTr="00017D7D">
        <w:trPr>
          <w:trHeight w:val="2722"/>
        </w:trPr>
        <w:tc>
          <w:tcPr>
            <w:tcW w:w="10349" w:type="dxa"/>
            <w:gridSpan w:val="12"/>
            <w:tcBorders>
              <w:top w:val="nil"/>
              <w:bottom w:val="nil"/>
            </w:tcBorders>
          </w:tcPr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017D7D" w:rsidRDefault="00017D7D" w:rsidP="00017D7D">
            <w:pPr>
              <w:jc w:val="left"/>
              <w:rPr>
                <w:lang w:val="ru-RU"/>
              </w:rPr>
            </w:pPr>
          </w:p>
          <w:p w:rsidR="007B262D" w:rsidRPr="008440D8" w:rsidRDefault="008440D8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 Результат медичного лікування:</w:t>
            </w:r>
          </w:p>
          <w:tbl>
            <w:tblPr>
              <w:tblpPr w:leftFromText="180" w:rightFromText="180" w:vertAnchor="text" w:horzAnchor="page" w:tblpX="9241" w:tblpY="46"/>
              <w:tblW w:w="0" w:type="auto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ayout w:type="fixed"/>
              <w:tblLook w:val="0000"/>
            </w:tblPr>
            <w:tblGrid>
              <w:gridCol w:w="540"/>
            </w:tblGrid>
            <w:tr w:rsidR="007B262D" w:rsidRPr="008440D8" w:rsidTr="00EC7E93">
              <w:trPr>
                <w:trHeight w:val="540"/>
              </w:trPr>
              <w:tc>
                <w:tcPr>
                  <w:tcW w:w="540" w:type="dxa"/>
                </w:tcPr>
                <w:p w:rsidR="007B262D" w:rsidRPr="008440D8" w:rsidRDefault="007B262D" w:rsidP="00017D7D">
                  <w:pPr>
                    <w:ind w:left="-108"/>
                    <w:jc w:val="lef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7B262D" w:rsidRPr="008440D8" w:rsidRDefault="007B262D" w:rsidP="00017D7D">
            <w:pPr>
              <w:ind w:left="-108"/>
              <w:jc w:val="left"/>
              <w:rPr>
                <w:sz w:val="22"/>
                <w:szCs w:val="22"/>
              </w:rPr>
            </w:pPr>
            <w:r w:rsidRPr="008440D8">
              <w:rPr>
                <w:sz w:val="22"/>
                <w:szCs w:val="22"/>
              </w:rPr>
              <w:t xml:space="preserve">виписаний(а) з: одужанням – 1; поліпшенням – 2; погіршенням – 3; без змін – 4; помер(ла) – 5;          </w:t>
            </w:r>
          </w:p>
          <w:p w:rsidR="007B262D" w:rsidRPr="008440D8" w:rsidRDefault="007B262D" w:rsidP="00017D7D">
            <w:pPr>
              <w:ind w:left="-108"/>
              <w:jc w:val="left"/>
              <w:rPr>
                <w:sz w:val="22"/>
                <w:szCs w:val="22"/>
                <w:lang w:val="ru-RU"/>
              </w:rPr>
            </w:pPr>
            <w:r w:rsidRPr="008440D8">
              <w:rPr>
                <w:sz w:val="22"/>
                <w:szCs w:val="22"/>
              </w:rPr>
              <w:t xml:space="preserve">переведений(а) до іншого закладу охорони здоров’я – 6; здоровий(а) – 7 </w:t>
            </w:r>
          </w:p>
          <w:p w:rsidR="008440D8" w:rsidRPr="007B262D" w:rsidRDefault="008440D8" w:rsidP="00017D7D">
            <w:pPr>
              <w:ind w:left="-108"/>
              <w:jc w:val="left"/>
              <w:rPr>
                <w:lang w:val="ru-RU"/>
              </w:rPr>
            </w:pPr>
          </w:p>
          <w:p w:rsidR="007B262D" w:rsidRPr="008440D8" w:rsidRDefault="008440D8" w:rsidP="00017D7D">
            <w:pPr>
              <w:ind w:left="-108"/>
              <w:jc w:val="left"/>
              <w:rPr>
                <w:sz w:val="22"/>
                <w:szCs w:val="22"/>
              </w:rPr>
            </w:pPr>
            <w:r>
              <w:rPr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57.1. П.І.Б. лікаря _________________ підпис _________ реєстраційний номер _______________</w:t>
            </w:r>
          </w:p>
          <w:p w:rsidR="007B262D" w:rsidRPr="007B262D" w:rsidRDefault="008440D8" w:rsidP="00017D7D">
            <w:pPr>
              <w:ind w:left="-108"/>
              <w:jc w:val="left"/>
              <w:rPr>
                <w:rFonts w:ascii="NinaCTT" w:hAnsi="NinaCTT"/>
                <w:sz w:val="16"/>
                <w:szCs w:val="16"/>
                <w:u w:val="dotted"/>
              </w:rPr>
            </w:pPr>
            <w:r w:rsidRPr="008440D8">
              <w:rPr>
                <w:sz w:val="22"/>
                <w:szCs w:val="22"/>
                <w:lang w:val="ru-RU"/>
              </w:rPr>
              <w:t xml:space="preserve"> </w:t>
            </w:r>
            <w:r w:rsidR="007B262D" w:rsidRPr="008440D8">
              <w:rPr>
                <w:sz w:val="22"/>
                <w:szCs w:val="22"/>
              </w:rPr>
              <w:t>57.2. П.І.Б. завідувача відділення __________ підпис ________ реєстраційний номер __________</w:t>
            </w:r>
          </w:p>
        </w:tc>
      </w:tr>
      <w:tr w:rsidR="007B262D" w:rsidRPr="007B262D" w:rsidTr="00EC7E93">
        <w:trPr>
          <w:trHeight w:val="300"/>
        </w:trPr>
        <w:tc>
          <w:tcPr>
            <w:tcW w:w="2406" w:type="dxa"/>
            <w:gridSpan w:val="2"/>
            <w:tcBorders>
              <w:top w:val="nil"/>
              <w:bottom w:val="nil"/>
            </w:tcBorders>
          </w:tcPr>
          <w:p w:rsidR="007B262D" w:rsidRPr="007B262D" w:rsidRDefault="007B262D" w:rsidP="007B262D"/>
        </w:tc>
        <w:tc>
          <w:tcPr>
            <w:tcW w:w="7943" w:type="dxa"/>
            <w:gridSpan w:val="10"/>
            <w:tcBorders>
              <w:top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8"/>
        </w:trPr>
        <w:tc>
          <w:tcPr>
            <w:tcW w:w="2226" w:type="dxa"/>
            <w:tcBorders>
              <w:top w:val="nil"/>
              <w:bottom w:val="nil"/>
              <w:right w:val="single" w:sz="4" w:space="0" w:color="auto"/>
            </w:tcBorders>
          </w:tcPr>
          <w:p w:rsidR="007B262D" w:rsidRPr="007B262D" w:rsidRDefault="007B262D" w:rsidP="008440D8">
            <w:pPr>
              <w:ind w:left="34"/>
            </w:pPr>
            <w:r w:rsidRPr="007B262D">
              <w:t>Дата заповнення</w:t>
            </w: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262D" w:rsidRPr="007B262D" w:rsidRDefault="007B262D" w:rsidP="007B262D"/>
        </w:tc>
        <w:tc>
          <w:tcPr>
            <w:tcW w:w="609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262D" w:rsidRPr="007B262D" w:rsidRDefault="007B262D" w:rsidP="007B262D"/>
        </w:tc>
        <w:tc>
          <w:tcPr>
            <w:tcW w:w="5687" w:type="dxa"/>
            <w:gridSpan w:val="2"/>
            <w:tcBorders>
              <w:top w:val="nil"/>
              <w:left w:val="nil"/>
              <w:bottom w:val="nil"/>
            </w:tcBorders>
          </w:tcPr>
          <w:p w:rsidR="007B262D" w:rsidRPr="007B262D" w:rsidRDefault="007B262D" w:rsidP="007B262D"/>
        </w:tc>
      </w:tr>
      <w:tr w:rsidR="007B262D" w:rsidRPr="007B262D" w:rsidTr="00EC7E93">
        <w:trPr>
          <w:trHeight w:val="247"/>
        </w:trPr>
        <w:tc>
          <w:tcPr>
            <w:tcW w:w="2226" w:type="dxa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  <w:tc>
          <w:tcPr>
            <w:tcW w:w="2340" w:type="dxa"/>
            <w:gridSpan w:val="8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8440D8">
            <w:pPr>
              <w:ind w:left="-65"/>
            </w:pPr>
            <w:r w:rsidRPr="007B262D">
              <w:t xml:space="preserve"> (число, місяць, рік)</w:t>
            </w:r>
          </w:p>
        </w:tc>
        <w:tc>
          <w:tcPr>
            <w:tcW w:w="5783" w:type="dxa"/>
            <w:gridSpan w:val="3"/>
            <w:tcBorders>
              <w:top w:val="nil"/>
              <w:bottom w:val="single" w:sz="12" w:space="0" w:color="auto"/>
            </w:tcBorders>
          </w:tcPr>
          <w:p w:rsidR="007B262D" w:rsidRPr="007B262D" w:rsidRDefault="007B262D" w:rsidP="007B262D"/>
        </w:tc>
      </w:tr>
    </w:tbl>
    <w:p w:rsidR="00206D2E" w:rsidRPr="004F6116" w:rsidRDefault="00206D2E" w:rsidP="00EB798A">
      <w:pPr>
        <w:rPr>
          <w:lang w:val="ru-RU"/>
        </w:rPr>
      </w:pPr>
    </w:p>
    <w:p w:rsidR="008A368B" w:rsidRPr="001A3809" w:rsidRDefault="008A368B" w:rsidP="00992792">
      <w:pPr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0BA" w:rsidRDefault="00BE70BA" w:rsidP="00080012">
      <w:r>
        <w:separator/>
      </w:r>
    </w:p>
  </w:endnote>
  <w:endnote w:type="continuationSeparator" w:id="1">
    <w:p w:rsidR="00BE70BA" w:rsidRDefault="00BE70B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0BA" w:rsidRDefault="00BE70BA" w:rsidP="00080012">
      <w:r>
        <w:separator/>
      </w:r>
    </w:p>
  </w:footnote>
  <w:footnote w:type="continuationSeparator" w:id="1">
    <w:p w:rsidR="00BE70BA" w:rsidRDefault="00BE70B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1B09AA" w:rsidRPr="00244DF4" w:rsidTr="00EC7E9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1B09AA" w:rsidRPr="00244DF4" w:rsidTr="00EC7E9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1B09AA" w:rsidRPr="00244DF4" w:rsidRDefault="001B09AA" w:rsidP="00EC7E9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1B09AA" w:rsidRPr="00244DF4" w:rsidTr="00EC7E93">
      <w:tc>
        <w:tcPr>
          <w:tcW w:w="6946" w:type="dxa"/>
          <w:vMerge/>
          <w:tcBorders>
            <w:left w:val="nil"/>
            <w:right w:val="nil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1B09AA" w:rsidRPr="00244DF4" w:rsidRDefault="001B09AA" w:rsidP="00EC7E9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244DF4" w:rsidRDefault="001B09AA" w:rsidP="00CF583F">
          <w:pPr>
            <w:ind w:left="0"/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наказам МОЗ України</w:t>
          </w:r>
        </w:p>
      </w:tc>
    </w:tr>
    <w:tr w:rsidR="001B09AA" w:rsidRPr="00080012" w:rsidTr="00EC7E9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1B09AA" w:rsidRPr="00080012" w:rsidRDefault="001B09AA" w:rsidP="00EC7E9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1B09AA" w:rsidRPr="00080012" w:rsidRDefault="001B09AA" w:rsidP="00CF583F">
          <w:pPr>
            <w:pStyle w:val="a4"/>
            <w:ind w:left="0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1B09AA" w:rsidRDefault="001B09A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0F34"/>
    <w:multiLevelType w:val="multilevel"/>
    <w:tmpl w:val="18FAB756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ascii="NinaCTT" w:hAnsi="NinaCTT" w:hint="default"/>
        <w:sz w:val="16"/>
        <w:szCs w:val="16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5E04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F990A1D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17D7D"/>
    <w:rsid w:val="000212DA"/>
    <w:rsid w:val="00021776"/>
    <w:rsid w:val="000303AA"/>
    <w:rsid w:val="0003342B"/>
    <w:rsid w:val="00035129"/>
    <w:rsid w:val="00036272"/>
    <w:rsid w:val="00054D9D"/>
    <w:rsid w:val="000551A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9AA"/>
    <w:rsid w:val="001B121D"/>
    <w:rsid w:val="001B1BA9"/>
    <w:rsid w:val="001B372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D30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F4B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6DF"/>
    <w:rsid w:val="00444BAB"/>
    <w:rsid w:val="00445E5F"/>
    <w:rsid w:val="004468E8"/>
    <w:rsid w:val="00447E50"/>
    <w:rsid w:val="0045073F"/>
    <w:rsid w:val="004529B5"/>
    <w:rsid w:val="00453F9C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46F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7F7"/>
    <w:rsid w:val="0075108A"/>
    <w:rsid w:val="007516AE"/>
    <w:rsid w:val="00751DE6"/>
    <w:rsid w:val="007520C0"/>
    <w:rsid w:val="00771E23"/>
    <w:rsid w:val="0077278E"/>
    <w:rsid w:val="00772D9D"/>
    <w:rsid w:val="007804DB"/>
    <w:rsid w:val="00784AD1"/>
    <w:rsid w:val="00785D22"/>
    <w:rsid w:val="0078638D"/>
    <w:rsid w:val="007953AC"/>
    <w:rsid w:val="007A13DA"/>
    <w:rsid w:val="007A14F8"/>
    <w:rsid w:val="007A4C80"/>
    <w:rsid w:val="007A738F"/>
    <w:rsid w:val="007B262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0D8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5C15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70BA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583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0A3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02F5"/>
    <w:rsid w:val="00EC47CF"/>
    <w:rsid w:val="00EC69CE"/>
    <w:rsid w:val="00EC7664"/>
    <w:rsid w:val="00EC7E93"/>
    <w:rsid w:val="00ED1C6E"/>
    <w:rsid w:val="00ED2F38"/>
    <w:rsid w:val="00ED4085"/>
    <w:rsid w:val="00ED7996"/>
    <w:rsid w:val="00ED7C4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left="43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character" w:styleId="a8">
    <w:name w:val="Placeholder Text"/>
    <w:basedOn w:val="a0"/>
    <w:uiPriority w:val="99"/>
    <w:semiHidden/>
    <w:rsid w:val="00EC7E93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EC7E9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7E93"/>
    <w:rPr>
      <w:rFonts w:ascii="Tahoma" w:hAnsi="Tahoma" w:cs="Tahoma"/>
      <w:sz w:val="16"/>
      <w:szCs w:val="16"/>
      <w:lang w:val="uk-UA"/>
    </w:rPr>
  </w:style>
  <w:style w:type="character" w:customStyle="1" w:styleId="1">
    <w:name w:val="Стиль1"/>
    <w:basedOn w:val="a0"/>
    <w:uiPriority w:val="1"/>
    <w:rsid w:val="00A45C15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079E0E-F0AA-4104-90BE-39205E42532A}"/>
      </w:docPartPr>
      <w:docPartBody>
        <w:p w:rsidR="00855BAE" w:rsidRDefault="00855BAE"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A0AB86A654CA4172A0EBC0F0657A37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F63C9-BEB1-4854-86BE-E2D8E65D97AC}"/>
      </w:docPartPr>
      <w:docPartBody>
        <w:p w:rsidR="00855BAE" w:rsidRDefault="00855BAE" w:rsidP="00855BAE">
          <w:pPr>
            <w:pStyle w:val="A0AB86A654CA4172A0EBC0F0657A373F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24D7AE566484CA0BF72712A9D28E6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9D9D1-A538-4972-BE0A-1BCB3B8BFAD5}"/>
      </w:docPartPr>
      <w:docPartBody>
        <w:p w:rsidR="00855BAE" w:rsidRDefault="00855BAE" w:rsidP="00855BAE">
          <w:pPr>
            <w:pStyle w:val="E24D7AE566484CA0BF72712A9D28E656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57B013C2FA3245CF8E52542F6CBEC3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A27EEA-E56D-4AB1-A789-4747F7C90435}"/>
      </w:docPartPr>
      <w:docPartBody>
        <w:p w:rsidR="00855BAE" w:rsidRDefault="00855BAE" w:rsidP="00855BAE">
          <w:pPr>
            <w:pStyle w:val="57B013C2FA3245CF8E52542F6CBEC32C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inaC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855BAE"/>
    <w:rsid w:val="00695C80"/>
    <w:rsid w:val="0085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BAE"/>
    <w:rPr>
      <w:color w:val="808080"/>
    </w:rPr>
  </w:style>
  <w:style w:type="paragraph" w:customStyle="1" w:styleId="A0AB86A654CA4172A0EBC0F0657A373F">
    <w:name w:val="A0AB86A654CA4172A0EBC0F0657A373F"/>
    <w:rsid w:val="00855B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24D7AE566484CA0BF72712A9D28E656">
    <w:name w:val="E24D7AE566484CA0BF72712A9D28E656"/>
    <w:rsid w:val="00855BAE"/>
  </w:style>
  <w:style w:type="paragraph" w:customStyle="1" w:styleId="57B013C2FA3245CF8E52542F6CBEC32C">
    <w:name w:val="57B013C2FA3245CF8E52542F6CBEC32C"/>
    <w:rsid w:val="00855BA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6</Pages>
  <Words>3176</Words>
  <Characters>18106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2017-02-20T12:06:00Z</dcterms:created>
  <dcterms:modified xsi:type="dcterms:W3CDTF">2017-02-28T11:45:00Z</dcterms:modified>
</cp:coreProperties>
</file>