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884"/>
        <w:gridCol w:w="4884"/>
        <w:gridCol w:w="5018"/>
      </w:tblGrid>
      <w:tr w:rsidR="001E75D6" w:rsidRPr="00F22126" w:rsidTr="001E75D6">
        <w:tc>
          <w:tcPr>
            <w:tcW w:w="5102" w:type="dxa"/>
            <w:shd w:val="clear" w:color="auto" w:fill="auto"/>
          </w:tcPr>
          <w:p w:rsidR="001E75D6" w:rsidRPr="00F2212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</w:p>
        </w:tc>
        <w:tc>
          <w:tcPr>
            <w:tcW w:w="5102" w:type="dxa"/>
            <w:shd w:val="clear" w:color="auto" w:fill="auto"/>
          </w:tcPr>
          <w:p w:rsidR="001E75D6" w:rsidRPr="001E75D6" w:rsidRDefault="001E75D6" w:rsidP="001E75D6">
            <w:pPr>
              <w:pStyle w:val="3"/>
              <w:shd w:val="clear" w:color="auto" w:fill="auto"/>
              <w:spacing w:line="220" w:lineRule="exact"/>
              <w:ind w:right="100" w:firstLine="0"/>
              <w:rPr>
                <w:lang w:val="ru-RU"/>
              </w:rPr>
            </w:pPr>
          </w:p>
        </w:tc>
        <w:tc>
          <w:tcPr>
            <w:tcW w:w="5103" w:type="dxa"/>
            <w:shd w:val="clear" w:color="auto" w:fill="auto"/>
          </w:tcPr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ЗАТВЕРДЖЕНО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Головний лікар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 xml:space="preserve">КУ «ОК </w:t>
            </w:r>
            <w:proofErr w:type="spellStart"/>
            <w:r>
              <w:t>Ендокриндиспансер</w:t>
            </w:r>
            <w:proofErr w:type="spellEnd"/>
            <w:r>
              <w:t>» ЗОР</w:t>
            </w:r>
          </w:p>
          <w:p w:rsidR="001E75D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______________</w:t>
            </w:r>
            <w:proofErr w:type="spellStart"/>
            <w:r>
              <w:t>В.В.Чернікова</w:t>
            </w:r>
            <w:proofErr w:type="spellEnd"/>
          </w:p>
          <w:p w:rsidR="001E75D6" w:rsidRPr="00F22126" w:rsidRDefault="001E75D6" w:rsidP="001E75D6">
            <w:pPr>
              <w:pStyle w:val="3"/>
              <w:shd w:val="clear" w:color="auto" w:fill="auto"/>
              <w:spacing w:line="360" w:lineRule="auto"/>
              <w:ind w:right="102" w:firstLine="0"/>
            </w:pPr>
            <w:r>
              <w:t>«___» ________________2018р.</w:t>
            </w:r>
          </w:p>
        </w:tc>
      </w:tr>
    </w:tbl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F22126" w:rsidRDefault="001E75D6" w:rsidP="001E75D6">
      <w:pPr>
        <w:pStyle w:val="3"/>
        <w:shd w:val="clear" w:color="auto" w:fill="auto"/>
        <w:spacing w:line="220" w:lineRule="exact"/>
        <w:ind w:right="100" w:firstLine="0"/>
        <w:rPr>
          <w:lang w:val="ru-RU"/>
        </w:rPr>
      </w:pPr>
    </w:p>
    <w:p w:rsidR="001E75D6" w:rsidRPr="00E91F8F" w:rsidRDefault="001E75D6" w:rsidP="001E75D6">
      <w:pPr>
        <w:pStyle w:val="3"/>
        <w:shd w:val="clear" w:color="auto" w:fill="auto"/>
        <w:spacing w:line="480" w:lineRule="auto"/>
        <w:ind w:right="100" w:firstLine="0"/>
        <w:rPr>
          <w:b/>
          <w:sz w:val="28"/>
          <w:szCs w:val="28"/>
        </w:rPr>
      </w:pPr>
      <w:r w:rsidRPr="00E91F8F">
        <w:rPr>
          <w:b/>
          <w:sz w:val="28"/>
          <w:szCs w:val="28"/>
          <w:lang w:val="ru-RU"/>
        </w:rPr>
        <w:t>ЛОКАЛЬНИЙ КЛІНІЧНИЙ ПРОТОКОЛ</w:t>
      </w:r>
    </w:p>
    <w:p w:rsidR="001E75D6" w:rsidRDefault="001E75D6" w:rsidP="001E75D6">
      <w:pPr>
        <w:pStyle w:val="3"/>
        <w:shd w:val="clear" w:color="auto" w:fill="auto"/>
        <w:spacing w:line="480" w:lineRule="auto"/>
        <w:ind w:firstLine="0"/>
        <w:rPr>
          <w:b/>
          <w:sz w:val="28"/>
          <w:szCs w:val="28"/>
        </w:rPr>
      </w:pPr>
      <w:r w:rsidRPr="005D4332">
        <w:rPr>
          <w:b/>
          <w:sz w:val="28"/>
          <w:szCs w:val="28"/>
        </w:rPr>
        <w:t xml:space="preserve">НАДАННЯ МЕДИЧНОЇ ДОПОМОГИ ХВОРИМ ІЗ </w:t>
      </w:r>
      <w:r w:rsidR="00A6179D" w:rsidRPr="00A6179D">
        <w:rPr>
          <w:b/>
          <w:sz w:val="28"/>
          <w:szCs w:val="28"/>
        </w:rPr>
        <w:t xml:space="preserve">ГЕСТАЦІЙНИМ </w:t>
      </w:r>
      <w:r w:rsidRPr="00A6179D">
        <w:rPr>
          <w:b/>
          <w:sz w:val="28"/>
          <w:szCs w:val="28"/>
        </w:rPr>
        <w:t>ДІАБЕТОМ</w:t>
      </w:r>
      <w:r w:rsidR="00D01B5A" w:rsidRPr="00A6179D">
        <w:rPr>
          <w:b/>
          <w:sz w:val="28"/>
          <w:szCs w:val="28"/>
        </w:rPr>
        <w:t xml:space="preserve"> </w:t>
      </w:r>
    </w:p>
    <w:p w:rsidR="001E75D6" w:rsidRDefault="001E75D6" w:rsidP="001E75D6">
      <w:pPr>
        <w:pStyle w:val="3"/>
        <w:shd w:val="clear" w:color="auto" w:fill="auto"/>
        <w:spacing w:line="480" w:lineRule="auto"/>
        <w:ind w:firstLine="0"/>
        <w:rPr>
          <w:b/>
        </w:rPr>
      </w:pPr>
    </w:p>
    <w:p w:rsidR="001E75D6" w:rsidRPr="000919EB" w:rsidRDefault="001E75D6" w:rsidP="001E75D6">
      <w:pPr>
        <w:pStyle w:val="3"/>
        <w:shd w:val="clear" w:color="auto" w:fill="auto"/>
        <w:spacing w:line="480" w:lineRule="auto"/>
        <w:ind w:firstLine="0"/>
        <w:jc w:val="both"/>
        <w:rPr>
          <w:sz w:val="28"/>
          <w:szCs w:val="28"/>
        </w:rPr>
      </w:pPr>
      <w:r w:rsidRPr="00F22126">
        <w:rPr>
          <w:sz w:val="28"/>
          <w:szCs w:val="28"/>
        </w:rPr>
        <w:t>На підставі</w:t>
      </w:r>
      <w:r w:rsidRPr="000919EB">
        <w:rPr>
          <w:sz w:val="28"/>
          <w:szCs w:val="28"/>
        </w:rPr>
        <w:t xml:space="preserve">  </w:t>
      </w:r>
      <w:r>
        <w:t>.</w:t>
      </w:r>
      <w:r w:rsidR="00815EA6" w:rsidRPr="00815EA6">
        <w:t xml:space="preserve"> </w:t>
      </w:r>
      <w:r w:rsidR="00D01B5A" w:rsidRPr="001C353D">
        <w:rPr>
          <w:rFonts w:ascii="Tahoma" w:hAnsi="Tahoma" w:cs="Tahoma"/>
          <w:sz w:val="21"/>
          <w:szCs w:val="21"/>
          <w:shd w:val="clear" w:color="auto" w:fill="FFFFFF"/>
        </w:rPr>
        <w:t xml:space="preserve">Наказ </w:t>
      </w:r>
      <w:r w:rsidR="00D01B5A" w:rsidRPr="00D60587">
        <w:rPr>
          <w:rFonts w:ascii="Tahoma" w:hAnsi="Tahoma" w:cs="Tahoma"/>
          <w:sz w:val="21"/>
          <w:szCs w:val="21"/>
          <w:highlight w:val="red"/>
          <w:shd w:val="clear" w:color="auto" w:fill="FFFFFF"/>
        </w:rPr>
        <w:t>МОЗ України від 21.12.2012 № 1118 </w:t>
      </w:r>
      <w:hyperlink r:id="rId6" w:history="1">
        <w:r w:rsidR="00D01B5A" w:rsidRPr="00D60587">
          <w:rPr>
            <w:rStyle w:val="a5"/>
            <w:rFonts w:ascii="Tahoma" w:hAnsi="Tahoma" w:cs="Tahoma"/>
            <w:color w:val="auto"/>
            <w:sz w:val="21"/>
            <w:szCs w:val="21"/>
            <w:highlight w:val="red"/>
            <w:shd w:val="clear" w:color="auto" w:fill="FFFFFF"/>
          </w:rPr>
          <w:t>Уніфікований клінічний протокол первинної та вторинної (спеціалізованої) медичної допомоги "Цукровий діабет 2 типу"</w:t>
        </w:r>
      </w:hyperlink>
    </w:p>
    <w:p w:rsidR="001E75D6" w:rsidRPr="00F22126" w:rsidRDefault="001E75D6" w:rsidP="001E75D6">
      <w:pPr>
        <w:pStyle w:val="3"/>
        <w:shd w:val="clear" w:color="auto" w:fill="auto"/>
        <w:spacing w:line="480" w:lineRule="auto"/>
        <w:ind w:firstLine="0"/>
        <w:jc w:val="both"/>
        <w:rPr>
          <w:b/>
          <w:sz w:val="28"/>
          <w:szCs w:val="28"/>
        </w:rPr>
      </w:pPr>
      <w:r w:rsidRPr="00F22126">
        <w:rPr>
          <w:b/>
          <w:sz w:val="28"/>
          <w:szCs w:val="28"/>
        </w:rPr>
        <w:t>Розробники: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Єрьоменко</w:t>
      </w:r>
      <w:proofErr w:type="spellEnd"/>
      <w:r>
        <w:rPr>
          <w:sz w:val="28"/>
          <w:szCs w:val="28"/>
        </w:rPr>
        <w:t xml:space="preserve"> Н.В.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Зав. відділенням діабетології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Солов’юк</w:t>
      </w:r>
      <w:proofErr w:type="spellEnd"/>
      <w:r>
        <w:rPr>
          <w:sz w:val="28"/>
          <w:szCs w:val="28"/>
        </w:rPr>
        <w:t xml:space="preserve"> О.О.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доцент кафедри внутрішніх </w:t>
      </w:r>
      <w:proofErr w:type="spellStart"/>
      <w:r>
        <w:rPr>
          <w:sz w:val="28"/>
          <w:szCs w:val="28"/>
        </w:rPr>
        <w:t>хвороб</w:t>
      </w:r>
      <w:proofErr w:type="spellEnd"/>
      <w:r>
        <w:rPr>
          <w:sz w:val="28"/>
          <w:szCs w:val="28"/>
        </w:rPr>
        <w:t xml:space="preserve"> 1 ЗДМУ, </w:t>
      </w:r>
      <w:proofErr w:type="spellStart"/>
      <w:r>
        <w:rPr>
          <w:sz w:val="28"/>
          <w:szCs w:val="28"/>
        </w:rPr>
        <w:t>к.мед.н</w:t>
      </w:r>
      <w:proofErr w:type="spellEnd"/>
      <w:r>
        <w:rPr>
          <w:sz w:val="28"/>
          <w:szCs w:val="28"/>
        </w:rPr>
        <w:t>.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r>
        <w:rPr>
          <w:sz w:val="28"/>
          <w:szCs w:val="28"/>
        </w:rPr>
        <w:t>Карпенко І.В.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заступник головного лікаря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Севумян</w:t>
      </w:r>
      <w:proofErr w:type="spellEnd"/>
      <w:r>
        <w:rPr>
          <w:sz w:val="28"/>
          <w:szCs w:val="28"/>
        </w:rPr>
        <w:t xml:space="preserve"> К.Ю.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лікар-ендокринолог</w:t>
      </w:r>
    </w:p>
    <w:p w:rsidR="001E75D6" w:rsidRDefault="001E75D6" w:rsidP="001E75D6">
      <w:pPr>
        <w:pStyle w:val="3"/>
        <w:shd w:val="clear" w:color="auto" w:fill="auto"/>
        <w:spacing w:line="480" w:lineRule="auto"/>
        <w:ind w:left="2127" w:firstLine="0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AE52A2" w:rsidRPr="008F268D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</w:pPr>
      <w:r w:rsidRPr="00946507">
        <w:rPr>
          <w:rFonts w:ascii="Times New Roman" w:hAnsi="Times New Roman"/>
          <w:b/>
          <w:sz w:val="20"/>
          <w:szCs w:val="20"/>
          <w:shd w:val="clear" w:color="auto" w:fill="FFFFFF"/>
        </w:rPr>
        <w:t xml:space="preserve">Діагноз: </w:t>
      </w:r>
      <w:r>
        <w:rPr>
          <w:rFonts w:ascii="Times New Roman" w:hAnsi="Times New Roman"/>
          <w:b/>
          <w:sz w:val="20"/>
          <w:szCs w:val="20"/>
          <w:shd w:val="clear" w:color="auto" w:fill="FFFFFF"/>
        </w:rPr>
        <w:t xml:space="preserve">Цукровий діабет тип </w:t>
      </w:r>
      <w:r w:rsidR="006F117E"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  <w:t>2</w:t>
      </w:r>
      <w:r w:rsidRPr="008F268D">
        <w:rPr>
          <w:rFonts w:ascii="Times New Roman" w:hAnsi="Times New Roman"/>
          <w:b/>
          <w:sz w:val="20"/>
          <w:szCs w:val="20"/>
          <w:shd w:val="clear" w:color="auto" w:fill="FFFFFF"/>
          <w:lang w:val="ru-RU"/>
        </w:rPr>
        <w:t xml:space="preserve">                                                              </w:t>
      </w:r>
    </w:p>
    <w:p w:rsidR="00AE52A2" w:rsidRPr="006F117E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780A8A">
        <w:rPr>
          <w:rFonts w:ascii="Times New Roman" w:hAnsi="Times New Roman"/>
          <w:b/>
          <w:sz w:val="20"/>
          <w:szCs w:val="20"/>
          <w:highlight w:val="red"/>
        </w:rPr>
        <w:t>Код МКХ-10:  Е1</w:t>
      </w:r>
      <w:r w:rsidR="006F117E" w:rsidRPr="00780A8A">
        <w:rPr>
          <w:rFonts w:ascii="Times New Roman" w:hAnsi="Times New Roman"/>
          <w:b/>
          <w:sz w:val="20"/>
          <w:szCs w:val="20"/>
          <w:highlight w:val="red"/>
          <w:lang w:val="ru-RU"/>
        </w:rPr>
        <w:t>1</w:t>
      </w:r>
    </w:p>
    <w:p w:rsidR="00AE52A2" w:rsidRPr="00946507" w:rsidRDefault="00AE52A2" w:rsidP="00946507">
      <w:pPr>
        <w:suppressAutoHyphens/>
        <w:spacing w:after="0" w:line="240" w:lineRule="auto"/>
        <w:rPr>
          <w:rFonts w:ascii="Times New Roman" w:hAnsi="Times New Roman"/>
          <w:b/>
          <w:sz w:val="20"/>
          <w:szCs w:val="20"/>
          <w:lang w:val="ru-RU"/>
        </w:rPr>
      </w:pPr>
    </w:p>
    <w:p w:rsidR="00AE52A2" w:rsidRPr="00946507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z w:val="20"/>
          <w:szCs w:val="20"/>
          <w:shd w:val="clear" w:color="auto" w:fill="FFFFFF"/>
        </w:rPr>
      </w:pPr>
      <w:r w:rsidRPr="008F268D">
        <w:rPr>
          <w:rFonts w:ascii="Times New Roman" w:hAnsi="Times New Roman"/>
          <w:b/>
          <w:spacing w:val="-10"/>
          <w:sz w:val="20"/>
          <w:szCs w:val="20"/>
          <w:shd w:val="clear" w:color="auto" w:fill="FFFFFF"/>
          <w:lang w:val="ru-RU"/>
        </w:rPr>
        <w:t xml:space="preserve">                                              </w:t>
      </w:r>
      <w:r w:rsidRPr="00946507">
        <w:rPr>
          <w:rFonts w:ascii="Times New Roman" w:hAnsi="Times New Roman"/>
          <w:b/>
          <w:spacing w:val="-10"/>
          <w:sz w:val="20"/>
          <w:szCs w:val="20"/>
          <w:shd w:val="clear" w:color="auto" w:fill="FFFFFF"/>
        </w:rPr>
        <w:t>ЛОКАЛЬНИЙ КЛІНІЧНИЙ ПРОТОКОЛ  МЕДИЧНОЇ ДОПОМОГИ</w:t>
      </w:r>
    </w:p>
    <w:p w:rsidR="00AE52A2" w:rsidRPr="006F117E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  <w:lang w:val="ru-RU"/>
        </w:rPr>
      </w:pPr>
      <w:r w:rsidRPr="00946507"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</w:rPr>
        <w:t xml:space="preserve">Діагноз:  </w:t>
      </w:r>
      <w:r w:rsidR="00780A8A" w:rsidRPr="00A6179D">
        <w:rPr>
          <w:b/>
          <w:sz w:val="28"/>
          <w:szCs w:val="28"/>
        </w:rPr>
        <w:t>ГЕСТАЦІЙНИ</w:t>
      </w:r>
      <w:r w:rsidR="00780A8A">
        <w:rPr>
          <w:b/>
          <w:sz w:val="28"/>
          <w:szCs w:val="28"/>
          <w:lang w:val="ru-RU"/>
        </w:rPr>
        <w:t>й</w:t>
      </w:r>
      <w:r w:rsidR="00780A8A" w:rsidRPr="00A6179D">
        <w:rPr>
          <w:b/>
          <w:sz w:val="28"/>
          <w:szCs w:val="28"/>
        </w:rPr>
        <w:t xml:space="preserve"> ДІАБЕТОМ </w:t>
      </w:r>
    </w:p>
    <w:p w:rsidR="00AE52A2" w:rsidRPr="00946507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b/>
          <w:caps/>
          <w:spacing w:val="-10"/>
          <w:sz w:val="20"/>
          <w:szCs w:val="20"/>
          <w:shd w:val="clear" w:color="auto" w:fill="FFFFFF"/>
          <w:lang w:val="ru-RU"/>
        </w:rPr>
      </w:pPr>
    </w:p>
    <w:p w:rsidR="00AE52A2" w:rsidRPr="004F1CC2" w:rsidRDefault="00AE52A2" w:rsidP="00946507">
      <w:pPr>
        <w:suppressAutoHyphens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tbl>
      <w:tblPr>
        <w:tblW w:w="1488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4678"/>
        <w:gridCol w:w="993"/>
        <w:gridCol w:w="1842"/>
        <w:gridCol w:w="567"/>
        <w:gridCol w:w="1701"/>
        <w:gridCol w:w="1418"/>
        <w:gridCol w:w="1417"/>
      </w:tblGrid>
      <w:tr w:rsidR="00780A8A" w:rsidRPr="002336F6" w:rsidTr="002F1F6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2336F6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Положення локального протоколу медичної допомоги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Необхідні дії відповідно до стандарту (уніфікованого клінічного протоколу)</w:t>
            </w:r>
          </w:p>
          <w:p w:rsidR="00780A8A" w:rsidRPr="00946507" w:rsidRDefault="00780A8A" w:rsidP="002F1F62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780A8A" w:rsidRPr="002336F6" w:rsidRDefault="00780A8A" w:rsidP="002F1F62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2336F6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Строки виконання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2336F6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Виконавці (ЗОЗ, структурний підрозділ закладу, посада, ПІБ, телефон)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2336F6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b/>
                <w:sz w:val="20"/>
                <w:szCs w:val="20"/>
              </w:rPr>
              <w:t>Індикатори якості медичної допомоги</w:t>
            </w:r>
          </w:p>
        </w:tc>
      </w:tr>
      <w:tr w:rsidR="00780A8A" w:rsidRPr="002336F6" w:rsidTr="002F1F6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1.Організаційні вимоги по веденню пацієнта (згідно УКПМД)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1) своєчасна діагностика</w:t>
            </w:r>
          </w:p>
          <w:p w:rsidR="00780A8A" w:rsidRPr="00946507" w:rsidRDefault="00780A8A" w:rsidP="002F1F6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 xml:space="preserve">2) Надання медичної допомоги згідно УКПМД </w:t>
            </w:r>
          </w:p>
          <w:p w:rsidR="00780A8A" w:rsidRPr="00946507" w:rsidRDefault="00780A8A" w:rsidP="002F1F6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1д</w:t>
            </w:r>
            <w:r>
              <w:rPr>
                <w:rFonts w:ascii="Times New Roman" w:hAnsi="Times New Roman"/>
                <w:sz w:val="20"/>
                <w:szCs w:val="20"/>
              </w:rPr>
              <w:t>ень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діаб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Єрьоменко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 Н.В.,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Лікарі ендокринологи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Севумян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К. Ю.</w:t>
            </w:r>
          </w:p>
          <w:p w:rsidR="00780A8A" w:rsidRPr="00D940EB" w:rsidRDefault="00780A8A" w:rsidP="002F1F6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Кост</w:t>
            </w:r>
            <w:proofErr w:type="gramStart"/>
            <w:r w:rsidRPr="00D940EB"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на Т.К.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769-81-72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766-35-05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енд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Фещук І.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О</w:t>
            </w:r>
            <w:r w:rsidRPr="00D940EB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Лікар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-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ендокрин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Соловьюк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 О.А.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766-36-89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КДЛ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Зав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в</w:t>
            </w:r>
            <w:proofErr w:type="gramStart"/>
            <w:r>
              <w:rPr>
                <w:rFonts w:ascii="Times New Roman" w:hAnsi="Times New Roman"/>
                <w:sz w:val="16"/>
                <w:szCs w:val="16"/>
                <w:lang w:val="ru-RU"/>
              </w:rPr>
              <w:t>i</w:t>
            </w:r>
            <w:proofErr w:type="gram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д</w:t>
            </w:r>
            <w:proofErr w:type="spellEnd"/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Москаленко С.О.</w:t>
            </w:r>
          </w:p>
          <w:p w:rsidR="00780A8A" w:rsidRPr="00FD7373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Лікарі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лаборант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и</w:t>
            </w:r>
            <w:proofErr w:type="spellEnd"/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766-35-24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1C353D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353D">
              <w:rPr>
                <w:rFonts w:ascii="Times New Roman" w:hAnsi="Times New Roman"/>
                <w:sz w:val="20"/>
                <w:szCs w:val="20"/>
              </w:rPr>
              <w:t>1.</w:t>
            </w:r>
            <w:r w:rsidRPr="001C353D">
              <w:rPr>
                <w:rFonts w:ascii="Times New Roman" w:hAnsi="Times New Roman"/>
                <w:sz w:val="20"/>
                <w:szCs w:val="20"/>
              </w:rPr>
              <w:tab/>
              <w:t>Наявність локального протоколу надання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медичної допомоги пацієнту з </w:t>
            </w:r>
            <w:r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>Цукровий діабет тип 1</w:t>
            </w:r>
          </w:p>
        </w:tc>
      </w:tr>
      <w:tr w:rsidR="00780A8A" w:rsidRPr="002336F6" w:rsidTr="002F1F62">
        <w:trPr>
          <w:cantSplit/>
          <w:trHeight w:val="1384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2. Діагностика</w:t>
            </w:r>
          </w:p>
        </w:tc>
        <w:tc>
          <w:tcPr>
            <w:tcW w:w="46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7345" w:rsidRPr="00DE0F2D" w:rsidRDefault="005C7345" w:rsidP="005C7345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. Обстежити вагітну жінку на ГЦД на 24-28 тижні вагітності.</w:t>
            </w:r>
          </w:p>
          <w:p w:rsidR="005C7345" w:rsidRPr="00DE0F2D" w:rsidRDefault="005C7345" w:rsidP="005C7345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2. Якщо є високий ризик ГЦД на основі декількох клінічних факторів, запропонувати скринінг на будь-якій стадії вагітності. Якщо початковий скринінг проводиться до 24-го тижня вагітності і негативний, рекомендується повторний скринінг між 24-м і 28-м тижнями вагітності. До факторів ризику відносяться попередній діагноз ГЦД,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предіабет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, приналежність до популяції з високим ступенем ризику (аборигени, іспанці, південні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азійці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,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азійці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, африканці), Вік≥ 35 років, ІМТ ≥ 30 кг/м2, СПКЯ,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акантокератодермія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, застосування кортикостероїдів, історія крупного немовляти, поточна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макросомія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або багатоводдя.</w:t>
            </w:r>
          </w:p>
          <w:p w:rsidR="005C7345" w:rsidRPr="00DE0F2D" w:rsidRDefault="005C7345" w:rsidP="005C7345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3. Кращий підхід до скринінгу та діагностики ГЦД наступний:</w:t>
            </w:r>
          </w:p>
          <w:p w:rsidR="005C7345" w:rsidRPr="00DE0F2D" w:rsidRDefault="005C7345" w:rsidP="005C7345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а). Скринінг ГЦД повинен проводитися з використанням тесту з навантаженням глюкози 50 г не натще з рівнем глюкози в плазмі через 1 годину.</w:t>
            </w:r>
          </w:p>
          <w:p w:rsidR="005C7345" w:rsidRPr="00DE0F2D" w:rsidRDefault="005C7345" w:rsidP="005C7345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Рівень глюкози в плазмі ≥ 7,8 ммоль/л через 1 год. буде вважатися позитивним результатом скринінгу і буде показаний тест з навантаженням 75 г глюкози. Рівень </w:t>
            </w: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lastRenderedPageBreak/>
              <w:t xml:space="preserve">глюкози в плазмі ≥ 11,1 ммоль/л може вважатися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діагностованим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гестаційним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діабетом і не вимагає тесту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глюкозотолерантності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75 г для підтвердження.</w:t>
            </w:r>
          </w:p>
          <w:p w:rsidR="005C7345" w:rsidRPr="00DE0F2D" w:rsidRDefault="005C7345" w:rsidP="005C7345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б) Якщо скринінг на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глюкозотолерантність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є позитивним, тест з 75 г глюкози потрібно виконати як діагностичний тест на ГЦД з використанням одного або більше з наступних значень: натще ≥ 5,3 ммоль/л та/або 1 год ≥ 10,6 ммоль/л та/або 2 год ≥ 9,0 ммоль/л. </w:t>
            </w:r>
          </w:p>
          <w:p w:rsidR="005C7345" w:rsidRPr="00DE0F2D" w:rsidRDefault="005C7345" w:rsidP="005C7345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4. Альтернативний підхід може бути використаний для скринінгу та діагностики за 1 етап:</w:t>
            </w:r>
          </w:p>
          <w:p w:rsidR="00780A8A" w:rsidRPr="001446B6" w:rsidRDefault="005C7345" w:rsidP="005C7345">
            <w:pPr>
              <w:pStyle w:val="a9"/>
              <w:spacing w:before="0" w:after="0"/>
              <w:ind w:firstLine="0"/>
              <w:rPr>
                <w:sz w:val="18"/>
                <w:szCs w:val="18"/>
              </w:rPr>
            </w:pPr>
            <w:r w:rsidRPr="00DE0F2D">
              <w:rPr>
                <w:sz w:val="18"/>
                <w:szCs w:val="18"/>
                <w:highlight w:val="green"/>
              </w:rPr>
              <w:t xml:space="preserve">Тест на </w:t>
            </w:r>
            <w:proofErr w:type="spellStart"/>
            <w:r w:rsidRPr="00DE0F2D">
              <w:rPr>
                <w:sz w:val="18"/>
                <w:szCs w:val="18"/>
                <w:highlight w:val="green"/>
              </w:rPr>
              <w:t>глюкозотолерантність</w:t>
            </w:r>
            <w:proofErr w:type="spellEnd"/>
            <w:r w:rsidRPr="00DE0F2D">
              <w:rPr>
                <w:sz w:val="18"/>
                <w:szCs w:val="18"/>
                <w:highlight w:val="green"/>
              </w:rPr>
              <w:t xml:space="preserve"> 75 г необхідно виконати (без попереднього скринінгу 50 г) як діагностичного тесту на ГЦД з використанням наступних критеріїв: ≥ 1 з наступних значень: натще ≥5,1 ммоль/л та/або 1 год. ≥ 10,0 ммоль/л та/або 2 год. ≥ 8,5 ммоль/л.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день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діаб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. від. Зав.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діаб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. від.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Єрьоменко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 Н.В.,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 xml:space="preserve">Лікарі ендокринологи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Севумян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 К. Ю.</w:t>
            </w:r>
          </w:p>
          <w:p w:rsidR="00780A8A" w:rsidRPr="00D940EB" w:rsidRDefault="00780A8A" w:rsidP="002F1F6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proofErr w:type="spellStart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Кост</w:t>
            </w:r>
            <w:proofErr w:type="gramStart"/>
            <w:r w:rsidRPr="00D940EB">
              <w:rPr>
                <w:rFonts w:ascii="Times New Roman" w:hAnsi="Times New Roman"/>
                <w:sz w:val="17"/>
                <w:szCs w:val="17"/>
                <w:lang w:val="en-US"/>
              </w:rPr>
              <w:t>i</w:t>
            </w:r>
            <w:proofErr w:type="spellEnd"/>
            <w:proofErr w:type="gramEnd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на Т.К.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769-81-72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766-35-05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енд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. від. 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>Фещук І.</w:t>
            </w: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О</w:t>
            </w:r>
            <w:r w:rsidRPr="00D940EB">
              <w:rPr>
                <w:rFonts w:ascii="Times New Roman" w:hAnsi="Times New Roman"/>
                <w:sz w:val="17"/>
                <w:szCs w:val="17"/>
              </w:rPr>
              <w:t>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>Лікар</w:t>
            </w: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-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ендокрин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proofErr w:type="spellStart"/>
            <w:r w:rsidRPr="00D940EB">
              <w:rPr>
                <w:rFonts w:ascii="Times New Roman" w:hAnsi="Times New Roman"/>
                <w:sz w:val="17"/>
                <w:szCs w:val="17"/>
              </w:rPr>
              <w:t>Соловьюк</w:t>
            </w:r>
            <w:proofErr w:type="spellEnd"/>
            <w:r w:rsidRPr="00D940EB">
              <w:rPr>
                <w:rFonts w:ascii="Times New Roman" w:hAnsi="Times New Roman"/>
                <w:sz w:val="17"/>
                <w:szCs w:val="17"/>
              </w:rPr>
              <w:t xml:space="preserve"> О.А.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766-36-89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КДЛ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Зав в</w:t>
            </w:r>
            <w:proofErr w:type="spellStart"/>
            <w:proofErr w:type="gramStart"/>
            <w:r w:rsidRPr="00D940EB">
              <w:rPr>
                <w:rFonts w:ascii="Times New Roman" w:hAnsi="Times New Roman"/>
                <w:sz w:val="17"/>
                <w:szCs w:val="17"/>
                <w:lang w:val="en-US"/>
              </w:rPr>
              <w:t>i</w:t>
            </w:r>
            <w:proofErr w:type="spellEnd"/>
            <w:proofErr w:type="gramEnd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д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Москаленко С.О.</w:t>
            </w:r>
          </w:p>
          <w:p w:rsidR="00780A8A" w:rsidRPr="00FD7373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  <w:lang w:val="ru-RU"/>
              </w:rPr>
            </w:pPr>
            <w:r w:rsidRPr="00D940EB">
              <w:rPr>
                <w:rFonts w:ascii="Times New Roman" w:hAnsi="Times New Roman"/>
                <w:sz w:val="17"/>
                <w:szCs w:val="17"/>
              </w:rPr>
              <w:t>Лікарі</w:t>
            </w: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 xml:space="preserve">, </w:t>
            </w:r>
            <w:proofErr w:type="spellStart"/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лаборант</w:t>
            </w:r>
            <w:r>
              <w:rPr>
                <w:rFonts w:ascii="Times New Roman" w:hAnsi="Times New Roman"/>
                <w:sz w:val="17"/>
                <w:szCs w:val="17"/>
                <w:lang w:val="ru-RU"/>
              </w:rPr>
              <w:t>и</w:t>
            </w:r>
            <w:proofErr w:type="spellEnd"/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940EB">
              <w:rPr>
                <w:rFonts w:ascii="Times New Roman" w:hAnsi="Times New Roman"/>
                <w:sz w:val="17"/>
                <w:szCs w:val="17"/>
                <w:lang w:val="ru-RU"/>
              </w:rPr>
              <w:t>766-35-24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  <w:textDirection w:val="btLr"/>
          </w:tcPr>
          <w:p w:rsidR="00780A8A" w:rsidRPr="00806167" w:rsidRDefault="00780A8A" w:rsidP="002F1F62">
            <w:pPr>
              <w:pStyle w:val="a"/>
              <w:numPr>
                <w:ilvl w:val="0"/>
                <w:numId w:val="0"/>
              </w:numPr>
              <w:ind w:left="113" w:right="113"/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</w:tcPr>
          <w:p w:rsidR="00780A8A" w:rsidRPr="00806167" w:rsidRDefault="00780A8A" w:rsidP="002F1F62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  <w:r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  <w:t>Див додаток 2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</w:tcBorders>
            <w:shd w:val="clear" w:color="000000" w:fill="FFFFFF"/>
            <w:textDirection w:val="btLr"/>
          </w:tcPr>
          <w:p w:rsidR="00780A8A" w:rsidRPr="00806167" w:rsidRDefault="00780A8A" w:rsidP="002F1F62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FFF"/>
          </w:tcPr>
          <w:p w:rsidR="00780A8A" w:rsidRPr="00806167" w:rsidRDefault="00780A8A" w:rsidP="002F1F62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4"/>
                <w:szCs w:val="16"/>
                <w:lang w:val="uk-UA"/>
              </w:rPr>
            </w:pPr>
          </w:p>
        </w:tc>
      </w:tr>
      <w:tr w:rsidR="00780A8A" w:rsidRPr="002336F6" w:rsidTr="002F1F62">
        <w:trPr>
          <w:trHeight w:val="353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1446B6" w:rsidRDefault="00780A8A" w:rsidP="002F1F62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D940EB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86" w:type="dxa"/>
            <w:gridSpan w:val="3"/>
            <w:tcBorders>
              <w:lef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1446B6" w:rsidRDefault="00780A8A" w:rsidP="002F1F62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000000"/>
            </w:tcBorders>
            <w:shd w:val="clear" w:color="000000" w:fill="FFFFFF"/>
          </w:tcPr>
          <w:p w:rsidR="00780A8A" w:rsidRPr="001446B6" w:rsidRDefault="00780A8A" w:rsidP="002F1F62">
            <w:pPr>
              <w:pStyle w:val="a"/>
              <w:numPr>
                <w:ilvl w:val="0"/>
                <w:numId w:val="0"/>
              </w:numPr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780A8A" w:rsidRPr="002336F6" w:rsidTr="002F1F62">
        <w:trPr>
          <w:trHeight w:val="1277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1446B6" w:rsidRDefault="00780A8A" w:rsidP="002F1F62">
            <w:pPr>
              <w:spacing w:after="0" w:line="16" w:lineRule="atLeas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D940EB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1446B6" w:rsidRDefault="00780A8A" w:rsidP="002F1F62">
            <w:pPr>
              <w:pStyle w:val="a"/>
              <w:numPr>
                <w:ilvl w:val="0"/>
                <w:numId w:val="0"/>
              </w:numPr>
              <w:ind w:left="-340"/>
              <w:jc w:val="center"/>
              <w:rPr>
                <w:rStyle w:val="aa"/>
                <w:rFonts w:ascii="Times New Roman" w:hAnsi="Times New Roman"/>
                <w:sz w:val="18"/>
                <w:szCs w:val="18"/>
                <w:lang w:val="uk-UA"/>
              </w:rPr>
            </w:pPr>
          </w:p>
        </w:tc>
      </w:tr>
      <w:tr w:rsidR="00780A8A" w:rsidRPr="002336F6" w:rsidTr="002F1F6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3.Лікування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b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b/>
                <w:sz w:val="18"/>
                <w:szCs w:val="18"/>
                <w:highlight w:val="green"/>
              </w:rPr>
              <w:t>Ведення під час вагітності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1. Жінки з ГЦД повинні: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а) Виконати самоконтроль рівня ГК як натще, так і після прийому їжі для досягнення цільових рівнів глюкози і поліпшення результатів вагітності.</w:t>
            </w:r>
          </w:p>
          <w:p w:rsidR="00495D44" w:rsidRPr="00DE0F2D" w:rsidRDefault="0084386B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  <w:lang w:val="ru-RU"/>
              </w:rPr>
              <w:t>б</w:t>
            </w:r>
            <w:r w:rsidR="00495D44"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) Уникати </w:t>
            </w:r>
            <w:proofErr w:type="spellStart"/>
            <w:r w:rsidR="00495D44"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кетозу</w:t>
            </w:r>
            <w:proofErr w:type="spellEnd"/>
            <w:r w:rsidR="00495D44"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</w:t>
            </w:r>
            <w:proofErr w:type="gramStart"/>
            <w:r w:rsidR="00495D44"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п</w:t>
            </w:r>
            <w:proofErr w:type="gramEnd"/>
            <w:r w:rsidR="00495D44"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ід час вагітності.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2. Отримати консультації з питань харчування у дієтолога під час вагітності. Рекомендації зі збільшення ваги під час вагітності повинні засновуватися на ІМТ до вагітності.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3. Якщо жінки з ГЦД не досягають цільових рівнів глюкози впродовж 2-х тижнів тільки з лікувальним харчуванням, призначити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інсулінотерапію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.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4. Використовувати схему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інсулінотерапії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з декількома ін'єкціями.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5. Швидкодіючий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болюсний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аналог інсуліну та звичайний інсулін після прийому їжі забезпечують аналогічні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перинатальні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наслідки.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6. У жінок, які не приймають або відмовляються від інсуліну, в якості альтернативних засобів для контролю глікемії можуть застосовуватися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глібурин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або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метформін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. Використання пероральних препаратів під час вагітності є не за прямим призначенням і повинно обговорюватися з пацієнтами.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b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b/>
                <w:sz w:val="18"/>
                <w:szCs w:val="18"/>
                <w:highlight w:val="green"/>
              </w:rPr>
              <w:t xml:space="preserve">Ведення ГК при пологах 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Жінка повинна отримувати адекватну глюкозу під час пологів з метою задоволення їх потреби у енергії.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b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</w:t>
            </w:r>
            <w:r w:rsidRPr="00DE0F2D">
              <w:rPr>
                <w:rFonts w:ascii="Times New Roman" w:hAnsi="Times New Roman"/>
                <w:b/>
                <w:sz w:val="18"/>
                <w:szCs w:val="18"/>
                <w:highlight w:val="green"/>
              </w:rPr>
              <w:t>Післяпологовий період</w:t>
            </w:r>
          </w:p>
          <w:p w:rsidR="00495D44" w:rsidRPr="00DE0F2D" w:rsidRDefault="00495D44" w:rsidP="00495D44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  <w:highlight w:val="green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1. Жінку заохочувати до грудного вигодовування відразу після пологів, щоб уникнути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неонатальної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гіпоглікемії і продовжувати принаймні 3 місяці після пологів з метою запобігання дитячого ожиріння і знизити ризик материнської гіперглікемії.</w:t>
            </w:r>
          </w:p>
          <w:p w:rsidR="00780A8A" w:rsidRPr="001446B6" w:rsidRDefault="00495D44" w:rsidP="0084386B">
            <w:pPr>
              <w:spacing w:after="0" w:line="16" w:lineRule="atLeast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2. </w:t>
            </w:r>
            <w:r w:rsidR="0084386B"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Призначити ТТПГ з 75 г між 6-м тижнем і 6-м місяцем після пологів, щоб виявити </w:t>
            </w:r>
            <w:proofErr w:type="spellStart"/>
            <w:r w:rsidR="0084386B"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предіабет</w:t>
            </w:r>
            <w:proofErr w:type="spellEnd"/>
            <w:r w:rsidR="0084386B"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і діабет.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46507">
              <w:rPr>
                <w:rFonts w:ascii="Times New Roman" w:hAnsi="Times New Roman"/>
                <w:sz w:val="20"/>
                <w:szCs w:val="20"/>
              </w:rPr>
              <w:t>10-12 днів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діаб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Єрьоменко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 Н.В.,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Лікарі ендокринологи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Севумян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К. Ю.</w:t>
            </w:r>
          </w:p>
          <w:p w:rsidR="00780A8A" w:rsidRPr="00D940EB" w:rsidRDefault="00780A8A" w:rsidP="002F1F62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proofErr w:type="spellStart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Кост</w:t>
            </w:r>
            <w:proofErr w:type="gramStart"/>
            <w:r w:rsidRPr="00D940EB">
              <w:rPr>
                <w:rFonts w:ascii="Times New Roman" w:hAnsi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на Т.К.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769-81-72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766-35-05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 xml:space="preserve">зав. 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енд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. від. 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Фещук І.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О</w:t>
            </w:r>
            <w:r w:rsidRPr="00D940EB">
              <w:rPr>
                <w:rFonts w:ascii="Times New Roman" w:hAnsi="Times New Roman"/>
                <w:sz w:val="16"/>
                <w:szCs w:val="16"/>
              </w:rPr>
              <w:t>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</w:rPr>
              <w:t>Лікар</w:t>
            </w: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-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ендокрин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proofErr w:type="spellStart"/>
            <w:r w:rsidRPr="00D940EB">
              <w:rPr>
                <w:rFonts w:ascii="Times New Roman" w:hAnsi="Times New Roman"/>
                <w:sz w:val="16"/>
                <w:szCs w:val="16"/>
              </w:rPr>
              <w:t>Соловьюк</w:t>
            </w:r>
            <w:proofErr w:type="spellEnd"/>
            <w:r w:rsidRPr="00D940EB">
              <w:rPr>
                <w:rFonts w:ascii="Times New Roman" w:hAnsi="Times New Roman"/>
                <w:sz w:val="16"/>
                <w:szCs w:val="16"/>
              </w:rPr>
              <w:t xml:space="preserve"> О.А.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D940EB">
              <w:rPr>
                <w:rFonts w:ascii="Times New Roman" w:hAnsi="Times New Roman"/>
                <w:sz w:val="16"/>
                <w:szCs w:val="16"/>
                <w:lang w:val="ru-RU"/>
              </w:rPr>
              <w:t>766-36-89</w:t>
            </w:r>
          </w:p>
          <w:p w:rsidR="00780A8A" w:rsidRPr="00D940EB" w:rsidRDefault="00780A8A" w:rsidP="002F1F62">
            <w:pPr>
              <w:spacing w:after="0" w:line="16" w:lineRule="atLeast"/>
              <w:ind w:left="-6" w:right="-6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386B" w:rsidRPr="0084386B" w:rsidRDefault="0084386B" w:rsidP="002F1F62">
            <w:pPr>
              <w:pStyle w:val="a9"/>
              <w:ind w:firstLine="540"/>
              <w:rPr>
                <w:sz w:val="18"/>
                <w:szCs w:val="18"/>
              </w:rPr>
            </w:pPr>
            <w:r w:rsidRPr="00DE0F2D">
              <w:rPr>
                <w:sz w:val="18"/>
                <w:szCs w:val="18"/>
                <w:highlight w:val="green"/>
              </w:rPr>
              <w:t>Прагнути до цільових значень рівня ГК (Глюкоза в плазмі &lt; 5,3 ммоль/л, 1 год після прийому їжі &lt; 7,8 ммоль/л, 2 год після прийому їжі &lt; 6,7 ммоль/л)</w:t>
            </w:r>
          </w:p>
          <w:p w:rsidR="00780A8A" w:rsidRDefault="00780A8A" w:rsidP="002F1F62">
            <w:pPr>
              <w:pStyle w:val="a9"/>
              <w:ind w:firstLine="540"/>
              <w:rPr>
                <w:sz w:val="18"/>
                <w:szCs w:val="18"/>
                <w:lang w:val="ru-RU"/>
              </w:rPr>
            </w:pPr>
            <w:r w:rsidRPr="00D11186">
              <w:rPr>
                <w:sz w:val="18"/>
                <w:szCs w:val="18"/>
              </w:rPr>
              <w:t xml:space="preserve">    </w:t>
            </w:r>
            <w:r w:rsidRPr="00D11186">
              <w:rPr>
                <w:b/>
                <w:sz w:val="18"/>
                <w:szCs w:val="18"/>
              </w:rPr>
              <w:t>Форма № 027/о</w:t>
            </w:r>
            <w:r w:rsidRPr="00D11186">
              <w:rPr>
                <w:sz w:val="18"/>
                <w:szCs w:val="18"/>
              </w:rPr>
              <w:t xml:space="preserve"> – Виписка із медичної карти амбулаторного (стаціонарного) хворого (Форма № 027/о), затверджена наказом Міністерства охорони здоров’я України від 14 лютого 2012 року № 110 «Про затвердження форм первинної облікової документації та інструкцій щодо їх заповнення, що використовуються у закладах охорони здоров’я незалежно від форми власності та підпорядкування», зареєстрованого в Міністерстві юстиції України 28 квітня 2012 р. за № 669/20982.</w:t>
            </w:r>
          </w:p>
          <w:p w:rsidR="0084386B" w:rsidRPr="0084386B" w:rsidRDefault="0084386B" w:rsidP="002F1F62">
            <w:pPr>
              <w:pStyle w:val="a9"/>
              <w:ind w:firstLine="540"/>
              <w:rPr>
                <w:sz w:val="18"/>
                <w:szCs w:val="18"/>
                <w:lang w:val="ru-RU"/>
              </w:rPr>
            </w:pPr>
          </w:p>
          <w:p w:rsidR="00780A8A" w:rsidRPr="00946507" w:rsidRDefault="0084386B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Жінку спостерігати під час пологів і материнський цільовий рівень глюкози в крові повинен становити від 4,0 до 7,0 ммоль/л з тим, щоб звести до мінімуму ризик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>неонатальної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green"/>
              </w:rPr>
              <w:t xml:space="preserve"> гіпоглікемії.</w:t>
            </w:r>
            <w:r w:rsidR="00780A8A" w:rsidRPr="00D11186">
              <w:rPr>
                <w:rFonts w:ascii="Times New Roman" w:hAnsi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80A8A" w:rsidRPr="002336F6" w:rsidTr="002F1F6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4.Рекомендації при виписці із стаціонару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386B" w:rsidRDefault="0084386B" w:rsidP="002F1F62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495D44">
              <w:rPr>
                <w:rFonts w:ascii="Times New Roman" w:hAnsi="Times New Roman"/>
                <w:sz w:val="18"/>
                <w:szCs w:val="18"/>
              </w:rPr>
              <w:t xml:space="preserve">Призначити ТТПГ з 75 г між 6-м тижнем і 6-м місяцем після пологів, щоб виявити </w:t>
            </w:r>
            <w:proofErr w:type="spellStart"/>
            <w:r w:rsidRPr="00495D44">
              <w:rPr>
                <w:rFonts w:ascii="Times New Roman" w:hAnsi="Times New Roman"/>
                <w:sz w:val="18"/>
                <w:szCs w:val="18"/>
              </w:rPr>
              <w:t>предіабет</w:t>
            </w:r>
            <w:proofErr w:type="spellEnd"/>
            <w:r w:rsidRPr="00495D44">
              <w:rPr>
                <w:rFonts w:ascii="Times New Roman" w:hAnsi="Times New Roman"/>
                <w:sz w:val="18"/>
                <w:szCs w:val="18"/>
              </w:rPr>
              <w:t xml:space="preserve"> і діабет.</w:t>
            </w:r>
          </w:p>
          <w:p w:rsidR="00780A8A" w:rsidRPr="0084386B" w:rsidRDefault="00780A8A" w:rsidP="002F1F62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Диспансерне спостереження</w:t>
            </w:r>
            <w:r w:rsidRPr="0084386B">
              <w:rPr>
                <w:rFonts w:ascii="Times New Roman" w:hAnsi="Times New Roman"/>
                <w:sz w:val="18"/>
                <w:szCs w:val="18"/>
              </w:rPr>
              <w:t>.</w:t>
            </w:r>
          </w:p>
          <w:p w:rsidR="00780A8A" w:rsidRPr="00D11186" w:rsidRDefault="00780A8A" w:rsidP="002F1F62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>Оцінити ступінь виконання пацієнтом раніше наданих рекомендацій та призначень, за необхідності – вносити корективи.</w:t>
            </w:r>
            <w:r w:rsidRPr="00D1118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</w:t>
            </w:r>
          </w:p>
          <w:p w:rsidR="00780A8A" w:rsidRPr="00D11186" w:rsidRDefault="00780A8A" w:rsidP="002F1F62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При недосягненні цільового рівня глікемії упевнитись, що пацієнт дотримується наданих призначень, та проконтролювати сформовані практичні навички.</w:t>
            </w:r>
            <w:r w:rsidRPr="00D1118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     </w:t>
            </w:r>
            <w:r w:rsidRPr="00D11186">
              <w:rPr>
                <w:rFonts w:ascii="Times New Roman" w:hAnsi="Times New Roman"/>
                <w:sz w:val="18"/>
                <w:szCs w:val="18"/>
              </w:rPr>
              <w:t>Проводити клінічний моніторинг рівня ГК (HbA1c) кожні 2-6 місяців, в залежності від досягнутого рівня контролю ГК, стабільності контролю рівня ГК, змінити дози інсуліну або схеми введення.</w:t>
            </w:r>
          </w:p>
          <w:p w:rsidR="00780A8A" w:rsidRPr="00FD7373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D11186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FD7373">
              <w:rPr>
                <w:rFonts w:ascii="Times New Roman" w:hAnsi="Times New Roman"/>
                <w:sz w:val="18"/>
                <w:szCs w:val="18"/>
              </w:rPr>
              <w:t>Рекомендац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FD7373">
              <w:rPr>
                <w:rFonts w:ascii="Times New Roman" w:hAnsi="Times New Roman"/>
                <w:sz w:val="18"/>
                <w:szCs w:val="18"/>
              </w:rPr>
              <w:t xml:space="preserve"> вузьких спец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r w:rsidRPr="00FD7373">
              <w:rPr>
                <w:rFonts w:ascii="Times New Roman" w:hAnsi="Times New Roman"/>
                <w:sz w:val="18"/>
                <w:szCs w:val="18"/>
              </w:rPr>
              <w:t>ал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r w:rsidRPr="00FD7373">
              <w:rPr>
                <w:rFonts w:ascii="Times New Roman" w:hAnsi="Times New Roman"/>
                <w:sz w:val="18"/>
                <w:szCs w:val="18"/>
              </w:rPr>
              <w:t>ст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i</w:t>
            </w:r>
            <w:proofErr w:type="spellEnd"/>
            <w:r w:rsidRPr="00FD7373">
              <w:rPr>
                <w:rFonts w:ascii="Times New Roman" w:hAnsi="Times New Roman"/>
                <w:sz w:val="18"/>
                <w:szCs w:val="18"/>
              </w:rPr>
              <w:t xml:space="preserve">в. </w:t>
            </w:r>
          </w:p>
          <w:p w:rsidR="00780A8A" w:rsidRPr="00D11186" w:rsidRDefault="00780A8A" w:rsidP="002F1F62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постійно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2336F6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336F6">
              <w:rPr>
                <w:rFonts w:ascii="Times New Roman" w:hAnsi="Times New Roman"/>
                <w:sz w:val="20"/>
                <w:szCs w:val="20"/>
              </w:rPr>
              <w:t>Спостереженення</w:t>
            </w:r>
            <w:proofErr w:type="spellEnd"/>
            <w:r w:rsidRPr="002336F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DE0F2D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Оптимальною метою короткотривалого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>глікемічного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 контролю натще є рівень глюкози в крові 4-8 ммоль/л та після прийому їжі менше ніж 10 ммоль/л.</w:t>
            </w:r>
          </w:p>
          <w:p w:rsidR="00780A8A" w:rsidRPr="00DE0F2D" w:rsidRDefault="00780A8A" w:rsidP="002F1F62">
            <w:pPr>
              <w:spacing w:after="0"/>
              <w:ind w:firstLine="709"/>
              <w:contextualSpacing/>
              <w:jc w:val="both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Пацієнти потребують щорічної оцінки ризику розвитку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>ангіопатії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 xml:space="preserve">. Ті, у кого встановлено підвищений ризик, повинні отримувати відповідні втручання і регулярно обстежуватися. Слід звернути увагу на </w:t>
            </w:r>
            <w:proofErr w:type="spellStart"/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>мікроальбумінурію</w:t>
            </w:r>
            <w:proofErr w:type="spellEnd"/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>, наявність ознак метаболічного синдрому, фактори умовного ризику (сімейний анамнез, порушення ліпідного профілю, підвищений артеріальний тиск, вживання тютюнових виробів).</w:t>
            </w:r>
          </w:p>
          <w:p w:rsidR="00780A8A" w:rsidRPr="000F2D00" w:rsidRDefault="00780A8A" w:rsidP="002F1F62">
            <w:pPr>
              <w:spacing w:after="0" w:line="240" w:lineRule="auto"/>
              <w:ind w:firstLine="709"/>
              <w:contextualSpacing/>
              <w:jc w:val="both"/>
              <w:rPr>
                <w:sz w:val="32"/>
                <w:szCs w:val="28"/>
              </w:rPr>
            </w:pPr>
            <w:r w:rsidRPr="00DE0F2D">
              <w:rPr>
                <w:rFonts w:ascii="Times New Roman" w:hAnsi="Times New Roman"/>
                <w:sz w:val="18"/>
                <w:szCs w:val="18"/>
                <w:highlight w:val="yellow"/>
              </w:rPr>
              <w:t>Пацієнти повинні щорічно обстежуватися з метою визначення ранніх маркерів уражень органів-мішеней, оцінювати стан очей, нирок, нервів, стоп і ураження артерій. За даними оцінки, їм необхідно запропонувати відповідні втручання і/або направлення, щоб зменшити прогресування таких хронічних ускладнень до несприятливих для здоров’я результатів, які впливають на якість життя.</w:t>
            </w:r>
          </w:p>
          <w:p w:rsidR="00780A8A" w:rsidRPr="000F2D00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80A8A" w:rsidRPr="002336F6" w:rsidTr="002F1F62">
        <w:trPr>
          <w:trHeight w:val="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DE0F2D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E0F2D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5. Реабілітація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DE0F2D" w:rsidRDefault="00780A8A" w:rsidP="002F1F62">
            <w:pPr>
              <w:spacing w:after="0" w:line="16" w:lineRule="atLeast"/>
              <w:ind w:right="-108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E0F2D">
              <w:rPr>
                <w:rFonts w:ascii="Times New Roman" w:hAnsi="Times New Roman"/>
                <w:sz w:val="20"/>
                <w:szCs w:val="20"/>
                <w:highlight w:val="yellow"/>
              </w:rPr>
              <w:t>Санаторно-курортне лікування(за відсутністю протипоказань)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DE0F2D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E0F2D">
              <w:rPr>
                <w:rFonts w:ascii="Times New Roman" w:hAnsi="Times New Roman"/>
                <w:sz w:val="20"/>
                <w:szCs w:val="20"/>
                <w:highlight w:val="yellow"/>
              </w:rPr>
              <w:t>1 раз на рік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4F1CC2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>Реаб</w:t>
            </w:r>
            <w:proofErr w:type="gramStart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i</w:t>
            </w:r>
            <w:proofErr w:type="spellEnd"/>
            <w:proofErr w:type="gramEnd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>л</w:t>
            </w:r>
            <w:proofErr w:type="spellStart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i</w:t>
            </w:r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>тац</w:t>
            </w:r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i</w:t>
            </w:r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>йне</w:t>
            </w:r>
            <w:proofErr w:type="spellEnd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 xml:space="preserve"> в</w:t>
            </w:r>
            <w:proofErr w:type="spellStart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i</w:t>
            </w:r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>дд</w:t>
            </w:r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i</w:t>
            </w:r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>лення</w:t>
            </w:r>
            <w:proofErr w:type="spellEnd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 xml:space="preserve"> санаторно-</w:t>
            </w:r>
            <w:proofErr w:type="spellStart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>курортних</w:t>
            </w:r>
            <w:proofErr w:type="spellEnd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 xml:space="preserve"> заклад</w:t>
            </w:r>
            <w:proofErr w:type="spellStart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  <w:t>i</w:t>
            </w:r>
            <w:proofErr w:type="spellEnd"/>
            <w:r w:rsidRPr="00DE0F2D">
              <w:rPr>
                <w:rFonts w:ascii="Times New Roman" w:hAnsi="Times New Roman"/>
                <w:sz w:val="20"/>
                <w:szCs w:val="20"/>
                <w:highlight w:val="yellow"/>
                <w:lang w:val="ru-RU"/>
              </w:rPr>
              <w:t>в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780A8A" w:rsidRPr="002336F6" w:rsidTr="002F1F62">
        <w:trPr>
          <w:trHeight w:val="21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6. </w:t>
            </w:r>
            <w:r>
              <w:rPr>
                <w:rFonts w:ascii="Times New Roman" w:hAnsi="Times New Roman"/>
                <w:sz w:val="20"/>
                <w:szCs w:val="20"/>
              </w:rPr>
              <w:t>Профілактика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0F2D" w:rsidRPr="00DE0F2D" w:rsidRDefault="00DE0F2D" w:rsidP="00DE0F2D">
            <w:pPr>
              <w:spacing w:after="0" w:line="16" w:lineRule="atLeast"/>
              <w:ind w:right="-108"/>
              <w:rPr>
                <w:rFonts w:ascii="Times New Roman" w:hAnsi="Times New Roman"/>
                <w:sz w:val="18"/>
                <w:szCs w:val="18"/>
              </w:rPr>
            </w:pPr>
            <w:r w:rsidRPr="00495D44">
              <w:rPr>
                <w:rFonts w:ascii="Times New Roman" w:hAnsi="Times New Roman"/>
                <w:sz w:val="18"/>
                <w:szCs w:val="18"/>
              </w:rPr>
              <w:t xml:space="preserve">Призначити ТТПГ з 75 г між 6-м тижнем і 6-м місяцем після пологів, щоб виявити </w:t>
            </w:r>
            <w:proofErr w:type="spellStart"/>
            <w:r w:rsidRPr="00495D44">
              <w:rPr>
                <w:rFonts w:ascii="Times New Roman" w:hAnsi="Times New Roman"/>
                <w:sz w:val="18"/>
                <w:szCs w:val="18"/>
              </w:rPr>
              <w:t>предіабет</w:t>
            </w:r>
            <w:proofErr w:type="spellEnd"/>
            <w:r w:rsidRPr="00495D44">
              <w:rPr>
                <w:rFonts w:ascii="Times New Roman" w:hAnsi="Times New Roman"/>
                <w:sz w:val="18"/>
                <w:szCs w:val="18"/>
              </w:rPr>
              <w:t xml:space="preserve"> і діабет.</w:t>
            </w:r>
          </w:p>
          <w:p w:rsidR="00780A8A" w:rsidRPr="002336F6" w:rsidRDefault="00780A8A" w:rsidP="002F1F62">
            <w:pPr>
              <w:spacing w:after="0" w:line="16" w:lineRule="atLeast"/>
              <w:ind w:right="-108"/>
              <w:rPr>
                <w:rFonts w:ascii="Times New Roman" w:hAnsi="Times New Roman"/>
                <w:sz w:val="20"/>
                <w:szCs w:val="20"/>
              </w:rPr>
            </w:pPr>
            <w:r w:rsidRPr="002336F6">
              <w:rPr>
                <w:rFonts w:ascii="Times New Roman" w:hAnsi="Times New Roman"/>
                <w:sz w:val="20"/>
                <w:szCs w:val="20"/>
              </w:rPr>
              <w:t>Компенсація вуглеводного обміну (</w:t>
            </w:r>
            <w:proofErr w:type="spellStart"/>
            <w:r w:rsidRPr="002336F6">
              <w:rPr>
                <w:rFonts w:ascii="Times New Roman" w:hAnsi="Times New Roman"/>
                <w:sz w:val="20"/>
                <w:szCs w:val="20"/>
              </w:rPr>
              <w:t>НЬАІс</w:t>
            </w:r>
            <w:proofErr w:type="spellEnd"/>
            <w:r w:rsidRPr="002336F6">
              <w:rPr>
                <w:rFonts w:ascii="Times New Roman" w:hAnsi="Times New Roman"/>
                <w:sz w:val="20"/>
                <w:szCs w:val="20"/>
              </w:rPr>
              <w:t>&lt;7,5%).</w:t>
            </w:r>
          </w:p>
          <w:p w:rsidR="00780A8A" w:rsidRPr="004F1CC2" w:rsidRDefault="00780A8A" w:rsidP="002F1F62">
            <w:pPr>
              <w:spacing w:after="0" w:line="16" w:lineRule="atLeast"/>
              <w:ind w:right="-108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2336F6">
              <w:rPr>
                <w:rFonts w:ascii="Times New Roman" w:hAnsi="Times New Roman"/>
                <w:sz w:val="20"/>
                <w:szCs w:val="20"/>
              </w:rPr>
              <w:t xml:space="preserve">Диспансерне спостереження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вузьких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спец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>ал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ст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зг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дно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наявност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ru-RU"/>
              </w:rPr>
              <w:t>ускладнень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946507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постійно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4F1CC2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F1CC2">
              <w:rPr>
                <w:rFonts w:ascii="Times New Roman" w:hAnsi="Times New Roman"/>
                <w:sz w:val="20"/>
                <w:szCs w:val="20"/>
              </w:rPr>
              <w:t xml:space="preserve">Лікар ендокринолог,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</w:rPr>
              <w:t>вузьк</w:t>
            </w:r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</w:rPr>
              <w:t xml:space="preserve"> спец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</w:rPr>
              <w:t>ал</w:t>
            </w:r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</w:rPr>
              <w:t>сти</w:t>
            </w:r>
            <w:proofErr w:type="spellEnd"/>
          </w:p>
          <w:p w:rsidR="00780A8A" w:rsidRPr="004F1CC2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F1CC2">
              <w:rPr>
                <w:rFonts w:ascii="Times New Roman" w:hAnsi="Times New Roman"/>
                <w:sz w:val="20"/>
                <w:szCs w:val="20"/>
              </w:rPr>
              <w:t xml:space="preserve"> при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</w:rPr>
              <w:t>необх</w:t>
            </w:r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</w:rPr>
              <w:t>дност</w:t>
            </w:r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51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A8A" w:rsidRPr="004F1CC2" w:rsidRDefault="00780A8A" w:rsidP="002F1F62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lang w:val="ru-RU"/>
              </w:rPr>
              <w:t>вое</w:t>
            </w:r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часне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виявлення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ранн</w:t>
            </w:r>
            <w:proofErr w:type="gramStart"/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прояв</w:t>
            </w:r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ускладненнь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цукрового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д</w:t>
            </w:r>
            <w:proofErr w:type="spellStart"/>
            <w:r w:rsidRPr="004F1CC2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абету</w:t>
            </w:r>
            <w:proofErr w:type="spellEnd"/>
            <w:r w:rsidRPr="004F1CC2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</w:tr>
    </w:tbl>
    <w:p w:rsidR="00D00F59" w:rsidRDefault="00AE52A2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  <w:r w:rsidRPr="004F1CC2">
        <w:rPr>
          <w:rFonts w:ascii="Times New Roman" w:eastAsia="TimesNewRomanPSMT" w:hAnsi="Times New Roman"/>
          <w:sz w:val="20"/>
          <w:szCs w:val="20"/>
          <w:lang w:eastAsia="en-US"/>
        </w:rPr>
        <w:br w:type="page"/>
      </w:r>
      <w:proofErr w:type="spellStart"/>
      <w:r w:rsidRPr="00647FDC">
        <w:rPr>
          <w:rFonts w:ascii="Times New Roman" w:eastAsia="TimesNewRomanPSMT" w:hAnsi="Times New Roman"/>
          <w:sz w:val="20"/>
          <w:szCs w:val="20"/>
          <w:lang w:val="ru-RU" w:eastAsia="en-US"/>
        </w:rPr>
        <w:lastRenderedPageBreak/>
        <w:t>Додаток</w:t>
      </w:r>
      <w:proofErr w:type="spellEnd"/>
      <w:r>
        <w:rPr>
          <w:rFonts w:ascii="Times New Roman" w:eastAsia="TimesNewRomanPSMT" w:hAnsi="Times New Roman"/>
          <w:sz w:val="20"/>
          <w:szCs w:val="20"/>
          <w:lang w:val="ru-RU" w:eastAsia="en-US"/>
        </w:rPr>
        <w:t xml:space="preserve"> 1</w:t>
      </w:r>
    </w:p>
    <w:p w:rsidR="00CA7350" w:rsidRDefault="00CA7350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D00F59" w:rsidRPr="00D00F59" w:rsidRDefault="00D00F59" w:rsidP="00D00F5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0F59">
        <w:rPr>
          <w:rFonts w:ascii="TimesNewRomanPS-BoldMT" w:hAnsi="TimesNewRomanPS-BoldMT"/>
          <w:b/>
          <w:bCs/>
          <w:color w:val="000000"/>
          <w:sz w:val="28"/>
          <w:szCs w:val="28"/>
        </w:rPr>
        <w:t>А.4.2. Результати обстеження та їх інтерпретація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55"/>
        <w:gridCol w:w="5734"/>
        <w:gridCol w:w="4819"/>
      </w:tblGrid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0" w:colLast="2"/>
            <w:r w:rsidRPr="00471843">
              <w:rPr>
                <w:rFonts w:ascii="Times New Roman" w:hAnsi="Times New Roman"/>
                <w:sz w:val="24"/>
                <w:szCs w:val="24"/>
              </w:rPr>
              <w:t xml:space="preserve">Тест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Результат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Діагноз</w:t>
            </w: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&gt;4,0 - &lt;6,1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Норма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Рівень глюкози в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плазмі венозної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крові натщесерце</w:t>
            </w: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≥6,1 ммоль/л - &lt; 7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Порушення глікемії натщесерце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471843">
              <w:rPr>
                <w:rFonts w:ascii="Times New Roman" w:hAnsi="Times New Roman"/>
                <w:sz w:val="24"/>
                <w:szCs w:val="24"/>
              </w:rPr>
              <w:t>предіабет</w:t>
            </w:r>
            <w:proofErr w:type="spellEnd"/>
            <w:r w:rsidRPr="0047184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≥7 ммоль/л.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ЦД *, який потребує підтвердження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повторним тестом в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інший день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 5,6 ммоль / л &lt;11,1 ммоль / 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Для постановки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діагнозу зробити тест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на визначення рівня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глюкози в плазмі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венозної крові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натщесерце.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Випадковий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рівень глюкози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капілярної крові.</w:t>
            </w: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≥11,1 ммоль / л + пацієнт має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класичні симптоми гіперглікемії.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ЦД*, який потребує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підтвердження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повторним тестом в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інший день.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&lt;7,8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Норма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Пероральний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глюкозо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толерантний тест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(через 2 години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після прийому 75 г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глюкози)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(в якості бажаного</w:t>
            </w:r>
            <w:r w:rsidR="0047184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тесту)</w:t>
            </w: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≥7,8 ммоль/л - &lt;11.1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Порушення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толерантності до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глюкози (</w:t>
            </w:r>
            <w:proofErr w:type="spellStart"/>
            <w:r w:rsidRPr="00471843">
              <w:rPr>
                <w:rFonts w:ascii="Times New Roman" w:hAnsi="Times New Roman"/>
                <w:sz w:val="24"/>
                <w:szCs w:val="24"/>
              </w:rPr>
              <w:t>предіабет</w:t>
            </w:r>
            <w:proofErr w:type="spellEnd"/>
            <w:r w:rsidRPr="0047184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≥11,1 ммоль/л 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ЦД*, який потребує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підтвердження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повторним тестом в</w:t>
            </w:r>
            <w:r w:rsidR="006F0F4C" w:rsidRPr="004718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інший день</w:t>
            </w:r>
          </w:p>
        </w:tc>
        <w:tc>
          <w:tcPr>
            <w:tcW w:w="4819" w:type="dxa"/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0F59" w:rsidRPr="00471843" w:rsidTr="000E56CE"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0E56C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71843">
              <w:rPr>
                <w:rFonts w:ascii="Times New Roman" w:hAnsi="Times New Roman"/>
                <w:sz w:val="24"/>
                <w:szCs w:val="24"/>
              </w:rPr>
              <w:t>Глікозильований</w:t>
            </w:r>
            <w:proofErr w:type="spellEnd"/>
            <w:r w:rsidR="000E56CE" w:rsidRPr="000E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гемоглобін HbA1c,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(в якості бажаного</w:t>
            </w:r>
            <w:r w:rsidR="000E56CE" w:rsidRPr="000E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тесту)</w:t>
            </w:r>
          </w:p>
        </w:tc>
        <w:tc>
          <w:tcPr>
            <w:tcW w:w="5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471843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 xml:space="preserve">≥6,5%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F59" w:rsidRPr="00471843" w:rsidRDefault="00D00F59" w:rsidP="000E56CE">
            <w:pPr>
              <w:rPr>
                <w:rFonts w:ascii="Times New Roman" w:hAnsi="Times New Roman"/>
                <w:sz w:val="24"/>
                <w:szCs w:val="24"/>
              </w:rPr>
            </w:pPr>
            <w:r w:rsidRPr="00471843">
              <w:rPr>
                <w:rFonts w:ascii="Times New Roman" w:hAnsi="Times New Roman"/>
                <w:sz w:val="24"/>
                <w:szCs w:val="24"/>
              </w:rPr>
              <w:t>ЦД*, який потребує</w:t>
            </w:r>
            <w:r w:rsidR="000E56CE" w:rsidRPr="000E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підтвердження</w:t>
            </w:r>
            <w:r w:rsidRPr="00471843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471843">
              <w:rPr>
                <w:rFonts w:ascii="Times New Roman" w:hAnsi="Times New Roman"/>
                <w:sz w:val="24"/>
                <w:szCs w:val="24"/>
              </w:rPr>
              <w:t>повторним тестом в</w:t>
            </w:r>
            <w:r w:rsidR="000E56CE" w:rsidRPr="000E56CE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471843">
              <w:rPr>
                <w:rFonts w:ascii="Times New Roman" w:hAnsi="Times New Roman"/>
                <w:sz w:val="24"/>
                <w:szCs w:val="24"/>
              </w:rPr>
              <w:t>інший день</w:t>
            </w:r>
          </w:p>
        </w:tc>
      </w:tr>
      <w:bookmarkEnd w:id="0"/>
    </w:tbl>
    <w:p w:rsidR="000E56CE" w:rsidRDefault="000E56CE" w:rsidP="00CA735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eastAsia="en-US"/>
        </w:rPr>
      </w:pPr>
    </w:p>
    <w:p w:rsidR="000E56CE" w:rsidRDefault="000E56CE">
      <w:pPr>
        <w:spacing w:after="0" w:line="240" w:lineRule="auto"/>
        <w:rPr>
          <w:rFonts w:ascii="Times New Roman" w:eastAsia="TimesNewRomanPSMT" w:hAnsi="Times New Roman"/>
          <w:sz w:val="20"/>
          <w:szCs w:val="20"/>
          <w:lang w:eastAsia="en-US"/>
        </w:rPr>
      </w:pPr>
      <w:r>
        <w:rPr>
          <w:rFonts w:ascii="Times New Roman" w:eastAsia="TimesNewRomanPSMT" w:hAnsi="Times New Roman"/>
          <w:sz w:val="20"/>
          <w:szCs w:val="20"/>
          <w:lang w:eastAsia="en-US"/>
        </w:rPr>
        <w:br w:type="page"/>
      </w:r>
    </w:p>
    <w:p w:rsidR="00CA7350" w:rsidRPr="00255D6E" w:rsidRDefault="00CA7350" w:rsidP="00CA735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eastAsia="en-US"/>
        </w:rPr>
      </w:pPr>
      <w:r w:rsidRPr="00255D6E">
        <w:rPr>
          <w:rFonts w:ascii="Times New Roman" w:eastAsia="TimesNewRomanPSMT" w:hAnsi="Times New Roman"/>
          <w:sz w:val="20"/>
          <w:szCs w:val="20"/>
          <w:lang w:eastAsia="en-US"/>
        </w:rPr>
        <w:lastRenderedPageBreak/>
        <w:t>Додаток 2</w:t>
      </w:r>
    </w:p>
    <w:p w:rsidR="00CA7350" w:rsidRDefault="00CA7350" w:rsidP="00647FDC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584A94" w:rsidRPr="006F0F4C" w:rsidRDefault="00584A94" w:rsidP="00584A9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0F4C">
        <w:rPr>
          <w:rFonts w:ascii="TimesNewRomanPS-BoldMT" w:hAnsi="TimesNewRomanPS-BoldMT"/>
          <w:b/>
          <w:bCs/>
          <w:color w:val="000000"/>
          <w:sz w:val="28"/>
          <w:szCs w:val="28"/>
        </w:rPr>
        <w:t>А.4.3. Алгоритми первинної профілактики та діагностики ЦД 2 типу</w:t>
      </w:r>
    </w:p>
    <w:tbl>
      <w:tblPr>
        <w:tblW w:w="15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43"/>
        <w:gridCol w:w="3261"/>
        <w:gridCol w:w="6662"/>
        <w:gridCol w:w="2268"/>
      </w:tblGrid>
      <w:tr w:rsidR="00584A94" w:rsidRPr="006F0F4C" w:rsidTr="00CD4810">
        <w:tc>
          <w:tcPr>
            <w:tcW w:w="1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Виявлення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факторів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 xml:space="preserve">(А.4.1 Фактори ризику ЦД 2 типу)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їх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оцінка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(Додаток 3 Форма оцінки ризиків ЦД 2 типу)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.</w:t>
            </w:r>
          </w:p>
        </w:tc>
      </w:tr>
      <w:tr w:rsidR="00584A94" w:rsidRPr="006F0F4C" w:rsidTr="00CD4810">
        <w:tc>
          <w:tcPr>
            <w:tcW w:w="1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jc w:val="both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Провести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оцінку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знань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обізнаності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дізнатись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відношення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уявлення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про</w:t>
            </w:r>
            <w:r w:rsidRPr="00584A94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фактори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пацієнта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будь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-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якого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надмірною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масою</w:t>
            </w:r>
            <w:r w:rsidRPr="006F0F4C">
              <w:rPr>
                <w:rFonts w:ascii="TimesNewRomanPSMT" w:eastAsia="TimesNewRomanPSMT" w:hAnsi="Times New Roman" w:hint="eastAsia"/>
                <w:color w:val="000000"/>
                <w:szCs w:val="28"/>
              </w:rPr>
              <w:br/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тіла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або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ожирінням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 xml:space="preserve">(Додаток 4 Показник індексу маси тіла)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одного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584A94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більше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додаткових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факторів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також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пацієнтів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eastAsia="TimesNewRomanPSMT" w:hAnsi="Times New Roman" w:hint="eastAsia"/>
                <w:color w:val="000000"/>
                <w:szCs w:val="28"/>
              </w:rPr>
              <w:br/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помірним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дуже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ризиком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.</w:t>
            </w:r>
          </w:p>
        </w:tc>
      </w:tr>
      <w:tr w:rsidR="00584A94" w:rsidRPr="006F0F4C" w:rsidTr="00CD4810">
        <w:tc>
          <w:tcPr>
            <w:tcW w:w="1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jc w:val="center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Провести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відповідне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тестування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(А.4.2 Результати обстеження та їх</w:t>
            </w:r>
            <w:r w:rsidRPr="00584A94">
              <w:rPr>
                <w:rFonts w:ascii="TimesNewRomanPS-ItalicMT" w:hAnsi="TimesNewRomanPS-ItalicMT"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інтерпретація)</w:t>
            </w:r>
          </w:p>
        </w:tc>
      </w:tr>
      <w:tr w:rsidR="00584A94" w:rsidRPr="006F0F4C" w:rsidTr="00CD4810"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584A94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Результати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проведених</w:t>
            </w:r>
            <w:r w:rsidRPr="00584A94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тестів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відхиляються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від</w:t>
            </w:r>
            <w:r w:rsidRPr="00584A94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норми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584A94">
            <w:pPr>
              <w:spacing w:after="0" w:line="240" w:lineRule="auto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Помірний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високий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дуже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високий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</w:t>
            </w:r>
            <w:r w:rsidRPr="00584A94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розвитку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/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або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proofErr w:type="spellStart"/>
            <w:r w:rsidRPr="006F0F4C">
              <w:rPr>
                <w:rFonts w:ascii="TimesNewRomanPSMT" w:hAnsi="Times New Roman"/>
                <w:color w:val="000000"/>
                <w:szCs w:val="28"/>
              </w:rPr>
              <w:t>предіабет</w:t>
            </w:r>
            <w:proofErr w:type="spellEnd"/>
          </w:p>
        </w:tc>
      </w:tr>
      <w:tr w:rsidR="00584A94" w:rsidRPr="006F0F4C" w:rsidTr="00CD4810">
        <w:tc>
          <w:tcPr>
            <w:tcW w:w="6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Проводити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повторні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аналізи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інтервалом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що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не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перевищує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3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роки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.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584A94">
            <w:pPr>
              <w:spacing w:after="0" w:line="240" w:lineRule="auto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Заходи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щодо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зміни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способу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життя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(Додаток</w:t>
            </w:r>
            <w:r w:rsidRPr="00CD4810">
              <w:rPr>
                <w:rFonts w:ascii="TimesNewRomanPS-ItalicMT" w:hAnsi="TimesNewRomanPS-ItalicMT"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9 Заходи корекції способу життя у пацієнтів з</w:t>
            </w:r>
            <w:r w:rsidRPr="00CD4810">
              <w:rPr>
                <w:rFonts w:ascii="TimesNewRomanPS-ItalicMT" w:hAnsi="TimesNewRomanPS-ItalicMT"/>
                <w:i/>
                <w:iCs/>
                <w:color w:val="000000"/>
                <w:szCs w:val="28"/>
                <w:lang w:val="ru-RU"/>
              </w:rPr>
              <w:t xml:space="preserve"> </w:t>
            </w:r>
            <w:proofErr w:type="spellStart"/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>предіабетом</w:t>
            </w:r>
            <w:proofErr w:type="spellEnd"/>
            <w:r w:rsidRPr="006F0F4C">
              <w:rPr>
                <w:rFonts w:ascii="TimesNewRomanPS-ItalicMT" w:hAnsi="TimesNewRomanPS-ItalicMT"/>
                <w:i/>
                <w:iCs/>
                <w:color w:val="000000"/>
                <w:szCs w:val="28"/>
              </w:rPr>
              <w:t xml:space="preserve"> та ЦД 2 типу.</w:t>
            </w:r>
          </w:p>
        </w:tc>
      </w:tr>
      <w:tr w:rsidR="00584A94" w:rsidRPr="006F0F4C" w:rsidTr="00CD4810">
        <w:tc>
          <w:tcPr>
            <w:tcW w:w="15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4A94" w:rsidRPr="006F0F4C" w:rsidRDefault="00584A94" w:rsidP="00CD4810">
            <w:pPr>
              <w:spacing w:after="0" w:line="240" w:lineRule="auto"/>
              <w:jc w:val="center"/>
              <w:rPr>
                <w:rFonts w:ascii="TimesNewRomanPSMT" w:hAnsi="Times New Roman"/>
                <w:color w:val="000000"/>
                <w:szCs w:val="28"/>
              </w:rPr>
            </w:pPr>
            <w:r w:rsidRPr="006F0F4C"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  <w:t>Проведення тестів на виявлення ЦД 2 типу щорічно:</w:t>
            </w:r>
          </w:p>
        </w:tc>
      </w:tr>
      <w:tr w:rsidR="00584A94" w:rsidRPr="006F0F4C" w:rsidTr="00CD4810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4A94" w:rsidRPr="006F0F4C" w:rsidRDefault="00584A94" w:rsidP="00EE3ABD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пацієнтів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proofErr w:type="spellStart"/>
            <w:r w:rsidRPr="006F0F4C">
              <w:rPr>
                <w:rFonts w:ascii="TimesNewRomanPSMT" w:hAnsi="Times New Roman"/>
                <w:color w:val="000000"/>
                <w:szCs w:val="28"/>
              </w:rPr>
              <w:t>предіабетом</w:t>
            </w:r>
            <w:proofErr w:type="spellEnd"/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. </w:t>
            </w:r>
          </w:p>
        </w:tc>
        <w:tc>
          <w:tcPr>
            <w:tcW w:w="9923" w:type="dxa"/>
            <w:gridSpan w:val="2"/>
            <w:vAlign w:val="center"/>
            <w:hideMark/>
          </w:tcPr>
          <w:p w:rsidR="00584A94" w:rsidRPr="006F0F4C" w:rsidRDefault="00584A94" w:rsidP="00CD481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дорослим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особам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будь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-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якого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надмірною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масою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тіла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або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ожирінням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(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ІМТ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&gt; 25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кг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/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м</w:t>
            </w:r>
            <w:r w:rsidRPr="006F0F4C">
              <w:rPr>
                <w:rFonts w:ascii="TimesNewRomanPSMT" w:hAnsi="Times New Roman"/>
                <w:color w:val="000000"/>
                <w:szCs w:val="18"/>
              </w:rPr>
              <w:t>2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)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наявністю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одного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і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більш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додаткових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чинників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також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пацієнтів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помірним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,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та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дуже</w:t>
            </w:r>
            <w:r w:rsidR="00CD4810" w:rsidRPr="00CD4810">
              <w:rPr>
                <w:rFonts w:asciiTheme="minorHAnsi" w:hAnsiTheme="minorHAnsi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високим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ризиком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ЦД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2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типу</w:t>
            </w:r>
          </w:p>
        </w:tc>
        <w:tc>
          <w:tcPr>
            <w:tcW w:w="2268" w:type="dxa"/>
            <w:vAlign w:val="center"/>
            <w:hideMark/>
          </w:tcPr>
          <w:p w:rsidR="00584A94" w:rsidRPr="006F0F4C" w:rsidRDefault="00584A94" w:rsidP="00CD4810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F0F4C">
              <w:rPr>
                <w:rFonts w:ascii="TimesNewRomanPSMT" w:hAnsi="Times New Roman"/>
                <w:color w:val="000000"/>
                <w:szCs w:val="28"/>
              </w:rPr>
              <w:t>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осіб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,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починаючи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з</w:t>
            </w:r>
            <w:r w:rsidRPr="006F0F4C">
              <w:rPr>
                <w:rFonts w:ascii="TimesNewRomanPSMT" w:eastAsia="TimesNewRomanPSMT" w:hAnsi="Times New Roman" w:hint="eastAsia"/>
                <w:color w:val="000000"/>
                <w:szCs w:val="28"/>
              </w:rPr>
              <w:br/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віку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45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років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без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чинників</w:t>
            </w:r>
            <w:r w:rsidR="00CD4810" w:rsidRPr="00CD4810">
              <w:rPr>
                <w:rFonts w:asciiTheme="minorHAnsi" w:hAnsiTheme="minorHAnsi"/>
                <w:color w:val="000000"/>
                <w:szCs w:val="28"/>
                <w:lang w:val="ru-RU"/>
              </w:rPr>
              <w:t xml:space="preserve"> </w:t>
            </w:r>
            <w:r w:rsidRPr="006F0F4C">
              <w:rPr>
                <w:rFonts w:ascii="TimesNewRomanPSMT" w:hAnsi="Times New Roman"/>
                <w:color w:val="000000"/>
                <w:szCs w:val="28"/>
              </w:rPr>
              <w:t>ризику</w:t>
            </w:r>
          </w:p>
        </w:tc>
      </w:tr>
    </w:tbl>
    <w:p w:rsidR="00AE52A2" w:rsidRPr="00FD13D8" w:rsidRDefault="00AE52A2" w:rsidP="00647FDC">
      <w:pPr>
        <w:spacing w:after="0" w:line="240" w:lineRule="auto"/>
        <w:rPr>
          <w:rFonts w:ascii="Times New Roman" w:hAnsi="Times New Roman"/>
          <w:sz w:val="20"/>
          <w:szCs w:val="20"/>
          <w:lang w:eastAsia="ru-RU"/>
        </w:rPr>
      </w:pPr>
    </w:p>
    <w:p w:rsidR="00CD4810" w:rsidRPr="00A6179D" w:rsidRDefault="00CD4810" w:rsidP="00297B7D">
      <w:pPr>
        <w:ind w:firstLine="708"/>
        <w:jc w:val="center"/>
        <w:rPr>
          <w:sz w:val="28"/>
          <w:szCs w:val="28"/>
          <w:lang w:val="ru-RU"/>
        </w:rPr>
      </w:pPr>
    </w:p>
    <w:p w:rsidR="00CD4810" w:rsidRPr="00A6179D" w:rsidRDefault="00CD4810" w:rsidP="00CD4810">
      <w:pPr>
        <w:rPr>
          <w:sz w:val="28"/>
          <w:szCs w:val="28"/>
          <w:lang w:val="ru-RU"/>
        </w:rPr>
      </w:pPr>
    </w:p>
    <w:p w:rsidR="00CD4810" w:rsidRPr="00A6179D" w:rsidRDefault="00CD4810" w:rsidP="00CD4810">
      <w:pPr>
        <w:rPr>
          <w:sz w:val="28"/>
          <w:szCs w:val="28"/>
          <w:lang w:val="ru-RU"/>
        </w:rPr>
      </w:pPr>
    </w:p>
    <w:p w:rsidR="00CD4810" w:rsidRPr="00A6179D" w:rsidRDefault="00CD4810" w:rsidP="00CD4810">
      <w:pPr>
        <w:rPr>
          <w:sz w:val="28"/>
          <w:szCs w:val="28"/>
          <w:lang w:val="ru-RU"/>
        </w:rPr>
      </w:pPr>
    </w:p>
    <w:p w:rsidR="00CD4810" w:rsidRPr="00A6179D" w:rsidRDefault="00CD4810" w:rsidP="00CD4810">
      <w:pPr>
        <w:rPr>
          <w:sz w:val="28"/>
          <w:szCs w:val="28"/>
          <w:lang w:val="ru-RU"/>
        </w:rPr>
      </w:pPr>
    </w:p>
    <w:p w:rsidR="00297B7D" w:rsidRPr="00A6179D" w:rsidRDefault="00CD4810" w:rsidP="00CD4810">
      <w:pPr>
        <w:tabs>
          <w:tab w:val="left" w:pos="13016"/>
        </w:tabs>
        <w:rPr>
          <w:sz w:val="28"/>
          <w:szCs w:val="28"/>
          <w:lang w:val="ru-RU"/>
        </w:rPr>
      </w:pPr>
      <w:r w:rsidRPr="00A6179D">
        <w:rPr>
          <w:sz w:val="28"/>
          <w:szCs w:val="28"/>
          <w:lang w:val="ru-RU"/>
        </w:rPr>
        <w:tab/>
      </w:r>
    </w:p>
    <w:p w:rsidR="00CD4810" w:rsidRPr="00A6179D" w:rsidRDefault="00CD4810" w:rsidP="00CD4810">
      <w:pPr>
        <w:tabs>
          <w:tab w:val="left" w:pos="13016"/>
        </w:tabs>
        <w:rPr>
          <w:sz w:val="28"/>
          <w:szCs w:val="28"/>
          <w:lang w:val="ru-RU"/>
        </w:rPr>
      </w:pPr>
    </w:p>
    <w:p w:rsidR="00CD4810" w:rsidRPr="00A6179D" w:rsidRDefault="00CD4810" w:rsidP="00CD481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BF50F2" w:rsidRPr="00A6179D" w:rsidRDefault="00BF50F2" w:rsidP="00CD481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BF50F2" w:rsidRPr="00A6179D" w:rsidRDefault="00BF50F2" w:rsidP="00CD481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ru-RU" w:eastAsia="en-US"/>
        </w:rPr>
      </w:pPr>
    </w:p>
    <w:p w:rsidR="00CD4810" w:rsidRPr="00CD4810" w:rsidRDefault="00CD4810" w:rsidP="00CD4810">
      <w:pPr>
        <w:suppressAutoHyphens/>
        <w:spacing w:after="0" w:line="240" w:lineRule="auto"/>
        <w:jc w:val="right"/>
        <w:rPr>
          <w:rFonts w:ascii="Times New Roman" w:eastAsia="TimesNewRomanPSMT" w:hAnsi="Times New Roman"/>
          <w:sz w:val="20"/>
          <w:szCs w:val="20"/>
          <w:lang w:val="en-US" w:eastAsia="en-US"/>
        </w:rPr>
      </w:pPr>
      <w:r w:rsidRPr="00255D6E">
        <w:rPr>
          <w:rFonts w:ascii="Times New Roman" w:eastAsia="TimesNewRomanPSMT" w:hAnsi="Times New Roman"/>
          <w:sz w:val="20"/>
          <w:szCs w:val="20"/>
          <w:lang w:eastAsia="en-US"/>
        </w:rPr>
        <w:lastRenderedPageBreak/>
        <w:t xml:space="preserve">Додаток </w:t>
      </w:r>
      <w:r>
        <w:rPr>
          <w:rFonts w:ascii="Times New Roman" w:eastAsia="TimesNewRomanPSMT" w:hAnsi="Times New Roman"/>
          <w:sz w:val="20"/>
          <w:szCs w:val="20"/>
          <w:lang w:val="en-US" w:eastAsia="en-US"/>
        </w:rPr>
        <w:t>3</w:t>
      </w:r>
    </w:p>
    <w:p w:rsidR="00CD4810" w:rsidRPr="00CD4810" w:rsidRDefault="00CD4810" w:rsidP="00CD4810">
      <w:pPr>
        <w:tabs>
          <w:tab w:val="left" w:pos="13016"/>
        </w:tabs>
        <w:rPr>
          <w:sz w:val="28"/>
          <w:szCs w:val="28"/>
          <w:lang w:val="en-US"/>
        </w:rPr>
      </w:pPr>
    </w:p>
    <w:p w:rsidR="00CD4810" w:rsidRDefault="00CD4810" w:rsidP="00297B7D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F29687" wp14:editId="0485B295">
            <wp:extent cx="9250878" cy="5438899"/>
            <wp:effectExtent l="0" t="0" r="762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029" t="10744" r="24031" b="14066"/>
                    <a:stretch/>
                  </pic:blipFill>
                  <pic:spPr bwMode="auto">
                    <a:xfrm>
                      <a:off x="0" y="0"/>
                      <a:ext cx="9251950" cy="543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48" w:rsidRDefault="0037023F" w:rsidP="000E56C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EC5F48" w:rsidRPr="00EC5F48" w:rsidRDefault="00EC5F48" w:rsidP="00EC5F4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C5F48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А.4.5 Всебічні цілі терапії, які треба досягти при лікуванні цукрового</w:t>
      </w:r>
      <w:r w:rsidRPr="00EC5F48">
        <w:rPr>
          <w:rFonts w:ascii="TimesNewRomanPS-BoldMT" w:hAnsi="TimesNewRomanPS-BoldMT"/>
          <w:b/>
          <w:bCs/>
          <w:color w:val="000000"/>
          <w:sz w:val="28"/>
          <w:szCs w:val="28"/>
        </w:rPr>
        <w:br/>
        <w:t>діабету 2 типу</w:t>
      </w:r>
    </w:p>
    <w:tbl>
      <w:tblPr>
        <w:tblW w:w="15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71"/>
        <w:gridCol w:w="8505"/>
      </w:tblGrid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BF50F2">
              <w:rPr>
                <w:rFonts w:ascii="TimesNewRomanPS-BoldMT" w:hAnsi="TimesNewRomanPS-BoldMT"/>
                <w:b/>
                <w:bCs/>
                <w:color w:val="000000"/>
                <w:sz w:val="20"/>
                <w:szCs w:val="28"/>
              </w:rPr>
              <w:t xml:space="preserve">Параметри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  <w:r w:rsidRPr="00BF50F2">
              <w:rPr>
                <w:rFonts w:ascii="TimesNewRomanPS-BoldMT" w:hAnsi="TimesNewRomanPS-BoldMT"/>
                <w:b/>
                <w:bCs/>
                <w:color w:val="000000"/>
                <w:sz w:val="20"/>
                <w:szCs w:val="28"/>
              </w:rPr>
              <w:t>Цілі терапії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50F2">
              <w:rPr>
                <w:rFonts w:ascii="TimesNewRomanPS-BoldMT" w:hAnsi="TimesNewRomanPS-BoldMT"/>
                <w:b/>
                <w:bCs/>
                <w:color w:val="000000"/>
                <w:sz w:val="20"/>
                <w:szCs w:val="28"/>
              </w:rPr>
              <w:t>Глікемія</w:t>
            </w:r>
          </w:p>
        </w:tc>
      </w:tr>
      <w:tr w:rsidR="00EC5F48" w:rsidRPr="00EC5F48" w:rsidTr="00BF50F2">
        <w:trPr>
          <w:trHeight w:val="141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Глікозильований</w:t>
            </w:r>
            <w:proofErr w:type="spellEnd"/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гемоглобін HbA1c, %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4911D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Загальноприйнятий рівень для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більшості пацієнтів становить ≤7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>.0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,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але може встановлюватися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індивідуально, враховуючи наявні</w:t>
            </w:r>
            <w:r w:rsidR="004911D7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ускладнення. Рівень ≤6,5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встановлюється у пацієнтів з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високою очікуваною тривалістю</w:t>
            </w:r>
            <w:r w:rsidR="004911D7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життя, без ССЗ, без ризику розвитку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гіпоглікемічного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 стану, у тих у кого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це досяжне. Рівень ≤7,5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встановлюється у пацієнтів з</w:t>
            </w:r>
            <w:r w:rsidR="004911D7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низькою очікуваною тривалістю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життя, з ССЗ, з ризиком розвитку</w:t>
            </w:r>
            <w:r w:rsidR="000E56CE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гіпоглікемічного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 стану.</w:t>
            </w:r>
          </w:p>
        </w:tc>
      </w:tr>
      <w:tr w:rsidR="00EC5F48" w:rsidRPr="00BF50F2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Рівень глюкози в плазмі капілярної</w:t>
            </w:r>
            <w:r w:rsidR="00BF50F2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крові натщесерце, ммоль/л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&lt;5,6</w:t>
            </w:r>
          </w:p>
        </w:tc>
      </w:tr>
      <w:tr w:rsidR="00EC5F48" w:rsidRPr="00BF50F2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Рівень глюкози в плазмі капілярної</w:t>
            </w:r>
            <w:r w:rsidRPr="00BF50F2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sz w:val="24"/>
                <w:szCs w:val="24"/>
              </w:rPr>
              <w:t>крові після їжі (випадковий), ммоль/л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>&lt;10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Ліпіди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Загальний холестерин, ммоль/л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&lt; 4,5</w:t>
            </w:r>
            <w:r w:rsidR="004911D7" w:rsidRPr="00BF50F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Холестерин ліпопротеїдів низької</w:t>
            </w:r>
            <w:r w:rsidR="00192E6F" w:rsidRPr="00BF50F2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щільності, ммоль/л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&lt; 2,5 (&lt;1,8 якщо наявні ССЗ)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Холестерин ліпопротеїдів високої</w:t>
            </w:r>
            <w:r w:rsidR="00192E6F" w:rsidRPr="00BF50F2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щільності, ммоль/л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4911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Жінки &gt;1,0; чоловіки &gt;1,2, якщо</w:t>
            </w:r>
            <w:r w:rsidR="004911D7"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наявні ССЗ.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Тригліцериди</w:t>
            </w:r>
            <w:proofErr w:type="spellEnd"/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ммоль/л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≤1,7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Артеріальний тиск</w:t>
            </w:r>
          </w:p>
        </w:tc>
      </w:tr>
      <w:tr w:rsidR="00EC5F48" w:rsidRPr="00EC5F48" w:rsidTr="00BF50F2">
        <w:trPr>
          <w:trHeight w:val="1070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BF50F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 xml:space="preserve">Систолічний /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Діастолічний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, мм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рт.ст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>.</w:t>
            </w:r>
            <w:r w:rsidRPr="00BF50F2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sz w:val="24"/>
                <w:szCs w:val="24"/>
              </w:rPr>
              <w:t xml:space="preserve">Систолічний /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Діастолічний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, мм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рт.ст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>.</w:t>
            </w:r>
            <w:r w:rsidRPr="00BF50F2">
              <w:rPr>
                <w:rFonts w:ascii="Times New Roman" w:eastAsia="TimesNewRomanPSMT" w:hAnsi="Times New Roman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sz w:val="24"/>
                <w:szCs w:val="24"/>
              </w:rPr>
              <w:t>(у разі порушень функцій нирок, очей,</w:t>
            </w:r>
            <w:r w:rsidR="00192E6F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кардіо</w:t>
            </w:r>
            <w:proofErr w:type="spellEnd"/>
            <w:r w:rsidRPr="00BF50F2">
              <w:rPr>
                <w:rFonts w:ascii="Times New Roman" w:hAnsi="Times New Roman"/>
                <w:sz w:val="24"/>
                <w:szCs w:val="24"/>
              </w:rPr>
              <w:t xml:space="preserve">- та </w:t>
            </w:r>
            <w:r w:rsidR="00BF50F2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50F2">
              <w:rPr>
                <w:rFonts w:ascii="Times New Roman" w:hAnsi="Times New Roman"/>
                <w:sz w:val="24"/>
                <w:szCs w:val="24"/>
              </w:rPr>
              <w:t>ереброваскулярних</w:t>
            </w:r>
            <w:proofErr w:type="spellEnd"/>
            <w:r w:rsidR="00192E6F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захворювань)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&lt;140/80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&lt;130/80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Вага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Індекс маси тіла (ІМТ)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Обхват талії (ОТ)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ІМТ ≤25 (кг/м2), але втрата ваги не</w:t>
            </w:r>
            <w:r w:rsidR="00192E6F" w:rsidRPr="00BF50F2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більше 0,5-1 кг на тиждень.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br/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ОТ≤88см (у жінок), ≤102см (у</w:t>
            </w:r>
            <w:r w:rsidR="00192E6F" w:rsidRPr="00BF50F2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hAnsi="Times New Roman"/>
                <w:color w:val="000000"/>
                <w:sz w:val="24"/>
                <w:szCs w:val="24"/>
              </w:rPr>
              <w:t>чоловіків).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Тютюнопаління</w:t>
            </w:r>
          </w:p>
        </w:tc>
      </w:tr>
      <w:tr w:rsidR="00EC5F48" w:rsidRPr="004911D7" w:rsidTr="00BF50F2">
        <w:trPr>
          <w:trHeight w:val="796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4911D7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 xml:space="preserve">Відмова від паління  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4911D7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hAnsi="Times New Roman"/>
                <w:sz w:val="24"/>
                <w:szCs w:val="24"/>
              </w:rPr>
              <w:t xml:space="preserve">Повна відмова пацієнта від </w:t>
            </w:r>
            <w:r w:rsidRPr="00BF50F2">
              <w:rPr>
                <w:rFonts w:ascii="Times New Roman" w:eastAsia="TimesNewRomanPSMT" w:hAnsi="Times New Roman"/>
                <w:sz w:val="24"/>
                <w:szCs w:val="24"/>
              </w:rPr>
              <w:t xml:space="preserve">тютюнопаління. Дотримання вимог документу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«Стандарти первинної</w:t>
            </w:r>
            <w:r w:rsidR="00192E6F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медичної допомоги при припиненні</w:t>
            </w:r>
            <w:r w:rsidR="00192E6F" w:rsidRPr="00BF50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F50F2">
              <w:rPr>
                <w:rFonts w:ascii="Times New Roman" w:hAnsi="Times New Roman"/>
                <w:sz w:val="24"/>
                <w:szCs w:val="24"/>
              </w:rPr>
              <w:t>вживання тютюнових виробів»</w:t>
            </w:r>
          </w:p>
        </w:tc>
      </w:tr>
      <w:tr w:rsidR="00192E6F" w:rsidRPr="00EC5F48" w:rsidTr="00BF50F2">
        <w:tc>
          <w:tcPr>
            <w:tcW w:w="15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192E6F" w:rsidRPr="00BF50F2" w:rsidRDefault="00192E6F" w:rsidP="00EC5F4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Антитромбоцитарна</w:t>
            </w:r>
            <w:proofErr w:type="spellEnd"/>
            <w:r w:rsidRPr="00BF50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терапія</w:t>
            </w:r>
          </w:p>
        </w:tc>
      </w:tr>
      <w:tr w:rsidR="00EC5F48" w:rsidRPr="00EC5F48" w:rsidTr="00BF50F2"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Ацетилсаліцилова кислота (зазвичай 75</w:t>
            </w:r>
            <w:r w:rsidR="00192E6F"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мг/добу)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5F48" w:rsidRPr="00BF50F2" w:rsidRDefault="00EC5F48" w:rsidP="00192E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Профілактика вторинних ССЗ або</w:t>
            </w:r>
            <w:r w:rsidR="00192E6F"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профілактика первинних ССЗ у</w:t>
            </w:r>
            <w:r w:rsidR="00192E6F"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50F2">
              <w:rPr>
                <w:rFonts w:ascii="Times New Roman" w:eastAsia="TimesNewRomanPSMT" w:hAnsi="Times New Roman"/>
                <w:color w:val="000000"/>
                <w:sz w:val="24"/>
                <w:szCs w:val="24"/>
              </w:rPr>
              <w:t>пацієнтів з дуже високим ризиком</w:t>
            </w:r>
          </w:p>
        </w:tc>
      </w:tr>
    </w:tbl>
    <w:p w:rsidR="00AE52A2" w:rsidRPr="00A6179D" w:rsidRDefault="00AE52A2" w:rsidP="00AC1A25">
      <w:pPr>
        <w:spacing w:line="240" w:lineRule="auto"/>
        <w:rPr>
          <w:rFonts w:ascii="Times New Roman" w:hAnsi="Times New Roman"/>
          <w:sz w:val="20"/>
          <w:szCs w:val="20"/>
          <w:lang w:val="ru-RU"/>
        </w:rPr>
      </w:pPr>
    </w:p>
    <w:sectPr w:rsidR="00AE52A2" w:rsidRPr="00A6179D" w:rsidSect="00BF50F2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502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460F06"/>
    <w:multiLevelType w:val="hybridMultilevel"/>
    <w:tmpl w:val="5D40C1DC"/>
    <w:lvl w:ilvl="0" w:tplc="914ED9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E7EB7"/>
    <w:multiLevelType w:val="hybridMultilevel"/>
    <w:tmpl w:val="0A5EF610"/>
    <w:lvl w:ilvl="0" w:tplc="52366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223BE"/>
    <w:multiLevelType w:val="hybridMultilevel"/>
    <w:tmpl w:val="ACBC2162"/>
    <w:lvl w:ilvl="0" w:tplc="9A66D8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914E1"/>
    <w:multiLevelType w:val="hybridMultilevel"/>
    <w:tmpl w:val="4AD09E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AE4CAD"/>
    <w:multiLevelType w:val="hybridMultilevel"/>
    <w:tmpl w:val="0150C5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5644CD3"/>
    <w:multiLevelType w:val="hybridMultilevel"/>
    <w:tmpl w:val="E67EF26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5CF47BF"/>
    <w:multiLevelType w:val="hybridMultilevel"/>
    <w:tmpl w:val="6F080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4717EF"/>
    <w:multiLevelType w:val="multilevel"/>
    <w:tmpl w:val="06E01FC8"/>
    <w:lvl w:ilvl="0">
      <w:start w:val="1"/>
      <w:numFmt w:val="bullet"/>
      <w:pStyle w:val="a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700" w:hanging="340"/>
      </w:pPr>
      <w:rPr>
        <w:rFonts w:ascii="Wingdings" w:hAnsi="Wingdings" w:hint="default"/>
        <w:color w:val="auto"/>
      </w:rPr>
    </w:lvl>
    <w:lvl w:ilvl="5">
      <w:start w:val="1"/>
      <w:numFmt w:val="bullet"/>
      <w:lvlText w:val="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355"/>
    <w:rsid w:val="000362FF"/>
    <w:rsid w:val="000A184B"/>
    <w:rsid w:val="000C3061"/>
    <w:rsid w:val="000D5AA3"/>
    <w:rsid w:val="000E56CE"/>
    <w:rsid w:val="000F2D00"/>
    <w:rsid w:val="00141DCF"/>
    <w:rsid w:val="001446B6"/>
    <w:rsid w:val="0015434C"/>
    <w:rsid w:val="00160C53"/>
    <w:rsid w:val="00176AE4"/>
    <w:rsid w:val="00192E6F"/>
    <w:rsid w:val="001C353D"/>
    <w:rsid w:val="001E75D6"/>
    <w:rsid w:val="001F135C"/>
    <w:rsid w:val="002050D9"/>
    <w:rsid w:val="002336F6"/>
    <w:rsid w:val="00234BB9"/>
    <w:rsid w:val="00235F2C"/>
    <w:rsid w:val="00255D6E"/>
    <w:rsid w:val="0026587D"/>
    <w:rsid w:val="00297B7D"/>
    <w:rsid w:val="002A2BEE"/>
    <w:rsid w:val="002B0408"/>
    <w:rsid w:val="002D3321"/>
    <w:rsid w:val="002D4894"/>
    <w:rsid w:val="00334E80"/>
    <w:rsid w:val="0037023F"/>
    <w:rsid w:val="00381350"/>
    <w:rsid w:val="0038635B"/>
    <w:rsid w:val="003F17D4"/>
    <w:rsid w:val="00421349"/>
    <w:rsid w:val="00440C05"/>
    <w:rsid w:val="00443276"/>
    <w:rsid w:val="00464ED5"/>
    <w:rsid w:val="00471843"/>
    <w:rsid w:val="00481182"/>
    <w:rsid w:val="004911D7"/>
    <w:rsid w:val="00495D44"/>
    <w:rsid w:val="004F1CC2"/>
    <w:rsid w:val="00507137"/>
    <w:rsid w:val="0051326F"/>
    <w:rsid w:val="00517B44"/>
    <w:rsid w:val="005422D4"/>
    <w:rsid w:val="00584A94"/>
    <w:rsid w:val="005938D4"/>
    <w:rsid w:val="005C7345"/>
    <w:rsid w:val="005F6D2E"/>
    <w:rsid w:val="00647FDC"/>
    <w:rsid w:val="00663157"/>
    <w:rsid w:val="00684BDB"/>
    <w:rsid w:val="006F0F4C"/>
    <w:rsid w:val="006F117E"/>
    <w:rsid w:val="00702B02"/>
    <w:rsid w:val="007174D2"/>
    <w:rsid w:val="00761A83"/>
    <w:rsid w:val="00761ACC"/>
    <w:rsid w:val="00775F53"/>
    <w:rsid w:val="00780A8A"/>
    <w:rsid w:val="007C6881"/>
    <w:rsid w:val="007D6E27"/>
    <w:rsid w:val="007F2D2A"/>
    <w:rsid w:val="00805B71"/>
    <w:rsid w:val="00806070"/>
    <w:rsid w:val="00806167"/>
    <w:rsid w:val="00815EA6"/>
    <w:rsid w:val="0084386B"/>
    <w:rsid w:val="008664EB"/>
    <w:rsid w:val="00870355"/>
    <w:rsid w:val="00886617"/>
    <w:rsid w:val="008927FF"/>
    <w:rsid w:val="008F268D"/>
    <w:rsid w:val="00917A79"/>
    <w:rsid w:val="009212F3"/>
    <w:rsid w:val="00946507"/>
    <w:rsid w:val="00966709"/>
    <w:rsid w:val="00980D3D"/>
    <w:rsid w:val="00996805"/>
    <w:rsid w:val="00A125E3"/>
    <w:rsid w:val="00A33552"/>
    <w:rsid w:val="00A53995"/>
    <w:rsid w:val="00A6179D"/>
    <w:rsid w:val="00AA7C96"/>
    <w:rsid w:val="00AB666C"/>
    <w:rsid w:val="00AC1A25"/>
    <w:rsid w:val="00AE0ACD"/>
    <w:rsid w:val="00AE52A2"/>
    <w:rsid w:val="00B06029"/>
    <w:rsid w:val="00B42DB0"/>
    <w:rsid w:val="00B708CA"/>
    <w:rsid w:val="00BE2317"/>
    <w:rsid w:val="00BF50F2"/>
    <w:rsid w:val="00C0347E"/>
    <w:rsid w:val="00C20FBE"/>
    <w:rsid w:val="00C419F8"/>
    <w:rsid w:val="00C6319A"/>
    <w:rsid w:val="00C6578B"/>
    <w:rsid w:val="00C731AD"/>
    <w:rsid w:val="00CA7350"/>
    <w:rsid w:val="00CB0A5B"/>
    <w:rsid w:val="00CC7C27"/>
    <w:rsid w:val="00CD4810"/>
    <w:rsid w:val="00CF565A"/>
    <w:rsid w:val="00CF567F"/>
    <w:rsid w:val="00D00F59"/>
    <w:rsid w:val="00D01B5A"/>
    <w:rsid w:val="00D11186"/>
    <w:rsid w:val="00D16042"/>
    <w:rsid w:val="00D37390"/>
    <w:rsid w:val="00D41A3F"/>
    <w:rsid w:val="00D47086"/>
    <w:rsid w:val="00D60587"/>
    <w:rsid w:val="00D852A7"/>
    <w:rsid w:val="00D940EB"/>
    <w:rsid w:val="00D94593"/>
    <w:rsid w:val="00DD0E50"/>
    <w:rsid w:val="00DE0F2D"/>
    <w:rsid w:val="00DE7FE0"/>
    <w:rsid w:val="00E026C4"/>
    <w:rsid w:val="00E22514"/>
    <w:rsid w:val="00EA24F5"/>
    <w:rsid w:val="00EA377F"/>
    <w:rsid w:val="00EC5F48"/>
    <w:rsid w:val="00F0511B"/>
    <w:rsid w:val="00F659E3"/>
    <w:rsid w:val="00FB5D4E"/>
    <w:rsid w:val="00FD13D8"/>
    <w:rsid w:val="00FD7373"/>
    <w:rsid w:val="00FE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70355"/>
    <w:pPr>
      <w:spacing w:after="200" w:line="276" w:lineRule="auto"/>
    </w:pPr>
    <w:rPr>
      <w:rFonts w:eastAsia="Times New Roman"/>
      <w:sz w:val="22"/>
      <w:szCs w:val="22"/>
    </w:rPr>
  </w:style>
  <w:style w:type="paragraph" w:styleId="8">
    <w:name w:val="heading 8"/>
    <w:basedOn w:val="a0"/>
    <w:next w:val="a0"/>
    <w:link w:val="80"/>
    <w:qFormat/>
    <w:locked/>
    <w:rsid w:val="00297B7D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ru-RU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D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semiHidden/>
    <w:rsid w:val="00255D6E"/>
    <w:rPr>
      <w:rFonts w:cs="Times New Roman"/>
      <w:color w:val="0000FF"/>
      <w:u w:val="single"/>
    </w:rPr>
  </w:style>
  <w:style w:type="paragraph" w:styleId="a6">
    <w:name w:val="List Paragraph"/>
    <w:basedOn w:val="a0"/>
    <w:uiPriority w:val="99"/>
    <w:qFormat/>
    <w:rsid w:val="001C353D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D37390"/>
    <w:pPr>
      <w:spacing w:after="120" w:line="240" w:lineRule="auto"/>
    </w:pPr>
    <w:rPr>
      <w:rFonts w:eastAsia="Calibri"/>
      <w:sz w:val="24"/>
      <w:szCs w:val="20"/>
      <w:lang w:val="ru-RU" w:eastAsia="ru-RU"/>
    </w:rPr>
  </w:style>
  <w:style w:type="character" w:customStyle="1" w:styleId="BodyTextChar">
    <w:name w:val="Body Text Char"/>
    <w:uiPriority w:val="99"/>
    <w:semiHidden/>
    <w:locked/>
    <w:rsid w:val="00C20FBE"/>
    <w:rPr>
      <w:rFonts w:eastAsia="Times New Roman" w:cs="Times New Roman"/>
      <w:lang w:val="uk-UA" w:eastAsia="uk-UA"/>
    </w:rPr>
  </w:style>
  <w:style w:type="character" w:customStyle="1" w:styleId="a8">
    <w:name w:val="Основной текст Знак"/>
    <w:link w:val="a7"/>
    <w:uiPriority w:val="99"/>
    <w:locked/>
    <w:rsid w:val="00D37390"/>
    <w:rPr>
      <w:sz w:val="24"/>
      <w:lang w:val="ru-RU" w:eastAsia="ru-RU"/>
    </w:rPr>
  </w:style>
  <w:style w:type="paragraph" w:customStyle="1" w:styleId="a9">
    <w:name w:val="Абзац"/>
    <w:basedOn w:val="a0"/>
    <w:uiPriority w:val="99"/>
    <w:rsid w:val="00806070"/>
    <w:pPr>
      <w:spacing w:before="120" w:after="120" w:line="240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a">
    <w:name w:val="page number"/>
    <w:rsid w:val="00235F2C"/>
    <w:rPr>
      <w:rFonts w:cs="Times New Roman"/>
    </w:rPr>
  </w:style>
  <w:style w:type="paragraph" w:styleId="a">
    <w:name w:val="List Bullet"/>
    <w:basedOn w:val="a0"/>
    <w:uiPriority w:val="99"/>
    <w:rsid w:val="00235F2C"/>
    <w:pPr>
      <w:numPr>
        <w:numId w:val="8"/>
      </w:numPr>
      <w:spacing w:after="0" w:line="240" w:lineRule="auto"/>
      <w:contextualSpacing/>
    </w:pPr>
    <w:rPr>
      <w:rFonts w:ascii="Verdana" w:hAnsi="Verdana" w:cs="Arial"/>
      <w:sz w:val="20"/>
      <w:szCs w:val="20"/>
      <w:lang w:val="en-GB" w:eastAsia="en-US"/>
    </w:rPr>
  </w:style>
  <w:style w:type="character" w:customStyle="1" w:styleId="80">
    <w:name w:val="Заголовок 8 Знак"/>
    <w:link w:val="8"/>
    <w:rsid w:val="00297B7D"/>
    <w:rPr>
      <w:rFonts w:ascii="Times New Roman" w:eastAsia="Batang" w:hAnsi="Times New Roman"/>
      <w:i/>
      <w:iCs/>
      <w:sz w:val="24"/>
      <w:szCs w:val="24"/>
      <w:lang w:eastAsia="ko-KR"/>
    </w:rPr>
  </w:style>
  <w:style w:type="paragraph" w:styleId="ab">
    <w:name w:val="No Spacing"/>
    <w:qFormat/>
    <w:rsid w:val="00BE2317"/>
    <w:rPr>
      <w:rFonts w:eastAsia="Times New Roman"/>
      <w:sz w:val="22"/>
      <w:szCs w:val="22"/>
      <w:lang w:val="ru-RU" w:eastAsia="ru-RU"/>
    </w:rPr>
  </w:style>
  <w:style w:type="character" w:customStyle="1" w:styleId="ac">
    <w:name w:val="Основной текст_"/>
    <w:link w:val="3"/>
    <w:rsid w:val="001E75D6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3">
    <w:name w:val="Основной текст3"/>
    <w:basedOn w:val="a0"/>
    <w:link w:val="ac"/>
    <w:rsid w:val="001E75D6"/>
    <w:pPr>
      <w:widowControl w:val="0"/>
      <w:shd w:val="clear" w:color="auto" w:fill="FFFFFF"/>
      <w:spacing w:after="0" w:line="0" w:lineRule="atLeast"/>
      <w:ind w:hanging="500"/>
      <w:jc w:val="center"/>
    </w:pPr>
    <w:rPr>
      <w:rFonts w:ascii="Times New Roman" w:hAnsi="Times New Roman"/>
    </w:rPr>
  </w:style>
  <w:style w:type="character" w:customStyle="1" w:styleId="fontstyle01">
    <w:name w:val="fontstyle01"/>
    <w:basedOn w:val="a1"/>
    <w:rsid w:val="00D00F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00F59"/>
    <w:rPr>
      <w:rFonts w:ascii="TimesNewRomanPSMT" w:eastAsia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6F0F4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d">
    <w:name w:val="Balloon Text"/>
    <w:basedOn w:val="a0"/>
    <w:link w:val="ae"/>
    <w:uiPriority w:val="99"/>
    <w:semiHidden/>
    <w:unhideWhenUsed/>
    <w:rsid w:val="0037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37023F"/>
    <w:rPr>
      <w:rFonts w:ascii="Tahoma" w:eastAsia="Times New Roman" w:hAnsi="Tahoma" w:cs="Tahoma"/>
      <w:sz w:val="16"/>
      <w:szCs w:val="16"/>
    </w:rPr>
  </w:style>
  <w:style w:type="character" w:customStyle="1" w:styleId="fontstyle11">
    <w:name w:val="fontstyle11"/>
    <w:basedOn w:val="a1"/>
    <w:rsid w:val="00EC5F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70355"/>
    <w:pPr>
      <w:spacing w:after="200" w:line="276" w:lineRule="auto"/>
    </w:pPr>
    <w:rPr>
      <w:rFonts w:eastAsia="Times New Roman"/>
      <w:sz w:val="22"/>
      <w:szCs w:val="22"/>
    </w:rPr>
  </w:style>
  <w:style w:type="paragraph" w:styleId="8">
    <w:name w:val="heading 8"/>
    <w:basedOn w:val="a0"/>
    <w:next w:val="a0"/>
    <w:link w:val="80"/>
    <w:qFormat/>
    <w:locked/>
    <w:rsid w:val="00297B7D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ru-RU" w:eastAsia="ko-K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D3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semiHidden/>
    <w:rsid w:val="00255D6E"/>
    <w:rPr>
      <w:rFonts w:cs="Times New Roman"/>
      <w:color w:val="0000FF"/>
      <w:u w:val="single"/>
    </w:rPr>
  </w:style>
  <w:style w:type="paragraph" w:styleId="a6">
    <w:name w:val="List Paragraph"/>
    <w:basedOn w:val="a0"/>
    <w:uiPriority w:val="99"/>
    <w:qFormat/>
    <w:rsid w:val="001C353D"/>
    <w:pPr>
      <w:ind w:left="720"/>
      <w:contextualSpacing/>
    </w:pPr>
  </w:style>
  <w:style w:type="paragraph" w:styleId="a7">
    <w:name w:val="Body Text"/>
    <w:basedOn w:val="a0"/>
    <w:link w:val="a8"/>
    <w:uiPriority w:val="99"/>
    <w:rsid w:val="00D37390"/>
    <w:pPr>
      <w:spacing w:after="120" w:line="240" w:lineRule="auto"/>
    </w:pPr>
    <w:rPr>
      <w:rFonts w:eastAsia="Calibri"/>
      <w:sz w:val="24"/>
      <w:szCs w:val="20"/>
      <w:lang w:val="ru-RU" w:eastAsia="ru-RU"/>
    </w:rPr>
  </w:style>
  <w:style w:type="character" w:customStyle="1" w:styleId="BodyTextChar">
    <w:name w:val="Body Text Char"/>
    <w:uiPriority w:val="99"/>
    <w:semiHidden/>
    <w:locked/>
    <w:rsid w:val="00C20FBE"/>
    <w:rPr>
      <w:rFonts w:eastAsia="Times New Roman" w:cs="Times New Roman"/>
      <w:lang w:val="uk-UA" w:eastAsia="uk-UA"/>
    </w:rPr>
  </w:style>
  <w:style w:type="character" w:customStyle="1" w:styleId="a8">
    <w:name w:val="Основной текст Знак"/>
    <w:link w:val="a7"/>
    <w:uiPriority w:val="99"/>
    <w:locked/>
    <w:rsid w:val="00D37390"/>
    <w:rPr>
      <w:sz w:val="24"/>
      <w:lang w:val="ru-RU" w:eastAsia="ru-RU"/>
    </w:rPr>
  </w:style>
  <w:style w:type="paragraph" w:customStyle="1" w:styleId="a9">
    <w:name w:val="Абзац"/>
    <w:basedOn w:val="a0"/>
    <w:uiPriority w:val="99"/>
    <w:rsid w:val="00806070"/>
    <w:pPr>
      <w:spacing w:before="120" w:after="120" w:line="240" w:lineRule="auto"/>
      <w:ind w:firstLine="709"/>
      <w:jc w:val="both"/>
    </w:pPr>
    <w:rPr>
      <w:rFonts w:ascii="Times New Roman" w:hAnsi="Times New Roman"/>
      <w:sz w:val="28"/>
      <w:szCs w:val="24"/>
      <w:lang w:eastAsia="ru-RU"/>
    </w:rPr>
  </w:style>
  <w:style w:type="character" w:styleId="aa">
    <w:name w:val="page number"/>
    <w:rsid w:val="00235F2C"/>
    <w:rPr>
      <w:rFonts w:cs="Times New Roman"/>
    </w:rPr>
  </w:style>
  <w:style w:type="paragraph" w:styleId="a">
    <w:name w:val="List Bullet"/>
    <w:basedOn w:val="a0"/>
    <w:uiPriority w:val="99"/>
    <w:rsid w:val="00235F2C"/>
    <w:pPr>
      <w:numPr>
        <w:numId w:val="8"/>
      </w:numPr>
      <w:spacing w:after="0" w:line="240" w:lineRule="auto"/>
      <w:contextualSpacing/>
    </w:pPr>
    <w:rPr>
      <w:rFonts w:ascii="Verdana" w:hAnsi="Verdana" w:cs="Arial"/>
      <w:sz w:val="20"/>
      <w:szCs w:val="20"/>
      <w:lang w:val="en-GB" w:eastAsia="en-US"/>
    </w:rPr>
  </w:style>
  <w:style w:type="character" w:customStyle="1" w:styleId="80">
    <w:name w:val="Заголовок 8 Знак"/>
    <w:link w:val="8"/>
    <w:rsid w:val="00297B7D"/>
    <w:rPr>
      <w:rFonts w:ascii="Times New Roman" w:eastAsia="Batang" w:hAnsi="Times New Roman"/>
      <w:i/>
      <w:iCs/>
      <w:sz w:val="24"/>
      <w:szCs w:val="24"/>
      <w:lang w:eastAsia="ko-KR"/>
    </w:rPr>
  </w:style>
  <w:style w:type="paragraph" w:styleId="ab">
    <w:name w:val="No Spacing"/>
    <w:qFormat/>
    <w:rsid w:val="00BE2317"/>
    <w:rPr>
      <w:rFonts w:eastAsia="Times New Roman"/>
      <w:sz w:val="22"/>
      <w:szCs w:val="22"/>
      <w:lang w:val="ru-RU" w:eastAsia="ru-RU"/>
    </w:rPr>
  </w:style>
  <w:style w:type="character" w:customStyle="1" w:styleId="ac">
    <w:name w:val="Основной текст_"/>
    <w:link w:val="3"/>
    <w:rsid w:val="001E75D6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3">
    <w:name w:val="Основной текст3"/>
    <w:basedOn w:val="a0"/>
    <w:link w:val="ac"/>
    <w:rsid w:val="001E75D6"/>
    <w:pPr>
      <w:widowControl w:val="0"/>
      <w:shd w:val="clear" w:color="auto" w:fill="FFFFFF"/>
      <w:spacing w:after="0" w:line="0" w:lineRule="atLeast"/>
      <w:ind w:hanging="500"/>
      <w:jc w:val="center"/>
    </w:pPr>
    <w:rPr>
      <w:rFonts w:ascii="Times New Roman" w:hAnsi="Times New Roman"/>
    </w:rPr>
  </w:style>
  <w:style w:type="character" w:customStyle="1" w:styleId="fontstyle01">
    <w:name w:val="fontstyle01"/>
    <w:basedOn w:val="a1"/>
    <w:rsid w:val="00D00F59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00F59"/>
    <w:rPr>
      <w:rFonts w:ascii="TimesNewRomanPSMT" w:eastAsia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6F0F4C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d">
    <w:name w:val="Balloon Text"/>
    <w:basedOn w:val="a0"/>
    <w:link w:val="ae"/>
    <w:uiPriority w:val="99"/>
    <w:semiHidden/>
    <w:unhideWhenUsed/>
    <w:rsid w:val="00370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37023F"/>
    <w:rPr>
      <w:rFonts w:ascii="Tahoma" w:eastAsia="Times New Roman" w:hAnsi="Tahoma" w:cs="Tahoma"/>
      <w:sz w:val="16"/>
      <w:szCs w:val="16"/>
    </w:rPr>
  </w:style>
  <w:style w:type="character" w:customStyle="1" w:styleId="fontstyle11">
    <w:name w:val="fontstyle11"/>
    <w:basedOn w:val="a1"/>
    <w:rsid w:val="00EC5F4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z.gov.ua/docfiles/dod1118_1_2012_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8540</Words>
  <Characters>4869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Діагноз: Діабетична ретинопатія</vt:lpstr>
    </vt:vector>
  </TitlesOfParts>
  <Company/>
  <LinksUpToDate>false</LinksUpToDate>
  <CharactersWithSpaces>13383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Діагноз: Діабетична ретинопатія</dc:title>
  <dc:creator>Admin</dc:creator>
  <cp:lastModifiedBy>Пользователь Windows</cp:lastModifiedBy>
  <cp:revision>5</cp:revision>
  <cp:lastPrinted>2018-07-04T15:35:00Z</cp:lastPrinted>
  <dcterms:created xsi:type="dcterms:W3CDTF">2018-07-04T08:34:00Z</dcterms:created>
  <dcterms:modified xsi:type="dcterms:W3CDTF">2018-07-04T16:22:00Z</dcterms:modified>
</cp:coreProperties>
</file>