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884"/>
        <w:gridCol w:w="4884"/>
        <w:gridCol w:w="5018"/>
      </w:tblGrid>
      <w:tr w:rsidR="001E75D6" w:rsidRPr="00F22126" w:rsidTr="001E75D6">
        <w:tc>
          <w:tcPr>
            <w:tcW w:w="5102" w:type="dxa"/>
            <w:shd w:val="clear" w:color="auto" w:fill="auto"/>
          </w:tcPr>
          <w:p w:rsidR="001E75D6" w:rsidRPr="00F2212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</w:p>
        </w:tc>
        <w:tc>
          <w:tcPr>
            <w:tcW w:w="5102" w:type="dxa"/>
            <w:shd w:val="clear" w:color="auto" w:fill="auto"/>
          </w:tcPr>
          <w:p w:rsidR="001E75D6" w:rsidRPr="001E75D6" w:rsidRDefault="001E75D6" w:rsidP="001E75D6">
            <w:pPr>
              <w:pStyle w:val="3"/>
              <w:shd w:val="clear" w:color="auto" w:fill="auto"/>
              <w:spacing w:line="220" w:lineRule="exact"/>
              <w:ind w:right="100" w:firstLine="0"/>
              <w:rPr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ЗАТВЕРДЖЕНО</w:t>
            </w:r>
          </w:p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Головний лікар</w:t>
            </w:r>
          </w:p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 xml:space="preserve">КУ «ОК </w:t>
            </w:r>
            <w:proofErr w:type="spellStart"/>
            <w:r>
              <w:t>Ендокриндиспансер</w:t>
            </w:r>
            <w:proofErr w:type="spellEnd"/>
            <w:r>
              <w:t>» ЗОР</w:t>
            </w:r>
          </w:p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______________</w:t>
            </w:r>
            <w:proofErr w:type="spellStart"/>
            <w:r>
              <w:t>В.В.Чернікова</w:t>
            </w:r>
            <w:proofErr w:type="spellEnd"/>
          </w:p>
          <w:p w:rsidR="001E75D6" w:rsidRPr="00F2212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«___» ________________2018р.</w:t>
            </w:r>
          </w:p>
        </w:tc>
      </w:tr>
    </w:tbl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E91F8F" w:rsidRDefault="001E75D6" w:rsidP="001E75D6">
      <w:pPr>
        <w:pStyle w:val="3"/>
        <w:shd w:val="clear" w:color="auto" w:fill="auto"/>
        <w:spacing w:line="480" w:lineRule="auto"/>
        <w:ind w:right="100" w:firstLine="0"/>
        <w:rPr>
          <w:b/>
          <w:sz w:val="28"/>
          <w:szCs w:val="28"/>
        </w:rPr>
      </w:pPr>
      <w:r w:rsidRPr="00E91F8F">
        <w:rPr>
          <w:b/>
          <w:sz w:val="28"/>
          <w:szCs w:val="28"/>
          <w:lang w:val="ru-RU"/>
        </w:rPr>
        <w:t>ЛОКАЛЬНИЙ КЛІНІЧНИЙ ПРОТОКОЛ</w:t>
      </w:r>
    </w:p>
    <w:p w:rsidR="001E75D6" w:rsidRDefault="001E75D6" w:rsidP="001E75D6">
      <w:pPr>
        <w:pStyle w:val="3"/>
        <w:shd w:val="clear" w:color="auto" w:fill="auto"/>
        <w:spacing w:line="480" w:lineRule="auto"/>
        <w:ind w:firstLine="0"/>
        <w:rPr>
          <w:b/>
          <w:sz w:val="28"/>
          <w:szCs w:val="28"/>
        </w:rPr>
      </w:pPr>
      <w:r w:rsidRPr="005D4332">
        <w:rPr>
          <w:b/>
          <w:sz w:val="28"/>
          <w:szCs w:val="28"/>
        </w:rPr>
        <w:t xml:space="preserve">НАДАННЯ МЕДИЧНОЇ ДОПОМОГИ ХВОРИМ ІЗ </w:t>
      </w:r>
      <w:r>
        <w:rPr>
          <w:b/>
          <w:sz w:val="28"/>
          <w:szCs w:val="28"/>
          <w:lang w:val="ru-RU"/>
        </w:rPr>
        <w:t>ЦУКРОВИМ ДІАБЕТОМ 1 ТИПУ</w:t>
      </w:r>
      <w:r w:rsidRPr="005D4332">
        <w:rPr>
          <w:b/>
          <w:sz w:val="28"/>
          <w:szCs w:val="28"/>
        </w:rPr>
        <w:t xml:space="preserve"> </w:t>
      </w:r>
    </w:p>
    <w:p w:rsidR="001E75D6" w:rsidRDefault="001E75D6" w:rsidP="001E75D6">
      <w:pPr>
        <w:pStyle w:val="3"/>
        <w:shd w:val="clear" w:color="auto" w:fill="auto"/>
        <w:spacing w:line="480" w:lineRule="auto"/>
        <w:ind w:firstLine="0"/>
        <w:rPr>
          <w:b/>
        </w:rPr>
      </w:pPr>
    </w:p>
    <w:p w:rsidR="001E75D6" w:rsidRPr="000919EB" w:rsidRDefault="001E75D6" w:rsidP="001E75D6">
      <w:pPr>
        <w:pStyle w:val="3"/>
        <w:shd w:val="clear" w:color="auto" w:fill="auto"/>
        <w:spacing w:line="480" w:lineRule="auto"/>
        <w:ind w:firstLine="0"/>
        <w:jc w:val="both"/>
        <w:rPr>
          <w:sz w:val="28"/>
          <w:szCs w:val="28"/>
        </w:rPr>
      </w:pPr>
      <w:r w:rsidRPr="00F22126">
        <w:rPr>
          <w:sz w:val="28"/>
          <w:szCs w:val="28"/>
        </w:rPr>
        <w:t>На підставі</w:t>
      </w:r>
      <w:r w:rsidRPr="000919EB">
        <w:rPr>
          <w:sz w:val="28"/>
          <w:szCs w:val="28"/>
        </w:rPr>
        <w:t xml:space="preserve">  </w:t>
      </w:r>
      <w:r>
        <w:t xml:space="preserve">. </w:t>
      </w:r>
      <w:r>
        <w:fldChar w:fldCharType="begin"/>
      </w:r>
      <w:r>
        <w:instrText xml:space="preserve"> HYPERLINK "http://mtd.dec.gov.ua/images/dodatki/2014_1021_CD1_dor/2014_1021_nakaz_CD1_dor.pdf" \t "_blank" </w:instrText>
      </w:r>
      <w:r>
        <w:fldChar w:fldCharType="separate"/>
      </w:r>
      <w:r w:rsidRPr="001C353D">
        <w:rPr>
          <w:rStyle w:val="a5"/>
          <w:rFonts w:ascii="Arial" w:hAnsi="Arial" w:cs="Arial"/>
          <w:color w:val="auto"/>
          <w:sz w:val="18"/>
          <w:szCs w:val="18"/>
          <w:shd w:val="clear" w:color="auto" w:fill="FFFFFF"/>
        </w:rPr>
        <w:t>Наказ МОЗ України від 29.12.2014 № 1021</w:t>
      </w:r>
      <w:r>
        <w:rPr>
          <w:rStyle w:val="a5"/>
          <w:rFonts w:ascii="Arial" w:hAnsi="Arial" w:cs="Arial"/>
          <w:color w:val="auto"/>
          <w:sz w:val="18"/>
          <w:szCs w:val="18"/>
          <w:shd w:val="clear" w:color="auto" w:fill="FFFFFF"/>
        </w:rPr>
        <w:fldChar w:fldCharType="end"/>
      </w:r>
      <w:r w:rsidRPr="001C353D">
        <w:rPr>
          <w:rFonts w:ascii="Arial" w:hAnsi="Arial" w:cs="Arial"/>
          <w:sz w:val="18"/>
          <w:szCs w:val="18"/>
          <w:shd w:val="clear" w:color="auto" w:fill="FFFFFF"/>
        </w:rPr>
        <w:t xml:space="preserve"> "Про затвердження та впровадження медико-технологічних документів зі стандартизації медичної допомоги при цукровому діабеті 1 типу у молодих людей та </w:t>
      </w:r>
      <w:proofErr w:type="spellStart"/>
      <w:r w:rsidRPr="001C353D">
        <w:rPr>
          <w:rFonts w:ascii="Arial" w:hAnsi="Arial" w:cs="Arial"/>
          <w:sz w:val="18"/>
          <w:szCs w:val="18"/>
          <w:shd w:val="clear" w:color="auto" w:fill="FFFFFF"/>
        </w:rPr>
        <w:t>дорослих"</w:t>
      </w:r>
      <w:hyperlink r:id="rId6" w:tgtFrame="_blank" w:history="1">
        <w:r w:rsidRPr="000919EB">
          <w:rPr>
            <w:rStyle w:val="a5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Уніфікований</w:t>
        </w:r>
        <w:proofErr w:type="spellEnd"/>
        <w:r w:rsidRPr="000919EB">
          <w:rPr>
            <w:rStyle w:val="a5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 xml:space="preserve"> клінічний протокол первинної, екстреної, вторинної (спеціалізованої) та третинної (високоспеціалізованої) медичної допомоги «Цукровий діабет 1 типу у молодих людей та дорослих» </w:t>
        </w:r>
      </w:hyperlink>
    </w:p>
    <w:p w:rsidR="001E75D6" w:rsidRPr="00F22126" w:rsidRDefault="001E75D6" w:rsidP="001E75D6">
      <w:pPr>
        <w:pStyle w:val="3"/>
        <w:shd w:val="clear" w:color="auto" w:fill="auto"/>
        <w:spacing w:line="480" w:lineRule="auto"/>
        <w:ind w:firstLine="0"/>
        <w:jc w:val="both"/>
        <w:rPr>
          <w:b/>
          <w:sz w:val="28"/>
          <w:szCs w:val="28"/>
        </w:rPr>
      </w:pPr>
      <w:r w:rsidRPr="00F22126">
        <w:rPr>
          <w:b/>
          <w:sz w:val="28"/>
          <w:szCs w:val="28"/>
        </w:rPr>
        <w:t>Розробники: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Єрьоменко</w:t>
      </w:r>
      <w:proofErr w:type="spellEnd"/>
      <w:r>
        <w:rPr>
          <w:sz w:val="28"/>
          <w:szCs w:val="28"/>
        </w:rPr>
        <w:t xml:space="preserve"> Н.В.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Зав. відділенням діабетології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Солов’юк</w:t>
      </w:r>
      <w:proofErr w:type="spellEnd"/>
      <w:r>
        <w:rPr>
          <w:sz w:val="28"/>
          <w:szCs w:val="28"/>
        </w:rPr>
        <w:t xml:space="preserve"> О.О.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доцент кафедри внутрішніх </w:t>
      </w:r>
      <w:proofErr w:type="spellStart"/>
      <w:r>
        <w:rPr>
          <w:sz w:val="28"/>
          <w:szCs w:val="28"/>
        </w:rPr>
        <w:t>хвороб</w:t>
      </w:r>
      <w:proofErr w:type="spellEnd"/>
      <w:r>
        <w:rPr>
          <w:sz w:val="28"/>
          <w:szCs w:val="28"/>
        </w:rPr>
        <w:t xml:space="preserve"> 1 ЗДМУ, </w:t>
      </w:r>
      <w:proofErr w:type="spellStart"/>
      <w:r>
        <w:rPr>
          <w:sz w:val="28"/>
          <w:szCs w:val="28"/>
        </w:rPr>
        <w:t>к.мед.н</w:t>
      </w:r>
      <w:proofErr w:type="spellEnd"/>
      <w:r>
        <w:rPr>
          <w:sz w:val="28"/>
          <w:szCs w:val="28"/>
        </w:rPr>
        <w:t>.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r>
        <w:rPr>
          <w:sz w:val="28"/>
          <w:szCs w:val="28"/>
        </w:rPr>
        <w:t>Карпенко І.В.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заступник головного лікаря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Севумян</w:t>
      </w:r>
      <w:proofErr w:type="spellEnd"/>
      <w:r>
        <w:rPr>
          <w:sz w:val="28"/>
          <w:szCs w:val="28"/>
        </w:rPr>
        <w:t xml:space="preserve"> К.Ю.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лікар-ендокринолог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AE52A2" w:rsidRPr="008F268D" w:rsidRDefault="00AE52A2" w:rsidP="00946507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  <w:shd w:val="clear" w:color="auto" w:fill="FFFFFF"/>
          <w:lang w:val="ru-RU"/>
        </w:rPr>
      </w:pPr>
      <w:bookmarkStart w:id="0" w:name="_GoBack"/>
      <w:bookmarkEnd w:id="0"/>
      <w:r w:rsidRPr="00946507">
        <w:rPr>
          <w:rFonts w:ascii="Times New Roman" w:hAnsi="Times New Roman"/>
          <w:b/>
          <w:sz w:val="20"/>
          <w:szCs w:val="20"/>
          <w:shd w:val="clear" w:color="auto" w:fill="FFFFFF"/>
        </w:rPr>
        <w:lastRenderedPageBreak/>
        <w:t xml:space="preserve">Діагноз: </w:t>
      </w:r>
      <w:r>
        <w:rPr>
          <w:rFonts w:ascii="Times New Roman" w:hAnsi="Times New Roman"/>
          <w:b/>
          <w:sz w:val="20"/>
          <w:szCs w:val="20"/>
          <w:shd w:val="clear" w:color="auto" w:fill="FFFFFF"/>
        </w:rPr>
        <w:t>Цукровий діабет тип 1</w:t>
      </w:r>
      <w:r w:rsidRPr="008F268D">
        <w:rPr>
          <w:rFonts w:ascii="Times New Roman" w:hAnsi="Times New Roman"/>
          <w:b/>
          <w:sz w:val="20"/>
          <w:szCs w:val="20"/>
          <w:shd w:val="clear" w:color="auto" w:fill="FFFFFF"/>
          <w:lang w:val="ru-RU"/>
        </w:rPr>
        <w:t xml:space="preserve">                                                              </w:t>
      </w:r>
    </w:p>
    <w:p w:rsidR="00AE52A2" w:rsidRPr="00946507" w:rsidRDefault="00AE52A2" w:rsidP="00946507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946507">
        <w:rPr>
          <w:rFonts w:ascii="Times New Roman" w:hAnsi="Times New Roman"/>
          <w:b/>
          <w:sz w:val="20"/>
          <w:szCs w:val="20"/>
        </w:rPr>
        <w:t xml:space="preserve">Код МКХ-10:  </w:t>
      </w:r>
      <w:r>
        <w:rPr>
          <w:rFonts w:ascii="Times New Roman" w:hAnsi="Times New Roman"/>
          <w:b/>
          <w:sz w:val="20"/>
          <w:szCs w:val="20"/>
        </w:rPr>
        <w:t>Е10</w:t>
      </w:r>
    </w:p>
    <w:p w:rsidR="00AE52A2" w:rsidRPr="00946507" w:rsidRDefault="00AE52A2" w:rsidP="00946507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  <w:lang w:val="ru-RU"/>
        </w:rPr>
      </w:pPr>
    </w:p>
    <w:p w:rsidR="00AE52A2" w:rsidRPr="00946507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b/>
          <w:caps/>
          <w:sz w:val="20"/>
          <w:szCs w:val="20"/>
          <w:shd w:val="clear" w:color="auto" w:fill="FFFFFF"/>
        </w:rPr>
      </w:pPr>
      <w:r w:rsidRPr="008F268D">
        <w:rPr>
          <w:rFonts w:ascii="Times New Roman" w:hAnsi="Times New Roman"/>
          <w:b/>
          <w:spacing w:val="-10"/>
          <w:sz w:val="20"/>
          <w:szCs w:val="20"/>
          <w:shd w:val="clear" w:color="auto" w:fill="FFFFFF"/>
          <w:lang w:val="ru-RU"/>
        </w:rPr>
        <w:t xml:space="preserve">                                              </w:t>
      </w:r>
      <w:r w:rsidRPr="00946507">
        <w:rPr>
          <w:rFonts w:ascii="Times New Roman" w:hAnsi="Times New Roman"/>
          <w:b/>
          <w:spacing w:val="-10"/>
          <w:sz w:val="20"/>
          <w:szCs w:val="20"/>
          <w:shd w:val="clear" w:color="auto" w:fill="FFFFFF"/>
        </w:rPr>
        <w:t>ЛОКАЛЬНИЙ КЛІНІЧНИЙ ПРОТОКОЛ  МЕДИЧНОЇ ДОПОМОГИ</w:t>
      </w:r>
    </w:p>
    <w:p w:rsidR="00AE52A2" w:rsidRPr="00946507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b/>
          <w:caps/>
          <w:spacing w:val="-10"/>
          <w:sz w:val="20"/>
          <w:szCs w:val="20"/>
          <w:shd w:val="clear" w:color="auto" w:fill="FFFFFF"/>
        </w:rPr>
      </w:pPr>
      <w:r w:rsidRPr="00946507">
        <w:rPr>
          <w:rFonts w:ascii="Times New Roman" w:hAnsi="Times New Roman"/>
          <w:b/>
          <w:caps/>
          <w:spacing w:val="-10"/>
          <w:sz w:val="20"/>
          <w:szCs w:val="20"/>
          <w:shd w:val="clear" w:color="auto" w:fill="FFFFFF"/>
        </w:rPr>
        <w:t xml:space="preserve">Діагноз:  </w:t>
      </w:r>
      <w:r>
        <w:rPr>
          <w:rFonts w:ascii="Times New Roman" w:hAnsi="Times New Roman"/>
          <w:b/>
          <w:sz w:val="20"/>
          <w:szCs w:val="20"/>
          <w:shd w:val="clear" w:color="auto" w:fill="FFFFFF"/>
        </w:rPr>
        <w:t>Цукровий діабет тип 1</w:t>
      </w:r>
    </w:p>
    <w:p w:rsidR="00AE52A2" w:rsidRPr="00946507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b/>
          <w:caps/>
          <w:spacing w:val="-10"/>
          <w:sz w:val="20"/>
          <w:szCs w:val="20"/>
          <w:shd w:val="clear" w:color="auto" w:fill="FFFFFF"/>
          <w:lang w:val="ru-RU"/>
        </w:rPr>
      </w:pPr>
    </w:p>
    <w:tbl>
      <w:tblPr>
        <w:tblW w:w="1488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4678"/>
        <w:gridCol w:w="993"/>
        <w:gridCol w:w="1842"/>
        <w:gridCol w:w="567"/>
        <w:gridCol w:w="1701"/>
        <w:gridCol w:w="1418"/>
        <w:gridCol w:w="1417"/>
      </w:tblGrid>
      <w:tr w:rsidR="00AE52A2" w:rsidRPr="002336F6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2336F6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Положення локального протоколу медичної допомоги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Необхідні дії відповідно до стандарту (уніфікованого клінічного протоколу)</w:t>
            </w:r>
          </w:p>
          <w:p w:rsidR="00AE52A2" w:rsidRPr="00946507" w:rsidRDefault="00AE52A2" w:rsidP="00946507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E52A2" w:rsidRPr="002336F6" w:rsidRDefault="00AE52A2" w:rsidP="00946507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2336F6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Строки виконання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2336F6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Виконавці (ЗОЗ, структурний підрозділ закладу, посада, ПІБ, телефон)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2336F6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Індикатори якості медичної допомоги</w:t>
            </w:r>
          </w:p>
        </w:tc>
      </w:tr>
      <w:tr w:rsidR="00AE52A2" w:rsidRPr="002336F6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1.Організаційні вимоги по веденню пацієнта (згідно УКПМД)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1) своєчасна діагностика</w:t>
            </w:r>
          </w:p>
          <w:p w:rsidR="00AE52A2" w:rsidRPr="00946507" w:rsidRDefault="00AE52A2" w:rsidP="009465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 xml:space="preserve">2) Надання медичної допомоги згідно УКПМД </w:t>
            </w:r>
          </w:p>
          <w:p w:rsidR="00AE52A2" w:rsidRPr="00946507" w:rsidRDefault="00AE52A2" w:rsidP="009465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1д</w:t>
            </w:r>
            <w:r>
              <w:rPr>
                <w:rFonts w:ascii="Times New Roman" w:hAnsi="Times New Roman"/>
                <w:sz w:val="20"/>
                <w:szCs w:val="20"/>
              </w:rPr>
              <w:t>ень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діаб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Єрьоменко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 Н.В.,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Лікарі ендокринологи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Севумян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К. Ю.</w:t>
            </w:r>
          </w:p>
          <w:p w:rsidR="00E026C4" w:rsidRPr="00D940EB" w:rsidRDefault="00E026C4" w:rsidP="00E026C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Кост</w:t>
            </w:r>
            <w:proofErr w:type="gramStart"/>
            <w:r w:rsidRPr="00D940EB"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на Т.К.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769-81-72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766-35-05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енд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Фещук І.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О</w:t>
            </w:r>
            <w:r w:rsidRPr="00D940EB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Лікар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-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ендокрин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Соловьюк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 О.А.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766-36-89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КДЛ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Зав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в</w:t>
            </w:r>
            <w:proofErr w:type="gramStart"/>
            <w:r w:rsidR="00FD7373">
              <w:rPr>
                <w:rFonts w:ascii="Times New Roman" w:hAnsi="Times New Roman"/>
                <w:sz w:val="16"/>
                <w:szCs w:val="16"/>
                <w:lang w:val="ru-RU"/>
              </w:rPr>
              <w:t>i</w:t>
            </w:r>
            <w:proofErr w:type="gram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д</w:t>
            </w:r>
            <w:proofErr w:type="spellEnd"/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Москаленко С.О.</w:t>
            </w:r>
          </w:p>
          <w:p w:rsidR="00E026C4" w:rsidRPr="00FD7373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Лікарі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лаборант</w:t>
            </w:r>
            <w:r w:rsidR="00FD7373">
              <w:rPr>
                <w:rFonts w:ascii="Times New Roman" w:hAnsi="Times New Roman"/>
                <w:sz w:val="16"/>
                <w:szCs w:val="16"/>
                <w:lang w:val="ru-RU"/>
              </w:rPr>
              <w:t>и</w:t>
            </w:r>
            <w:proofErr w:type="spellEnd"/>
          </w:p>
          <w:p w:rsidR="00AE52A2" w:rsidRPr="00D940EB" w:rsidRDefault="00E026C4" w:rsidP="00D940EB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766-35-24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1C353D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353D">
              <w:rPr>
                <w:rFonts w:ascii="Times New Roman" w:hAnsi="Times New Roman"/>
                <w:sz w:val="20"/>
                <w:szCs w:val="20"/>
              </w:rPr>
              <w:t>1.</w:t>
            </w:r>
            <w:r w:rsidRPr="001C353D">
              <w:rPr>
                <w:rFonts w:ascii="Times New Roman" w:hAnsi="Times New Roman"/>
                <w:sz w:val="20"/>
                <w:szCs w:val="20"/>
              </w:rPr>
              <w:tab/>
              <w:t>Наявність локального протоколу надання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медичної допомоги пацієнту з </w:t>
            </w:r>
            <w:r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>Цукровий діабет тип 1</w:t>
            </w:r>
          </w:p>
        </w:tc>
      </w:tr>
      <w:tr w:rsidR="00FD7373" w:rsidRPr="002336F6" w:rsidTr="00FD7373">
        <w:trPr>
          <w:cantSplit/>
          <w:trHeight w:val="1384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946507" w:rsidRDefault="00FD7373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2. Діагностика</w:t>
            </w:r>
          </w:p>
        </w:tc>
        <w:tc>
          <w:tcPr>
            <w:tcW w:w="46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1446B6" w:rsidRDefault="00FD7373" w:rsidP="00806167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</w:rPr>
            </w:pPr>
            <w:r w:rsidRPr="001446B6">
              <w:rPr>
                <w:rFonts w:ascii="Times New Roman" w:hAnsi="Times New Roman"/>
                <w:sz w:val="18"/>
                <w:szCs w:val="18"/>
              </w:rPr>
              <w:t>1. Провести уточнену лабораторну діагностику;</w:t>
            </w:r>
          </w:p>
          <w:p w:rsidR="00FD7373" w:rsidRPr="001446B6" w:rsidRDefault="00FD7373" w:rsidP="00806167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</w:rPr>
            </w:pPr>
            <w:r w:rsidRPr="001446B6">
              <w:rPr>
                <w:rFonts w:ascii="Times New Roman" w:hAnsi="Times New Roman"/>
                <w:sz w:val="18"/>
                <w:szCs w:val="18"/>
              </w:rPr>
              <w:t>2. Провести поглиблену диференціальну діагностику ЦД-1 у відповідності до критеріїв;</w:t>
            </w:r>
          </w:p>
          <w:p w:rsidR="00FD7373" w:rsidRPr="001446B6" w:rsidRDefault="00FD7373" w:rsidP="00806167">
            <w:pPr>
              <w:pStyle w:val="a9"/>
              <w:spacing w:before="0" w:after="0"/>
              <w:ind w:firstLine="0"/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946507" w:rsidRDefault="00FD7373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день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діаб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. від. Зав.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діаб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. від.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Єрьоменко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 Н.В.,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 xml:space="preserve">Лікарі ендокринологи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Севумян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К. Ю.</w:t>
            </w:r>
          </w:p>
          <w:p w:rsidR="00FD7373" w:rsidRPr="00D940EB" w:rsidRDefault="00FD7373" w:rsidP="00E026C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proofErr w:type="spellStart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Кост</w:t>
            </w:r>
            <w:proofErr w:type="gramStart"/>
            <w:r w:rsidRPr="00D940EB">
              <w:rPr>
                <w:rFonts w:ascii="Times New Roman" w:hAnsi="Times New Roman"/>
                <w:sz w:val="17"/>
                <w:szCs w:val="17"/>
                <w:lang w:val="en-US"/>
              </w:rPr>
              <w:t>i</w:t>
            </w:r>
            <w:proofErr w:type="spellEnd"/>
            <w:proofErr w:type="gramEnd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на Т.К.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769-81-72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766-35-05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енд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. від. 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>Фещук І.</w:t>
            </w: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О</w:t>
            </w:r>
            <w:r w:rsidRPr="00D940EB">
              <w:rPr>
                <w:rFonts w:ascii="Times New Roman" w:hAnsi="Times New Roman"/>
                <w:sz w:val="17"/>
                <w:szCs w:val="17"/>
              </w:rPr>
              <w:t>.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>Лікар</w:t>
            </w: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-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ендокрин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.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Соловьюк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 О.А.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766-36-89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КДЛ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Зав в</w:t>
            </w:r>
            <w:proofErr w:type="spellStart"/>
            <w:proofErr w:type="gramStart"/>
            <w:r w:rsidRPr="00D940EB">
              <w:rPr>
                <w:rFonts w:ascii="Times New Roman" w:hAnsi="Times New Roman"/>
                <w:sz w:val="17"/>
                <w:szCs w:val="17"/>
                <w:lang w:val="en-US"/>
              </w:rPr>
              <w:t>i</w:t>
            </w:r>
            <w:proofErr w:type="spellEnd"/>
            <w:proofErr w:type="gramEnd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д</w:t>
            </w:r>
          </w:p>
          <w:p w:rsidR="00FD7373" w:rsidRPr="00D940EB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Москаленко С.О.</w:t>
            </w:r>
          </w:p>
          <w:p w:rsidR="00FD7373" w:rsidRPr="00FD7373" w:rsidRDefault="00FD7373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>Лікарі</w:t>
            </w: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,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лаборант</w:t>
            </w:r>
            <w:r>
              <w:rPr>
                <w:rFonts w:ascii="Times New Roman" w:hAnsi="Times New Roman"/>
                <w:sz w:val="17"/>
                <w:szCs w:val="17"/>
                <w:lang w:val="ru-RU"/>
              </w:rPr>
              <w:t>и</w:t>
            </w:r>
            <w:proofErr w:type="spellEnd"/>
          </w:p>
          <w:p w:rsidR="00FD7373" w:rsidRPr="00D940EB" w:rsidRDefault="00FD7373" w:rsidP="00D940EB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766-35-24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  <w:textDirection w:val="btLr"/>
          </w:tcPr>
          <w:p w:rsidR="00FD7373" w:rsidRPr="00806167" w:rsidRDefault="00FD7373" w:rsidP="002050D9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</w:tcPr>
          <w:p w:rsidR="00FD7373" w:rsidRPr="00806167" w:rsidRDefault="00FD7373" w:rsidP="00FD7373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  <w:r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  <w:t>Див додаток 2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textDirection w:val="btLr"/>
          </w:tcPr>
          <w:p w:rsidR="00FD7373" w:rsidRPr="00806167" w:rsidRDefault="00FD7373" w:rsidP="00806167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</w:tcPr>
          <w:p w:rsidR="00FD7373" w:rsidRPr="00806167" w:rsidRDefault="00FD7373" w:rsidP="00806167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</w:p>
        </w:tc>
      </w:tr>
      <w:tr w:rsidR="00FD7373" w:rsidRPr="002336F6" w:rsidTr="00FD7373">
        <w:trPr>
          <w:trHeight w:val="353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946507" w:rsidRDefault="00FD7373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1446B6" w:rsidRDefault="00FD7373" w:rsidP="00806167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946507" w:rsidRDefault="00FD7373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D940EB" w:rsidRDefault="00FD7373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tcBorders>
              <w:lef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7373" w:rsidRPr="001446B6" w:rsidRDefault="00FD7373" w:rsidP="00806167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FD7373" w:rsidRPr="001446B6" w:rsidRDefault="00FD7373" w:rsidP="00806167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D940EB" w:rsidRPr="002336F6" w:rsidTr="00FD7373">
        <w:trPr>
          <w:trHeight w:val="1277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946507" w:rsidRDefault="00D940EB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1446B6" w:rsidRDefault="00D940EB" w:rsidP="00806167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946507" w:rsidRDefault="00D940EB" w:rsidP="0080616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D940EB" w:rsidRDefault="00D940EB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40EB" w:rsidRPr="001446B6" w:rsidRDefault="00D940EB" w:rsidP="00D940EB">
            <w:pPr>
              <w:pStyle w:val="a"/>
              <w:numPr>
                <w:ilvl w:val="0"/>
                <w:numId w:val="0"/>
              </w:numPr>
              <w:ind w:left="-340"/>
              <w:jc w:val="center"/>
              <w:rPr>
                <w:rStyle w:val="aa"/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E52A2" w:rsidRPr="002336F6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3.Лікування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D11186" w:rsidRDefault="00AE52A2" w:rsidP="000362FF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Здійснювати коригування індивідуального плану лікування. Оцінити індивідуальний план лікування пацієнта з ЦД тип 1 та визначити причини </w:t>
            </w:r>
            <w:r w:rsidRPr="00D11186">
              <w:rPr>
                <w:rFonts w:ascii="Times New Roman" w:hAnsi="Times New Roman"/>
                <w:sz w:val="18"/>
                <w:szCs w:val="18"/>
              </w:rPr>
              <w:lastRenderedPageBreak/>
              <w:t>неефективності призначеного лікування. Розробити чи скоригувати індивідуальний план лікування</w:t>
            </w:r>
          </w:p>
          <w:p w:rsidR="00D940EB" w:rsidRPr="00FD7373" w:rsidRDefault="00AE52A2" w:rsidP="00D940EB">
            <w:pPr>
              <w:spacing w:after="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Лікар-ендокринолог призначає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інсулінотерапію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в умовах спеціалізованого стаціонару. </w:t>
            </w:r>
          </w:p>
          <w:p w:rsidR="00AE52A2" w:rsidRPr="00D11186" w:rsidRDefault="00AE52A2" w:rsidP="00D940EB">
            <w:pPr>
              <w:spacing w:after="0"/>
              <w:ind w:firstLine="70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Пацієнтам з ЦД-1 пероральні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цукрознижуючі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препарати призначати не потрібно.</w:t>
            </w:r>
          </w:p>
          <w:p w:rsidR="00AE52A2" w:rsidRPr="00D11186" w:rsidRDefault="00AE52A2" w:rsidP="00D940EB">
            <w:pPr>
              <w:pStyle w:val="a9"/>
              <w:spacing w:before="0" w:after="0"/>
              <w:rPr>
                <w:sz w:val="18"/>
                <w:szCs w:val="18"/>
              </w:rPr>
            </w:pPr>
            <w:r w:rsidRPr="00D11186">
              <w:rPr>
                <w:sz w:val="18"/>
                <w:szCs w:val="18"/>
              </w:rPr>
              <w:t>При первинному встановленні діагнозу ЦД-1 запропонувати пацієнту стаціонарне лікування, а також комплексний обсяг допомоги при лікуванні діабету та, за можливості, цілодобовий доступ до консультацій.</w:t>
            </w:r>
          </w:p>
          <w:p w:rsidR="00AE52A2" w:rsidRPr="00D11186" w:rsidRDefault="00AE52A2" w:rsidP="00D940EB">
            <w:pPr>
              <w:pStyle w:val="a9"/>
              <w:spacing w:before="0" w:after="0"/>
              <w:rPr>
                <w:sz w:val="18"/>
                <w:szCs w:val="18"/>
              </w:rPr>
            </w:pPr>
            <w:r w:rsidRPr="00D11186">
              <w:rPr>
                <w:sz w:val="18"/>
                <w:szCs w:val="18"/>
              </w:rPr>
              <w:t xml:space="preserve">. Призначити пацієнту </w:t>
            </w:r>
            <w:proofErr w:type="spellStart"/>
            <w:r w:rsidRPr="00D11186">
              <w:rPr>
                <w:sz w:val="18"/>
                <w:szCs w:val="18"/>
              </w:rPr>
              <w:t>інсулінотерапію</w:t>
            </w:r>
            <w:proofErr w:type="spellEnd"/>
            <w:r w:rsidRPr="00D11186">
              <w:rPr>
                <w:sz w:val="18"/>
                <w:szCs w:val="18"/>
              </w:rPr>
              <w:t xml:space="preserve"> на засадах </w:t>
            </w:r>
            <w:proofErr w:type="spellStart"/>
            <w:r w:rsidRPr="00D11186">
              <w:rPr>
                <w:sz w:val="18"/>
                <w:szCs w:val="18"/>
              </w:rPr>
              <w:t>індивідуальноі</w:t>
            </w:r>
            <w:proofErr w:type="spellEnd"/>
            <w:r w:rsidRPr="00D11186">
              <w:rPr>
                <w:sz w:val="18"/>
                <w:szCs w:val="18"/>
              </w:rPr>
              <w:t xml:space="preserve"> схеми багаторазових щоденних ін'єкцій (інтенсифікованої базис-</w:t>
            </w:r>
            <w:proofErr w:type="spellStart"/>
            <w:r w:rsidRPr="00D11186">
              <w:rPr>
                <w:sz w:val="18"/>
                <w:szCs w:val="18"/>
              </w:rPr>
              <w:t>болюсної</w:t>
            </w:r>
            <w:proofErr w:type="spellEnd"/>
            <w:r w:rsidRPr="00D11186">
              <w:rPr>
                <w:sz w:val="18"/>
                <w:szCs w:val="18"/>
              </w:rPr>
              <w:t xml:space="preserve"> схеми). 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Здійснювати вибір методу введення інсуліну, враховуючи потреби та особисті вподобання пацієнта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1. Ін'єкції інсуліну на час прийому їжі мають забезпечуватися у вигляді ін'єкції немодифікованого (розчинного) інсуліну або аналогів швидкодіючого інсуліну перед основними прийомами їжі.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2. Аналоги інсуліну швидкої дії слід використовувати в якості альтернативи немодифікованому інсуліну: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А) за наявності нічної чи пізньої гіпоглікемії між прийомами їжі;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Б) у тих, у кого вони дозволяють досягти цільового рівня контролю глюкози в крові без перекусів між основними прийомами їжі і це є необхідним або бажаним.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3. Базове постачання інсуліну (в тому числі нічного інсуліну) повинно забезпечуватися шляхом використання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ізофан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-інсуліну (НПХ) або аналогів інсуліну тривалої дії (інсуліну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гларгіну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).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Ізофан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-інсулін (НПХ) слід вводити в години сну. Якщо дози аналога інсуліну швидкої дії, що вводиться під час їжі або опівдні, недостатньо - необхідно розглянути введення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ізофан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-інсуліну (НПХ) двічі на день (або частіше). 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4. Аналоги інсуліну тривалої дії (інсуліну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гларгін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>) слід застосовувати в наступних випадках: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А) нічна гіпоглікемія є проблемою на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ізофан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-інсуліні (НПХ); 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Б) вранішня гіперглікемія на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ізофан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>-інсуліні (НПХ) призводить до складного контролю денної глюкози в крові;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В) швидкодіючі препарати інсуліну використовуються для контролю рівня глюкози в крові під час прийому їжі.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5. Схеми інсуліну двічі на день повинні використовуватися тими пацієнтами, які вважають кількість щоденних ін'єкцій важливим питанням якості життя: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lastRenderedPageBreak/>
              <w:t>А) двофазні препарати інсуліну (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премікси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>) часто є препаратами вибору в цих обставинах;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Б)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премікс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>, двофазний аналог інсуліну швидкої дії може дати користь тим, хто схильний до гіпоглікемії в нічний час;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В) такі схеми два рази на день можуть також допомогти тим, кому складно дотримуватись часу обідньої ін'єкції інсуліну, а також пацієнтам з труднощами в навчанні, яким може знадобитися від інших допомога.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6. При значних змінах з дня на день типу харчування і фізичної активності з причин умов праці та відпочинку, потрібен ретельний і детальний моніторинг їх самоконтролю і схем ін'єкцій інсуліну. Є потреба у розгляді незвичайних типів і комбінацій всіх необхідних препаратів.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7. У пацієнтів, у яких передбачаються періоди голодування або сну після їжі (наприклад, під час релігійних свят і постів або після нічної зміни), необхідно розглянути аналог інсуліну швидкої дії перед їжею (за умови, що їжа не пролонгована).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8. У пацієнтів з хаотичним і важко передбачуваним контролем рівня глюкози в крові (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гіпер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>- і гіпоглікемія в будь-який час), а не зміною в раніше оптимізованій                                                                                                     схемі інсуліну, слід враховувати наступне: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А)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ресуспендування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інсуліну і техніку введення інсуліну;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Б) місця ін'єкцій;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В) навички самоконтролю;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Г) знання та навички самообслуговування;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Д) характер способу життя;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Е) психологічні та психосоціальні труднощі;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Є) можливі органічні причини, такі як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гастропарез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>.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9. Безперервна підшкірна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інфузія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інсуліну (або інсулінова помпа) рекомендується в якості варіанту за умови, що: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А)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мультидозоваінсулінотерапія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(включаючи, за необхідності, застосування інсуліну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гларгіну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>) була не вдалою;</w:t>
            </w:r>
          </w:p>
          <w:p w:rsidR="00AE52A2" w:rsidRPr="00D11186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Б) пацієнт ставиться відповідально і компетентно до лікування.</w:t>
            </w:r>
          </w:p>
          <w:p w:rsidR="00AE52A2" w:rsidRPr="00D11186" w:rsidRDefault="00AE52A2" w:rsidP="00EA24F5">
            <w:pPr>
              <w:pStyle w:val="a9"/>
              <w:spacing w:before="0" w:after="0"/>
              <w:rPr>
                <w:sz w:val="18"/>
                <w:szCs w:val="18"/>
              </w:rPr>
            </w:pPr>
            <w:r w:rsidRPr="00D11186">
              <w:rPr>
                <w:sz w:val="18"/>
                <w:szCs w:val="18"/>
              </w:rPr>
              <w:t>Навчити пацієнта та перевірити практичні навички в проведенні ін’єкцій інсуліну та умови зберігання препаратів інсуліну в домашніх умовах.</w:t>
            </w:r>
          </w:p>
          <w:p w:rsidR="00AE52A2" w:rsidRPr="00FD7373" w:rsidRDefault="00AE52A2" w:rsidP="00EA24F5">
            <w:pPr>
              <w:pStyle w:val="a9"/>
              <w:spacing w:before="0" w:after="0"/>
              <w:ind w:firstLine="0"/>
              <w:rPr>
                <w:sz w:val="18"/>
                <w:szCs w:val="18"/>
              </w:rPr>
            </w:pPr>
            <w:r w:rsidRPr="00D11186">
              <w:rPr>
                <w:sz w:val="18"/>
                <w:szCs w:val="18"/>
              </w:rPr>
              <w:t xml:space="preserve"> Попередити про загрозу гіпоглікемії, проінформувати про симптоми гіпоглікемії, про методи її попередження та усунення.</w:t>
            </w:r>
          </w:p>
          <w:p w:rsidR="00AE52A2" w:rsidRPr="001446B6" w:rsidRDefault="00AE52A2" w:rsidP="009212F3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Призначити заходи з самоконтролю ГК. Призначити дієтотерапію. Визначити кількість хлібних одиниць для </w:t>
            </w:r>
            <w:r w:rsidRPr="00D11186">
              <w:rPr>
                <w:rFonts w:ascii="Times New Roman" w:hAnsi="Times New Roman"/>
                <w:sz w:val="18"/>
                <w:szCs w:val="18"/>
              </w:rPr>
              <w:lastRenderedPageBreak/>
              <w:t>можливості проведення взаємозаміни продуктів Поінформувати пацієнта про те, що він може відчувати тимчасову часткову фазу ремісії (або «медовий місяць»), впродовж якої низької дози інсуліну (менше 0,5 од/кг ваги тіла на день) може бути достатньо для підтримки рівня HbA</w:t>
            </w:r>
            <w:r w:rsidRPr="00D11186">
              <w:rPr>
                <w:rFonts w:ascii="Times New Roman" w:hAnsi="Times New Roman"/>
                <w:sz w:val="18"/>
                <w:szCs w:val="18"/>
                <w:vertAlign w:val="subscript"/>
              </w:rPr>
              <w:t>1c</w:t>
            </w: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менше 7%. Вжити заходів з психосоціальної </w:t>
            </w:r>
            <w:r w:rsidR="009212F3">
              <w:rPr>
                <w:rFonts w:ascii="Times New Roman" w:hAnsi="Times New Roman"/>
                <w:sz w:val="18"/>
                <w:szCs w:val="18"/>
                <w:lang w:val="ru-RU"/>
              </w:rPr>
              <w:t>а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даптації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пацієнтів з ЦД-1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lastRenderedPageBreak/>
              <w:t>10-12 днів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діаб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Єрьоменко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 Н.В.,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Лікарі ендокринологи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lastRenderedPageBreak/>
              <w:t>Севумян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К. Ю.</w:t>
            </w:r>
          </w:p>
          <w:p w:rsidR="00E026C4" w:rsidRPr="00D940EB" w:rsidRDefault="00E026C4" w:rsidP="00E026C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Кост</w:t>
            </w:r>
            <w:proofErr w:type="gramStart"/>
            <w:r w:rsidRPr="00D940EB"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на Т.К.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769-81-72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766-35-05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енд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Фещук І.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О</w:t>
            </w:r>
            <w:r w:rsidRPr="00D940EB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Лікар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-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ендокрин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Соловьюк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 О.А.</w:t>
            </w:r>
          </w:p>
          <w:p w:rsidR="00E026C4" w:rsidRPr="00D940EB" w:rsidRDefault="00E026C4" w:rsidP="00E026C4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766-36-89</w:t>
            </w:r>
          </w:p>
          <w:p w:rsidR="00AE52A2" w:rsidRPr="00D940EB" w:rsidRDefault="00AE52A2" w:rsidP="00FD7373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D11186" w:rsidRDefault="00AE52A2" w:rsidP="00464ED5">
            <w:pPr>
              <w:ind w:firstLine="53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Основними завданнями індивідуального плану лікування пацієнтів з ЦД 1 типу є адекватна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інсулінотерапія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Pr="00D11186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корекція харчування, дозовані фізичні навантаження, відмова від шкідливих звичок, самоконтроль ГК та навчання. Метою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інсулінотерапії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є досягнення найкращого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глікемічного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контролю без частих або тяжких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гіпо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- та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гіперглікемій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.                                                                                                                          1. Метою довготривалого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глікемічного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контролю є рівень HbA</w:t>
            </w:r>
            <w:r w:rsidRPr="00D11186">
              <w:rPr>
                <w:rFonts w:ascii="Times New Roman" w:hAnsi="Times New Roman"/>
                <w:sz w:val="18"/>
                <w:szCs w:val="18"/>
                <w:vertAlign w:val="subscript"/>
              </w:rPr>
              <w:t>1c</w:t>
            </w: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не більший ніж 7,0 % без частих випадків тяжкої гіпоглікемії та нічної гіпоглікемії. Контролювати рівень HbA</w:t>
            </w:r>
            <w:r w:rsidRPr="00D11186">
              <w:rPr>
                <w:rFonts w:ascii="Times New Roman" w:hAnsi="Times New Roman"/>
                <w:sz w:val="18"/>
                <w:szCs w:val="18"/>
                <w:vertAlign w:val="subscript"/>
              </w:rPr>
              <w:t xml:space="preserve">1c </w:t>
            </w:r>
            <w:r w:rsidRPr="00D11186">
              <w:rPr>
                <w:rFonts w:ascii="Times New Roman" w:hAnsi="Times New Roman"/>
                <w:sz w:val="18"/>
                <w:szCs w:val="18"/>
              </w:rPr>
              <w:t>необхідно від 2-х до 4-х разів на рік (можливий більш частий контроль при тривалій декомпенсації вуглеводного обміну). Прагнення досягти низького рівня HbA</w:t>
            </w:r>
            <w:r w:rsidRPr="00D11186">
              <w:rPr>
                <w:rFonts w:ascii="Times New Roman" w:hAnsi="Times New Roman"/>
                <w:sz w:val="18"/>
                <w:szCs w:val="18"/>
                <w:vertAlign w:val="subscript"/>
              </w:rPr>
              <w:t>1c</w:t>
            </w: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може призвести до підвищеного ризику гіпоглікемії, а високий рівень HbA</w:t>
            </w:r>
            <w:r w:rsidRPr="00D11186">
              <w:rPr>
                <w:rFonts w:ascii="Times New Roman" w:hAnsi="Times New Roman"/>
                <w:sz w:val="18"/>
                <w:szCs w:val="18"/>
                <w:vertAlign w:val="subscript"/>
              </w:rPr>
              <w:t>1c</w:t>
            </w: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– до розвитку хронічних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мікросудинних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ускладнень. </w:t>
            </w:r>
          </w:p>
          <w:p w:rsidR="00AE52A2" w:rsidRPr="00D11186" w:rsidRDefault="00AE52A2" w:rsidP="00464ED5">
            <w:pPr>
              <w:ind w:firstLine="539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Оптимальною метою короткотривалого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глікемічного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контролю натще є рівень глюкози в крові 4-8 ммоль/л та після прийому їжі менше ніж 10 ммоль/л. Пацієнтів слід заохочувати проводити вимірювання глюкози в крові не менше 4-х разів на добу. Моніторинг глюкози в сечі менш ефективний. Пацієнтам, які використовують схеми багаторазових щоденних ін'єкцій, необхідно рекомендувати коригувати дозу інсуліну після вимірювання глюкози в крові до їжі, перед сном та іноді вночі Вимагати ведення щоденника самоконтролю рівня ГК для досягнення цільових параметрів компенсації вуглеводного обміну та зменшення частоти епізодів гіпоглікемії.</w:t>
            </w:r>
          </w:p>
          <w:p w:rsidR="00AE52A2" w:rsidRPr="00D11186" w:rsidRDefault="00AE52A2" w:rsidP="00C419F8">
            <w:pPr>
              <w:pStyle w:val="a9"/>
              <w:ind w:firstLine="540"/>
              <w:rPr>
                <w:sz w:val="18"/>
                <w:szCs w:val="18"/>
              </w:rPr>
            </w:pPr>
            <w:r w:rsidRPr="00D11186">
              <w:rPr>
                <w:sz w:val="18"/>
                <w:szCs w:val="18"/>
              </w:rPr>
              <w:t xml:space="preserve">    </w:t>
            </w:r>
            <w:r w:rsidRPr="00D11186">
              <w:rPr>
                <w:b/>
                <w:sz w:val="18"/>
                <w:szCs w:val="18"/>
              </w:rPr>
              <w:t>Форма № 027/о</w:t>
            </w:r>
            <w:r w:rsidRPr="00D11186">
              <w:rPr>
                <w:sz w:val="18"/>
                <w:szCs w:val="18"/>
              </w:rPr>
              <w:t xml:space="preserve"> – Виписка із медичної карти амбулаторного (стаціонарного) хворого (Форма № 027/о), затверджена наказом Міністерства охорони здоров’я України від 14 лютого 2012 року № 110 «Про затвердження форм первинної облікової документації та інструкцій щодо їх заповнення, що використовуються у закладах охорони здоров’я незалежно від форми власності та підпорядкування», зареєстрованого в Міністерстві юстиції України 28 квітня 2012 р. за № 669/20982.</w:t>
            </w:r>
          </w:p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E52A2" w:rsidRPr="002336F6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4.Рекомендації при виписці із стаціонару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FD7373" w:rsidRDefault="00FD7373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Диспансерне спостереження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  <w:p w:rsidR="00AE52A2" w:rsidRPr="00D11186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D1118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D11186">
              <w:rPr>
                <w:rFonts w:ascii="Times New Roman" w:hAnsi="Times New Roman"/>
                <w:sz w:val="18"/>
                <w:szCs w:val="18"/>
              </w:rPr>
              <w:t>Оцінити ступінь виконання пацієнтом раніше наданих рекомендацій та призначень, за необхідності – вносити корективи.</w:t>
            </w:r>
            <w:r w:rsidRPr="00D1118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</w:t>
            </w:r>
          </w:p>
          <w:p w:rsidR="00AE52A2" w:rsidRPr="00D11186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При недосягненні цільового рівня глікемії упевнитись, що пацієнт дотримується наданих призначень, та проконтролювати сформовані практичні навички.</w:t>
            </w:r>
            <w:r w:rsidRPr="00D1118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     </w:t>
            </w:r>
            <w:r w:rsidRPr="00D11186">
              <w:rPr>
                <w:rFonts w:ascii="Times New Roman" w:hAnsi="Times New Roman"/>
                <w:sz w:val="18"/>
                <w:szCs w:val="18"/>
              </w:rPr>
              <w:t>Проводити клінічний моніторинг рівня ГК (HbA1c) кожні 2-6 місяців, в залежності від досягнутого рівня контролю ГК, стабільності контролю рівня ГК, змінити дози інсуліну або схеми введення.</w:t>
            </w:r>
          </w:p>
          <w:p w:rsidR="00FD7373" w:rsidRPr="00FD7373" w:rsidRDefault="00AE52A2" w:rsidP="00FD7373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FD7373" w:rsidRPr="00FD7373">
              <w:rPr>
                <w:rFonts w:ascii="Times New Roman" w:hAnsi="Times New Roman"/>
                <w:sz w:val="18"/>
                <w:szCs w:val="18"/>
              </w:rPr>
              <w:t>Рекомендац</w:t>
            </w:r>
            <w:r w:rsidR="00FD7373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="00FD7373" w:rsidRPr="00FD7373">
              <w:rPr>
                <w:rFonts w:ascii="Times New Roman" w:hAnsi="Times New Roman"/>
                <w:sz w:val="18"/>
                <w:szCs w:val="18"/>
              </w:rPr>
              <w:t xml:space="preserve"> вузьких спец</w:t>
            </w:r>
            <w:proofErr w:type="spellStart"/>
            <w:r w:rsidR="00FD7373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r w:rsidR="00FD7373" w:rsidRPr="00FD7373">
              <w:rPr>
                <w:rFonts w:ascii="Times New Roman" w:hAnsi="Times New Roman"/>
                <w:sz w:val="18"/>
                <w:szCs w:val="18"/>
              </w:rPr>
              <w:t>ал</w:t>
            </w:r>
            <w:r w:rsidR="00FD7373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r w:rsidR="00FD7373" w:rsidRPr="00FD7373">
              <w:rPr>
                <w:rFonts w:ascii="Times New Roman" w:hAnsi="Times New Roman"/>
                <w:sz w:val="18"/>
                <w:szCs w:val="18"/>
              </w:rPr>
              <w:t>ст</w:t>
            </w:r>
            <w:r w:rsidR="00FD7373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="00FD7373" w:rsidRPr="00FD7373">
              <w:rPr>
                <w:rFonts w:ascii="Times New Roman" w:hAnsi="Times New Roman"/>
                <w:sz w:val="18"/>
                <w:szCs w:val="18"/>
              </w:rPr>
              <w:t xml:space="preserve">в. </w:t>
            </w:r>
          </w:p>
          <w:p w:rsidR="00AE52A2" w:rsidRPr="00D11186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постійно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2336F6" w:rsidRDefault="00AE52A2" w:rsidP="004F1CC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336F6">
              <w:rPr>
                <w:rFonts w:ascii="Times New Roman" w:hAnsi="Times New Roman"/>
                <w:sz w:val="20"/>
                <w:szCs w:val="20"/>
              </w:rPr>
              <w:t>Спостереженення</w:t>
            </w:r>
            <w:proofErr w:type="spellEnd"/>
            <w:r w:rsidRPr="002336F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FD7373" w:rsidRDefault="00A3355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Оптимальною метою короткотривалого </w:t>
            </w:r>
            <w:proofErr w:type="spellStart"/>
            <w:r w:rsidRPr="00D11186">
              <w:rPr>
                <w:rFonts w:ascii="Times New Roman" w:hAnsi="Times New Roman"/>
                <w:sz w:val="18"/>
                <w:szCs w:val="18"/>
              </w:rPr>
              <w:t>глікемічного</w:t>
            </w:r>
            <w:proofErr w:type="spellEnd"/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контролю натще є рівень глюкози в крові 4-8 ммоль/л та після прийому їжі менше ніж 10 ммоль/л.</w:t>
            </w:r>
          </w:p>
          <w:p w:rsidR="000F2D00" w:rsidRPr="000F2D00" w:rsidRDefault="000F2D00" w:rsidP="000F2D00">
            <w:pPr>
              <w:spacing w:after="0"/>
              <w:ind w:firstLine="709"/>
              <w:contextualSpacing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F2D00">
              <w:rPr>
                <w:rFonts w:ascii="Times New Roman" w:hAnsi="Times New Roman"/>
                <w:sz w:val="18"/>
                <w:szCs w:val="18"/>
              </w:rPr>
              <w:t xml:space="preserve">Пацієнти потребують щорічної оцінки ризику розвитку </w:t>
            </w:r>
            <w:proofErr w:type="spellStart"/>
            <w:r w:rsidRPr="000F2D00">
              <w:rPr>
                <w:rFonts w:ascii="Times New Roman" w:hAnsi="Times New Roman"/>
                <w:sz w:val="18"/>
                <w:szCs w:val="18"/>
              </w:rPr>
              <w:t>ангіопатії</w:t>
            </w:r>
            <w:proofErr w:type="spellEnd"/>
            <w:r w:rsidRPr="000F2D00">
              <w:rPr>
                <w:rFonts w:ascii="Times New Roman" w:hAnsi="Times New Roman"/>
                <w:sz w:val="18"/>
                <w:szCs w:val="18"/>
              </w:rPr>
              <w:t xml:space="preserve">. Ті, у кого встановлено підвищений ризик, повинні отримувати відповідні втручання і регулярно обстежуватися. Слід звернути увагу на </w:t>
            </w:r>
            <w:proofErr w:type="spellStart"/>
            <w:r w:rsidRPr="000F2D00">
              <w:rPr>
                <w:rFonts w:ascii="Times New Roman" w:hAnsi="Times New Roman"/>
                <w:sz w:val="18"/>
                <w:szCs w:val="18"/>
              </w:rPr>
              <w:t>мікроальбумінурію</w:t>
            </w:r>
            <w:proofErr w:type="spellEnd"/>
            <w:r w:rsidRPr="000F2D00">
              <w:rPr>
                <w:rFonts w:ascii="Times New Roman" w:hAnsi="Times New Roman"/>
                <w:sz w:val="18"/>
                <w:szCs w:val="18"/>
              </w:rPr>
              <w:t>, наявність ознак метаболічного синдрому, фактори умовного ризику (сімейний анамнез, порушення ліпідного профілю, підвищений артеріальний тиск, вживання тютюнових виробів).</w:t>
            </w:r>
          </w:p>
          <w:p w:rsidR="000F2D00" w:rsidRPr="000F2D00" w:rsidRDefault="000F2D00" w:rsidP="00FD7373">
            <w:pPr>
              <w:spacing w:after="0" w:line="240" w:lineRule="auto"/>
              <w:ind w:firstLine="709"/>
              <w:contextualSpacing/>
              <w:jc w:val="both"/>
              <w:rPr>
                <w:sz w:val="32"/>
                <w:szCs w:val="28"/>
              </w:rPr>
            </w:pPr>
            <w:r w:rsidRPr="000F2D00">
              <w:rPr>
                <w:rFonts w:ascii="Times New Roman" w:hAnsi="Times New Roman"/>
                <w:sz w:val="18"/>
                <w:szCs w:val="18"/>
              </w:rPr>
              <w:t xml:space="preserve">Пацієнти повинні щорічно обстежуватися з метою визначення ранніх маркерів уражень органів-мішеней, оцінювати стан очей, нирок, нервів, стоп і ураження артерій. За даними оцінки, їм необхідно запропонувати відповідні втручання і/або направлення, щоб зменшити прогресування </w:t>
            </w:r>
            <w:r w:rsidRPr="00FD7373">
              <w:rPr>
                <w:rFonts w:ascii="Times New Roman" w:hAnsi="Times New Roman"/>
                <w:sz w:val="18"/>
                <w:szCs w:val="18"/>
              </w:rPr>
              <w:t>таких хронічних ускладнень до несприятливих для здоров’я результатів, які впливають на якість життя.</w:t>
            </w:r>
          </w:p>
          <w:p w:rsidR="000F2D00" w:rsidRPr="000F2D00" w:rsidRDefault="000F2D00" w:rsidP="00BE231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E52A2" w:rsidRPr="002336F6" w:rsidTr="00D940E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5. Реабілітація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2336F6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2336F6">
              <w:rPr>
                <w:rFonts w:ascii="Times New Roman" w:hAnsi="Times New Roman"/>
                <w:sz w:val="20"/>
                <w:szCs w:val="20"/>
              </w:rPr>
              <w:t>Санаторно-курортне лікування(за відсутністю протипоказань)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 раз на рік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4F1CC2" w:rsidRDefault="008F268D" w:rsidP="00A3355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Реаб</w:t>
            </w:r>
            <w:proofErr w:type="gramStart"/>
            <w:r w:rsidR="00A33552"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="00A33552"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л</w:t>
            </w:r>
            <w:proofErr w:type="spellStart"/>
            <w:r w:rsidR="00A33552"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тац</w:t>
            </w:r>
            <w:r w:rsidR="00A33552"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йне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в</w:t>
            </w:r>
            <w:proofErr w:type="spellStart"/>
            <w:r w:rsidR="00A33552"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A33552"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дд</w:t>
            </w:r>
            <w:r w:rsidR="00A33552"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лення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санаторно-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курортних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заклад</w:t>
            </w:r>
            <w:proofErr w:type="spellStart"/>
            <w:r w:rsidR="00A33552"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в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E52A2" w:rsidRPr="002336F6" w:rsidTr="00D940EB">
        <w:trPr>
          <w:trHeight w:val="21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Default="004F1CC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6. </w:t>
            </w:r>
            <w:r w:rsidR="00AE52A2">
              <w:rPr>
                <w:rFonts w:ascii="Times New Roman" w:hAnsi="Times New Roman"/>
                <w:sz w:val="20"/>
                <w:szCs w:val="20"/>
              </w:rPr>
              <w:t>Профілактика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2336F6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2336F6">
              <w:rPr>
                <w:rFonts w:ascii="Times New Roman" w:hAnsi="Times New Roman"/>
                <w:sz w:val="20"/>
                <w:szCs w:val="20"/>
              </w:rPr>
              <w:t>Компенсація вуглеводного обміну (</w:t>
            </w:r>
            <w:proofErr w:type="spellStart"/>
            <w:r w:rsidRPr="002336F6">
              <w:rPr>
                <w:rFonts w:ascii="Times New Roman" w:hAnsi="Times New Roman"/>
                <w:sz w:val="20"/>
                <w:szCs w:val="20"/>
              </w:rPr>
              <w:t>НЬАІс</w:t>
            </w:r>
            <w:proofErr w:type="spellEnd"/>
            <w:r w:rsidRPr="002336F6">
              <w:rPr>
                <w:rFonts w:ascii="Times New Roman" w:hAnsi="Times New Roman"/>
                <w:sz w:val="20"/>
                <w:szCs w:val="20"/>
              </w:rPr>
              <w:t>&lt;7,5%).</w:t>
            </w:r>
          </w:p>
          <w:p w:rsidR="00AE52A2" w:rsidRPr="004F1CC2" w:rsidRDefault="00AE52A2" w:rsidP="00D852A7">
            <w:pPr>
              <w:spacing w:after="0" w:line="16" w:lineRule="atLeast"/>
              <w:ind w:right="-108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336F6">
              <w:rPr>
                <w:rFonts w:ascii="Times New Roman" w:hAnsi="Times New Roman"/>
                <w:sz w:val="20"/>
                <w:szCs w:val="20"/>
              </w:rPr>
              <w:t xml:space="preserve">Диспансерне спостереження </w:t>
            </w:r>
            <w:proofErr w:type="spellStart"/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>вузьких</w:t>
            </w:r>
            <w:proofErr w:type="spellEnd"/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спец</w:t>
            </w:r>
            <w:proofErr w:type="spellStart"/>
            <w:r w:rsid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>ал</w:t>
            </w:r>
            <w:proofErr w:type="spellStart"/>
            <w:r w:rsid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>ст</w:t>
            </w:r>
            <w:r w:rsid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>зг</w:t>
            </w:r>
            <w:r w:rsid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дно </w:t>
            </w:r>
            <w:proofErr w:type="spellStart"/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>наявност</w:t>
            </w:r>
            <w:r w:rsid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4F1CC2">
              <w:rPr>
                <w:rFonts w:ascii="Times New Roman" w:hAnsi="Times New Roman"/>
                <w:sz w:val="20"/>
                <w:szCs w:val="20"/>
                <w:lang w:val="ru-RU"/>
              </w:rPr>
              <w:t>ускладнень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946507" w:rsidRDefault="00AE52A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постійно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1CC2" w:rsidRPr="004F1CC2" w:rsidRDefault="00AE52A2" w:rsidP="004F1CC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F1CC2">
              <w:rPr>
                <w:rFonts w:ascii="Times New Roman" w:hAnsi="Times New Roman"/>
                <w:sz w:val="20"/>
                <w:szCs w:val="20"/>
              </w:rPr>
              <w:t xml:space="preserve">Лікар ендокринолог, </w:t>
            </w:r>
            <w:proofErr w:type="spellStart"/>
            <w:r w:rsidR="004F1CC2" w:rsidRPr="004F1CC2">
              <w:rPr>
                <w:rFonts w:ascii="Times New Roman" w:hAnsi="Times New Roman"/>
                <w:sz w:val="20"/>
                <w:szCs w:val="20"/>
              </w:rPr>
              <w:t>вузьк</w:t>
            </w:r>
            <w:r w:rsidR="004F1CC2"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="004F1CC2" w:rsidRPr="004F1CC2">
              <w:rPr>
                <w:rFonts w:ascii="Times New Roman" w:hAnsi="Times New Roman"/>
                <w:sz w:val="20"/>
                <w:szCs w:val="20"/>
              </w:rPr>
              <w:t xml:space="preserve"> спец</w:t>
            </w:r>
            <w:proofErr w:type="spellStart"/>
            <w:r w:rsidR="004F1CC2"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4F1CC2" w:rsidRPr="004F1CC2">
              <w:rPr>
                <w:rFonts w:ascii="Times New Roman" w:hAnsi="Times New Roman"/>
                <w:sz w:val="20"/>
                <w:szCs w:val="20"/>
              </w:rPr>
              <w:t>ал</w:t>
            </w:r>
            <w:r w:rsidR="004F1CC2"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4F1CC2" w:rsidRPr="004F1CC2">
              <w:rPr>
                <w:rFonts w:ascii="Times New Roman" w:hAnsi="Times New Roman"/>
                <w:sz w:val="20"/>
                <w:szCs w:val="20"/>
              </w:rPr>
              <w:t>сти</w:t>
            </w:r>
            <w:proofErr w:type="spellEnd"/>
          </w:p>
          <w:p w:rsidR="00AE52A2" w:rsidRPr="004F1CC2" w:rsidRDefault="004F1CC2" w:rsidP="004F1CC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F1CC2">
              <w:rPr>
                <w:rFonts w:ascii="Times New Roman" w:hAnsi="Times New Roman"/>
                <w:sz w:val="20"/>
                <w:szCs w:val="20"/>
              </w:rPr>
              <w:t xml:space="preserve"> при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</w:rPr>
              <w:t>необх</w:t>
            </w:r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4F1CC2">
              <w:rPr>
                <w:rFonts w:ascii="Times New Roman" w:hAnsi="Times New Roman"/>
                <w:sz w:val="20"/>
                <w:szCs w:val="20"/>
              </w:rPr>
              <w:t>дност</w:t>
            </w:r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52A2" w:rsidRPr="004F1CC2" w:rsidRDefault="004F1CC2" w:rsidP="00946507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 w:rsidR="00BE2317">
              <w:rPr>
                <w:rFonts w:ascii="Times New Roman" w:hAnsi="Times New Roman"/>
                <w:sz w:val="20"/>
                <w:szCs w:val="20"/>
                <w:lang w:val="ru-RU"/>
              </w:rPr>
              <w:t>вое</w:t>
            </w:r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часне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виявлення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ранн</w:t>
            </w:r>
            <w:proofErr w:type="gramStart"/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прояв</w:t>
            </w:r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ускладненнь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цукрового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д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абету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</w:tr>
    </w:tbl>
    <w:p w:rsidR="00AE52A2" w:rsidRPr="004F1CC2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E52A2" w:rsidRDefault="00AE52A2" w:rsidP="00647FDC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  <w:r w:rsidRPr="004F1CC2">
        <w:rPr>
          <w:rFonts w:ascii="Times New Roman" w:eastAsia="TimesNewRomanPSMT" w:hAnsi="Times New Roman"/>
          <w:sz w:val="20"/>
          <w:szCs w:val="20"/>
          <w:lang w:eastAsia="en-US"/>
        </w:rPr>
        <w:br w:type="page"/>
      </w:r>
      <w:proofErr w:type="spellStart"/>
      <w:r w:rsidRPr="00647FDC">
        <w:rPr>
          <w:rFonts w:ascii="Times New Roman" w:eastAsia="TimesNewRomanPSMT" w:hAnsi="Times New Roman"/>
          <w:sz w:val="20"/>
          <w:szCs w:val="20"/>
          <w:lang w:val="ru-RU" w:eastAsia="en-US"/>
        </w:rPr>
        <w:lastRenderedPageBreak/>
        <w:t>Додаток</w:t>
      </w:r>
      <w:proofErr w:type="spellEnd"/>
      <w:r>
        <w:rPr>
          <w:rFonts w:ascii="Times New Roman" w:eastAsia="TimesNewRomanPSMT" w:hAnsi="Times New Roman"/>
          <w:sz w:val="20"/>
          <w:szCs w:val="20"/>
          <w:lang w:val="ru-RU" w:eastAsia="en-US"/>
        </w:rPr>
        <w:t xml:space="preserve"> 1</w:t>
      </w:r>
    </w:p>
    <w:p w:rsidR="00CA7350" w:rsidRDefault="00CA7350" w:rsidP="00647FDC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</w:p>
    <w:p w:rsidR="00CA7350" w:rsidRPr="00A125E3" w:rsidRDefault="00CA7350" w:rsidP="00CA7350">
      <w:pPr>
        <w:ind w:firstLine="540"/>
        <w:jc w:val="center"/>
        <w:rPr>
          <w:b/>
          <w:sz w:val="28"/>
          <w:szCs w:val="28"/>
        </w:rPr>
      </w:pPr>
      <w:r w:rsidRPr="00A125E3">
        <w:rPr>
          <w:b/>
          <w:sz w:val="28"/>
          <w:szCs w:val="28"/>
        </w:rPr>
        <w:t>Алгоритм надання медичної допомоги при ЦД-1</w:t>
      </w:r>
    </w:p>
    <w:p w:rsidR="00CA7350" w:rsidRPr="00A125E3" w:rsidRDefault="001E75D6" w:rsidP="00CA7350">
      <w:pPr>
        <w:ind w:left="-284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</w:r>
      <w:r>
        <w:rPr>
          <w:b/>
          <w:sz w:val="28"/>
          <w:szCs w:val="28"/>
          <w:lang w:eastAsia="ru-RU"/>
        </w:rPr>
        <w:pict>
          <v:group id="_x0000_s1026" editas="canvas" style="width:503.5pt;height:441pt;mso-position-horizontal-relative:char;mso-position-vertical-relative:line" coordorigin="2061,1686" coordsize="10070,88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061;top:1686;width:10070;height:88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061;top:1866;width:3060;height:539" filled="f" fillcolor="#ffc" strokeweight="2.25pt">
              <v:textbox style="mso-next-textbox:#_x0000_s1028">
                <w:txbxContent>
                  <w:p w:rsidR="00CA7350" w:rsidRPr="0056624E" w:rsidRDefault="00CA7350" w:rsidP="00CA7350">
                    <w:pPr>
                      <w:ind w:left="-180"/>
                      <w:jc w:val="center"/>
                    </w:pPr>
                    <w:r w:rsidRPr="0056624E">
                      <w:rPr>
                        <w:b/>
                      </w:rPr>
                      <w:t>Початковий огляд</w:t>
                    </w:r>
                  </w:p>
                </w:txbxContent>
              </v:textbox>
            </v:shape>
            <v:shape id="_x0000_s1029" type="#_x0000_t202" style="position:absolute;left:2241;top:2766;width:2700;height:1080">
              <v:textbox style="mso-next-textbox:#_x0000_s1029">
                <w:txbxContent>
                  <w:p w:rsidR="00CA7350" w:rsidRPr="00C15D0E" w:rsidRDefault="00CA7350" w:rsidP="00CA7350">
                    <w:pPr>
                      <w:ind w:right="-135"/>
                    </w:pPr>
                    <w:r w:rsidRPr="0056624E">
                      <w:t xml:space="preserve">Діагностика й оцінка </w:t>
                    </w:r>
                  </w:p>
                  <w:p w:rsidR="00CA7350" w:rsidRPr="0056624E" w:rsidRDefault="00CA7350" w:rsidP="00CA7350">
                    <w:pPr>
                      <w:ind w:right="-79"/>
                    </w:pPr>
                    <w:r w:rsidRPr="0056624E">
                      <w:t xml:space="preserve">(і невідкладна допомога </w:t>
                    </w:r>
                    <w:r>
                      <w:t>за</w:t>
                    </w:r>
                    <w:r w:rsidRPr="0056624E">
                      <w:t xml:space="preserve"> необхідності)</w:t>
                    </w:r>
                  </w:p>
                </w:txbxContent>
              </v:textbox>
            </v:shape>
            <v:shape id="_x0000_s1030" type="#_x0000_t202" style="position:absolute;left:2241;top:4206;width:2700;height:1080">
              <v:textbox style="mso-next-textbox:#_x0000_s1030">
                <w:txbxContent>
                  <w:p w:rsidR="00CA7350" w:rsidRPr="0056624E" w:rsidRDefault="00CA7350" w:rsidP="00CA7350">
                    <w:pPr>
                      <w:ind w:right="-135"/>
                    </w:pPr>
                    <w:r w:rsidRPr="0056624E">
                      <w:t>Початкове навчання</w:t>
                    </w:r>
                  </w:p>
                  <w:p w:rsidR="00CA7350" w:rsidRPr="0056624E" w:rsidRDefault="00CA7350" w:rsidP="00CA7350">
                    <w:pPr>
                      <w:ind w:right="-135"/>
                    </w:pPr>
                    <w:r w:rsidRPr="0056624E">
                      <w:t>І отримання навичок</w:t>
                    </w:r>
                  </w:p>
                </w:txbxContent>
              </v:textbox>
            </v:shape>
            <v:shape id="_x0000_s1031" type="#_x0000_t202" style="position:absolute;left:2241;top:6006;width:1980;height:1080">
              <v:textbox style="mso-next-textbox:#_x0000_s1031">
                <w:txbxContent>
                  <w:p w:rsidR="00CA7350" w:rsidRPr="009D4DA6" w:rsidRDefault="00CA7350" w:rsidP="00CA7350">
                    <w:r w:rsidRPr="009D4DA6">
                      <w:t>Корегування доз інсуліну і схем</w:t>
                    </w:r>
                  </w:p>
                </w:txbxContent>
              </v:textbox>
            </v:shape>
            <v:shape id="_x0000_s1032" type="#_x0000_t202" style="position:absolute;left:2421;top:7626;width:2160;height:1260">
              <v:textbox style="mso-next-textbox:#_x0000_s1032">
                <w:txbxContent>
                  <w:p w:rsidR="00CA7350" w:rsidRPr="007C2F49" w:rsidRDefault="00CA7350" w:rsidP="00CA7350">
                    <w:pPr>
                      <w:ind w:right="-135"/>
                    </w:pPr>
                    <w:r w:rsidRPr="007C2F49">
                      <w:t>Оцінка контролю глюкози в крові проти цільового рівня</w:t>
                    </w:r>
                  </w:p>
                </w:txbxContent>
              </v:textbox>
            </v:shape>
            <v:line id="_x0000_s1033" style="position:absolute" from="3501,2406" to="3502,2766">
              <v:stroke endarrow="block"/>
            </v:line>
            <v:line id="_x0000_s1034" style="position:absolute" from="3501,3846" to="3502,4206">
              <v:stroke endarrow="block"/>
            </v:line>
            <v:line id="_x0000_s1035" style="position:absolute" from="3501,5286" to="3502,6006">
              <v:stroke endarrow="block"/>
            </v:line>
            <v:line id="_x0000_s1036" style="position:absolute" from="3501,7086" to="3502,7626">
              <v:stroke startarrow="block" endarrow="block"/>
            </v:line>
            <v:shape id="_x0000_s1037" type="#_x0000_t202" style="position:absolute;left:5481;top:4206;width:2700;height:1080">
              <v:textbox style="mso-next-textbox:#_x0000_s1037">
                <w:txbxContent>
                  <w:p w:rsidR="00CA7350" w:rsidRPr="009B0681" w:rsidRDefault="00CA7350" w:rsidP="00CA7350">
                    <w:pPr>
                      <w:ind w:left="-180"/>
                      <w:jc w:val="center"/>
                    </w:pPr>
                    <w:r w:rsidRPr="009B0681">
                      <w:t>Освіта/дефіцит навичок</w:t>
                    </w:r>
                  </w:p>
                  <w:p w:rsidR="00CA7350" w:rsidRPr="009B0681" w:rsidRDefault="00CA7350" w:rsidP="00CA7350">
                    <w:pPr>
                      <w:ind w:left="-180"/>
                      <w:jc w:val="center"/>
                    </w:pPr>
                    <w:r w:rsidRPr="009B0681">
                      <w:t>Проблеми віри/можливостей</w:t>
                    </w:r>
                  </w:p>
                </w:txbxContent>
              </v:textbox>
            </v:shape>
            <v:shape id="_x0000_s1038" type="#_x0000_t202" style="position:absolute;left:4401;top:6006;width:2340;height:1080">
              <v:textbox style="mso-next-textbox:#_x0000_s1038">
                <w:txbxContent>
                  <w:p w:rsidR="00CA7350" w:rsidRPr="009D4DA6" w:rsidRDefault="00CA7350" w:rsidP="00CA7350">
                    <w:r w:rsidRPr="009D4DA6">
                      <w:t>Структуроване навчання, спосіб життя і харчування</w:t>
                    </w:r>
                  </w:p>
                </w:txbxContent>
              </v:textbox>
            </v:shape>
            <v:shape id="_x0000_s1039" type="#_x0000_t202" style="position:absolute;left:4761;top:7806;width:1800;height:1080">
              <v:textbox style="mso-next-textbox:#_x0000_s1039">
                <w:txbxContent>
                  <w:p w:rsidR="00CA7350" w:rsidRPr="007C2F49" w:rsidRDefault="00CA7350" w:rsidP="00CA7350">
                    <w:r w:rsidRPr="007C2F49">
                      <w:t>Оцінка освіти і навичок при діабеті</w:t>
                    </w:r>
                  </w:p>
                </w:txbxContent>
              </v:textbox>
            </v:shape>
            <v:line id="_x0000_s1040" style="position:absolute" from="6561,3846" to="6562,4206">
              <v:stroke endarrow="block"/>
            </v:line>
            <v:line id="_x0000_s1041" style="position:absolute" from="6381,5286" to="6382,6006">
              <v:stroke endarrow="block"/>
            </v:line>
            <v:line id="_x0000_s1042" style="position:absolute" from="5661,7086" to="5662,7806">
              <v:stroke startarrow="block" endarrow="block"/>
            </v:line>
            <v:shape id="_x0000_s1043" type="#_x0000_t202" style="position:absolute;left:8316;top:4206;width:2025;height:1080">
              <v:textbox style="mso-next-textbox:#_x0000_s1043">
                <w:txbxContent>
                  <w:p w:rsidR="00CA7350" w:rsidRPr="009B0681" w:rsidRDefault="00CA7350" w:rsidP="00CA7350">
                    <w:pPr>
                      <w:ind w:right="-135"/>
                    </w:pPr>
                    <w:r w:rsidRPr="009B0681">
                      <w:t>Аномальні серцево-судинні фактори ризику</w:t>
                    </w:r>
                  </w:p>
                </w:txbxContent>
              </v:textbox>
            </v:shape>
            <v:shape id="_x0000_s1044" type="#_x0000_t202" style="position:absolute;left:6921;top:6006;width:2160;height:1080">
              <v:textbox style="mso-next-textbox:#_x0000_s1044">
                <w:txbxContent>
                  <w:p w:rsidR="00CA7350" w:rsidRPr="009D4DA6" w:rsidRDefault="00CA7350" w:rsidP="00CA7350">
                    <w:pPr>
                      <w:ind w:right="-135"/>
                    </w:pPr>
                    <w:r w:rsidRPr="009D4DA6">
                      <w:t>Втручання при серцево-судинних факторах ризику</w:t>
                    </w:r>
                  </w:p>
                </w:txbxContent>
              </v:textbox>
            </v:shape>
            <v:shape id="_x0000_s1045" type="#_x0000_t202" style="position:absolute;left:6741;top:7626;width:2340;height:1260">
              <v:textbox style="mso-next-textbox:#_x0000_s1045">
                <w:txbxContent>
                  <w:p w:rsidR="00CA7350" w:rsidRPr="007C2F49" w:rsidRDefault="00CA7350" w:rsidP="00CA7350">
                    <w:pPr>
                      <w:ind w:right="-135"/>
                    </w:pPr>
                    <w:r w:rsidRPr="007C2F49">
                      <w:t>Оцінка серцево-судинних факторів ризику проти цільових</w:t>
                    </w:r>
                  </w:p>
                </w:txbxContent>
              </v:textbox>
            </v:shape>
            <v:line id="_x0000_s1046" style="position:absolute" from="8720,3846" to="8721,4206">
              <v:stroke endarrow="block"/>
            </v:line>
            <v:line id="_x0000_s1047" style="position:absolute" from="8721,5286" to="8722,6006">
              <v:stroke endarrow="block"/>
            </v:line>
            <v:line id="_x0000_s1048" style="position:absolute" from="7641,7086" to="7642,7626">
              <v:stroke startarrow="block" endarrow="block"/>
            </v:line>
            <v:shape id="_x0000_s1049" type="#_x0000_t202" style="position:absolute;left:10521;top:4206;width:1260;height:1080">
              <v:textbox style="mso-next-textbox:#_x0000_s1049">
                <w:txbxContent>
                  <w:p w:rsidR="00CA7350" w:rsidRPr="009B0681" w:rsidRDefault="00CA7350" w:rsidP="00CA7350">
                    <w:r w:rsidRPr="009B0681">
                      <w:t>Розвиток усклад</w:t>
                    </w:r>
                    <w:r>
                      <w:rPr>
                        <w:lang w:val="en-US"/>
                      </w:rPr>
                      <w:t>-</w:t>
                    </w:r>
                    <w:r w:rsidRPr="009B0681">
                      <w:t>нень</w:t>
                    </w:r>
                  </w:p>
                </w:txbxContent>
              </v:textbox>
            </v:shape>
            <v:shape id="_x0000_s1050" type="#_x0000_t202" style="position:absolute;left:9441;top:6006;width:2160;height:1080">
              <v:textbox style="mso-next-textbox:#_x0000_s1050">
                <w:txbxContent>
                  <w:p w:rsidR="00CA7350" w:rsidRPr="009D4DA6" w:rsidRDefault="00CA7350" w:rsidP="00CA7350">
                    <w:r w:rsidRPr="009D4DA6">
                      <w:t xml:space="preserve">Специфічні втручання або направлення </w:t>
                    </w:r>
                  </w:p>
                </w:txbxContent>
              </v:textbox>
            </v:shape>
            <v:shape id="_x0000_s1051" type="#_x0000_t202" style="position:absolute;left:9261;top:7806;width:2160;height:1080">
              <v:textbox style="mso-next-textbox:#_x0000_s1051">
                <w:txbxContent>
                  <w:p w:rsidR="00CA7350" w:rsidRPr="007C2F49" w:rsidRDefault="00CA7350" w:rsidP="00CA7350">
                    <w:pPr>
                      <w:ind w:right="-135"/>
                    </w:pPr>
                    <w:r w:rsidRPr="007C2F49">
                      <w:t>Більш часта оцінка ускладнень, що розвиваються</w:t>
                    </w:r>
                  </w:p>
                </w:txbxContent>
              </v:textbox>
            </v:shape>
            <v:line id="_x0000_s1052" style="position:absolute" from="10880,3846" to="10881,4206">
              <v:stroke endarrow="block"/>
            </v:line>
            <v:line id="_x0000_s1053" style="position:absolute" from="11240,5286" to="11241,6006">
              <v:stroke endarrow="block"/>
            </v:line>
            <v:line id="_x0000_s1054" style="position:absolute" from="10520,7086" to="10521,7806">
              <v:stroke startarrow="block" endarrow="block"/>
            </v:line>
            <v:rect id="_x0000_s1055" style="position:absolute;left:2061;top:2406;width:3060;height:3060" filled="f" strokeweight="2.25pt"/>
            <v:rect id="_x0000_s1056" style="position:absolute;left:5301;top:2406;width:6563;height:3060" filled="f" strokeweight="2.25pt"/>
            <v:shape id="_x0000_s1057" type="#_x0000_t202" style="position:absolute;left:5481;top:2586;width:1980;height:1260" stroked="f">
              <v:textbox style="mso-next-textbox:#_x0000_s1057">
                <w:txbxContent>
                  <w:p w:rsidR="00CA7350" w:rsidRPr="009B0681" w:rsidRDefault="00CA7350" w:rsidP="00CA7350">
                    <w:pPr>
                      <w:ind w:right="75"/>
                    </w:pPr>
                    <w:r w:rsidRPr="009B0681">
                      <w:t>Щорічна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9B0681">
                      <w:t>оцінка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9B0681">
                      <w:t>освіти і навичок</w:t>
                    </w:r>
                  </w:p>
                </w:txbxContent>
              </v:textbox>
            </v:shape>
            <v:shape id="_x0000_s1058" type="#_x0000_t202" style="position:absolute;left:7461;top:2586;width:2160;height:1260" stroked="f">
              <v:textbox style="mso-next-textbox:#_x0000_s1058">
                <w:txbxContent>
                  <w:p w:rsidR="00CA7350" w:rsidRPr="009B0681" w:rsidRDefault="00CA7350" w:rsidP="00CA7350">
                    <w:pPr>
                      <w:ind w:right="-105"/>
                    </w:pPr>
                    <w:r w:rsidRPr="009B0681">
                      <w:t>Щорічна оцінка серцево-судинних факторів ризику</w:t>
                    </w:r>
                  </w:p>
                  <w:p w:rsidR="00CA7350" w:rsidRPr="009B0681" w:rsidRDefault="00CA7350" w:rsidP="00CA7350">
                    <w:pPr>
                      <w:ind w:right="-105"/>
                    </w:pPr>
                    <w:r w:rsidRPr="009B0681">
                      <w:t xml:space="preserve">проти цілі </w:t>
                    </w:r>
                  </w:p>
                </w:txbxContent>
              </v:textbox>
            </v:shape>
            <v:shape id="_x0000_s1059" type="#_x0000_t202" style="position:absolute;left:9801;top:2586;width:1800;height:1260" stroked="f">
              <v:textbox style="mso-next-textbox:#_x0000_s1059">
                <w:txbxContent>
                  <w:p w:rsidR="00CA7350" w:rsidRPr="009B0681" w:rsidRDefault="00CA7350" w:rsidP="00CA7350">
                    <w:pPr>
                      <w:ind w:right="-105"/>
                    </w:pPr>
                    <w:r w:rsidRPr="009B0681">
                      <w:t>Щорічна оцінка</w:t>
                    </w:r>
                  </w:p>
                  <w:p w:rsidR="00CA7350" w:rsidRPr="009B0681" w:rsidRDefault="00CA7350" w:rsidP="00CA7350">
                    <w:pPr>
                      <w:ind w:right="-105"/>
                    </w:pPr>
                    <w:r w:rsidRPr="009B0681">
                      <w:t>розвитку ускладнень</w:t>
                    </w:r>
                  </w:p>
                </w:txbxContent>
              </v:textbox>
            </v:shape>
            <v:shape id="_x0000_s1060" type="#_x0000_t202" style="position:absolute;left:5301;top:1866;width:6563;height:539" filled="f" fillcolor="#ffc" strokeweight="2.25pt">
              <v:textbox style="mso-next-textbox:#_x0000_s1060">
                <w:txbxContent>
                  <w:p w:rsidR="00CA7350" w:rsidRPr="0056624E" w:rsidRDefault="00CA7350" w:rsidP="00CA7350">
                    <w:pPr>
                      <w:jc w:val="center"/>
                      <w:rPr>
                        <w:b/>
                      </w:rPr>
                    </w:pPr>
                    <w:r w:rsidRPr="0056624E">
                      <w:rPr>
                        <w:b/>
                      </w:rPr>
                      <w:t>Щорічний огляд</w:t>
                    </w:r>
                  </w:p>
                </w:txbxContent>
              </v:textbox>
            </v:shape>
            <v:rect id="_x0000_s1061" style="position:absolute;left:5481;top:2586;width:6300;height:1260" filled="f"/>
            <v:line id="_x0000_s1062" style="position:absolute;flip:y" from="3861,7086" to="3862,7266">
              <v:stroke endarrow="block"/>
            </v:line>
            <v:line id="_x0000_s1063" style="position:absolute;flip:y" from="7281,7086" to="7282,7266">
              <v:stroke endarrow="block"/>
            </v:line>
            <v:line id="_x0000_s1064" style="position:absolute;flip:y" from="9800,7086" to="9801,7446">
              <v:stroke endarrow="block"/>
            </v:line>
            <v:line id="_x0000_s1065" style="position:absolute" from="5301,7086" to="5302,7266"/>
            <v:line id="_x0000_s1066" style="position:absolute;flip:x" from="3861,7266" to="5301,7267"/>
            <v:line id="_x0000_s1067" style="position:absolute;flip:x" from="6021,7266" to="7281,7267"/>
            <v:line id="_x0000_s1068" style="position:absolute;flip:y" from="6021,7086" to="6022,7266"/>
            <v:line id="_x0000_s1069" style="position:absolute" from="5841,7086" to="5842,7446"/>
            <v:line id="_x0000_s1070" style="position:absolute" from="5841,7446" to="9801,7447"/>
            <v:shape id="_x0000_s1071" type="#_x0000_t202" style="position:absolute;left:2421;top:9246;width:9000;height:539" filled="f" fillcolor="#ffc" strokeweight="2.25pt">
              <v:textbox style="mso-next-textbox:#_x0000_s1071">
                <w:txbxContent>
                  <w:p w:rsidR="00CA7350" w:rsidRPr="007C2F49" w:rsidRDefault="00CA7350" w:rsidP="00CA7350">
                    <w:pPr>
                      <w:jc w:val="center"/>
                      <w:rPr>
                        <w:b/>
                      </w:rPr>
                    </w:pPr>
                    <w:r w:rsidRPr="007C2F49">
                      <w:rPr>
                        <w:b/>
                      </w:rPr>
                      <w:t>Регулярний огляд</w:t>
                    </w:r>
                  </w:p>
                </w:txbxContent>
              </v:textbox>
            </v:shape>
            <v:rect id="_x0000_s1072" style="position:absolute;left:2061;top:5826;width:9788;height:3960" filled="f" strokeweight="2.25pt"/>
            <w10:anchorlock/>
          </v:group>
        </w:pict>
      </w:r>
    </w:p>
    <w:p w:rsidR="00CA7350" w:rsidRPr="00255D6E" w:rsidRDefault="00CA7350" w:rsidP="00CA735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eastAsia="en-US"/>
        </w:rPr>
      </w:pPr>
      <w:r w:rsidRPr="00255D6E">
        <w:rPr>
          <w:rFonts w:ascii="Times New Roman" w:eastAsia="TimesNewRomanPSMT" w:hAnsi="Times New Roman"/>
          <w:sz w:val="20"/>
          <w:szCs w:val="20"/>
          <w:lang w:eastAsia="en-US"/>
        </w:rPr>
        <w:lastRenderedPageBreak/>
        <w:t>Додаток 2</w:t>
      </w:r>
    </w:p>
    <w:p w:rsidR="00CA7350" w:rsidRDefault="00CA7350" w:rsidP="00647FDC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</w:p>
    <w:p w:rsidR="00AE52A2" w:rsidRPr="00FD13D8" w:rsidRDefault="00AE52A2" w:rsidP="00647FDC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tbl>
      <w:tblPr>
        <w:tblW w:w="12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60"/>
        <w:gridCol w:w="4399"/>
        <w:gridCol w:w="1800"/>
        <w:gridCol w:w="1620"/>
        <w:gridCol w:w="1800"/>
      </w:tblGrid>
      <w:tr w:rsidR="00AE52A2" w:rsidRPr="0026587D" w:rsidTr="005F6D2E">
        <w:trPr>
          <w:tblHeader/>
          <w:jc w:val="center"/>
        </w:trPr>
        <w:tc>
          <w:tcPr>
            <w:tcW w:w="2660" w:type="dxa"/>
            <w:vMerge w:val="restart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Діагноз</w:t>
            </w:r>
          </w:p>
        </w:tc>
        <w:tc>
          <w:tcPr>
            <w:tcW w:w="4399" w:type="dxa"/>
            <w:vMerge w:val="restart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Час визначення глюкози в крові</w:t>
            </w:r>
          </w:p>
        </w:tc>
        <w:tc>
          <w:tcPr>
            <w:tcW w:w="5220" w:type="dxa"/>
            <w:gridSpan w:val="3"/>
          </w:tcPr>
          <w:p w:rsidR="00AE52A2" w:rsidRPr="0026587D" w:rsidRDefault="00AE52A2" w:rsidP="000362FF">
            <w:pPr>
              <w:spacing w:after="0" w:line="240" w:lineRule="auto"/>
              <w:ind w:firstLine="560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Концентрація глюкози, ммоль/л</w:t>
            </w:r>
          </w:p>
        </w:tc>
      </w:tr>
      <w:tr w:rsidR="00AE52A2" w:rsidRPr="0026587D" w:rsidTr="005F6D2E">
        <w:trPr>
          <w:tblHeader/>
          <w:jc w:val="center"/>
        </w:trPr>
        <w:tc>
          <w:tcPr>
            <w:tcW w:w="2660" w:type="dxa"/>
            <w:vMerge/>
          </w:tcPr>
          <w:p w:rsidR="00AE52A2" w:rsidRPr="0026587D" w:rsidRDefault="00AE52A2" w:rsidP="000362FF">
            <w:pPr>
              <w:spacing w:after="0" w:line="240" w:lineRule="auto"/>
              <w:ind w:firstLine="560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99" w:type="dxa"/>
            <w:vMerge/>
          </w:tcPr>
          <w:p w:rsidR="00AE52A2" w:rsidRPr="0026587D" w:rsidRDefault="00AE52A2" w:rsidP="000362FF">
            <w:pPr>
              <w:spacing w:after="0" w:line="240" w:lineRule="auto"/>
              <w:ind w:firstLine="560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20" w:type="dxa"/>
            <w:gridSpan w:val="2"/>
          </w:tcPr>
          <w:p w:rsidR="00AE52A2" w:rsidRPr="0026587D" w:rsidRDefault="00AE52A2" w:rsidP="000362FF">
            <w:pPr>
              <w:spacing w:after="0" w:line="240" w:lineRule="auto"/>
              <w:ind w:firstLine="560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Цільна кров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Плазма</w:t>
            </w:r>
          </w:p>
        </w:tc>
      </w:tr>
      <w:tr w:rsidR="00AE52A2" w:rsidRPr="0026587D" w:rsidTr="005F6D2E">
        <w:trPr>
          <w:tblHeader/>
          <w:jc w:val="center"/>
        </w:trPr>
        <w:tc>
          <w:tcPr>
            <w:tcW w:w="2660" w:type="dxa"/>
            <w:vMerge/>
          </w:tcPr>
          <w:p w:rsidR="00AE52A2" w:rsidRPr="0026587D" w:rsidRDefault="00AE52A2" w:rsidP="000362FF">
            <w:pPr>
              <w:spacing w:after="0" w:line="240" w:lineRule="auto"/>
              <w:ind w:firstLine="560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99" w:type="dxa"/>
            <w:vMerge/>
          </w:tcPr>
          <w:p w:rsidR="00AE52A2" w:rsidRPr="0026587D" w:rsidRDefault="00AE52A2" w:rsidP="000362FF">
            <w:pPr>
              <w:spacing w:after="0" w:line="240" w:lineRule="auto"/>
              <w:ind w:firstLine="560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Венозна</w:t>
            </w:r>
          </w:p>
        </w:tc>
        <w:tc>
          <w:tcPr>
            <w:tcW w:w="162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Капілярна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Венозна</w:t>
            </w:r>
          </w:p>
        </w:tc>
      </w:tr>
      <w:tr w:rsidR="00AE52A2" w:rsidRPr="0026587D" w:rsidTr="005F6D2E">
        <w:trPr>
          <w:jc w:val="center"/>
        </w:trPr>
        <w:tc>
          <w:tcPr>
            <w:tcW w:w="2660" w:type="dxa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Норма</w:t>
            </w:r>
          </w:p>
        </w:tc>
        <w:tc>
          <w:tcPr>
            <w:tcW w:w="4399" w:type="dxa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Натще</w:t>
            </w:r>
          </w:p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Через 2 год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після ТТПГ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&gt; 3,3 &lt; 5,5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&lt; 6,7</w:t>
            </w:r>
          </w:p>
        </w:tc>
        <w:tc>
          <w:tcPr>
            <w:tcW w:w="162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&gt; 3,3 &lt; 5,5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&lt; 7,8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&gt; 4,0 &lt; 6,1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&lt; 7,8</w:t>
            </w:r>
          </w:p>
        </w:tc>
      </w:tr>
      <w:tr w:rsidR="00AE52A2" w:rsidRPr="0026587D" w:rsidTr="005F6D2E">
        <w:trPr>
          <w:jc w:val="center"/>
        </w:trPr>
        <w:tc>
          <w:tcPr>
            <w:tcW w:w="2660" w:type="dxa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Цукровий діабет</w:t>
            </w:r>
          </w:p>
        </w:tc>
        <w:tc>
          <w:tcPr>
            <w:tcW w:w="4399" w:type="dxa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Натще</w:t>
            </w:r>
          </w:p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Через 2 год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після ТТПГ</w:t>
            </w:r>
          </w:p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або випадкове визначення глікемії в будь-який час доби, не залежно від прийому їжі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6,1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10,0</w:t>
            </w:r>
          </w:p>
        </w:tc>
        <w:tc>
          <w:tcPr>
            <w:tcW w:w="162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6,1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11,1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7,0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11,1</w:t>
            </w:r>
          </w:p>
        </w:tc>
      </w:tr>
      <w:tr w:rsidR="00AE52A2" w:rsidRPr="000A184B" w:rsidTr="005F6D2E">
        <w:trPr>
          <w:jc w:val="center"/>
        </w:trPr>
        <w:tc>
          <w:tcPr>
            <w:tcW w:w="2660" w:type="dxa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Порушена толерантність до глюкози</w:t>
            </w:r>
          </w:p>
        </w:tc>
        <w:tc>
          <w:tcPr>
            <w:tcW w:w="4399" w:type="dxa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Натще</w:t>
            </w:r>
          </w:p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Через 2 год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після ТТПГ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&lt; 6,1</w:t>
            </w:r>
          </w:p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6,7 &lt; 10,0</w:t>
            </w:r>
          </w:p>
        </w:tc>
        <w:tc>
          <w:tcPr>
            <w:tcW w:w="162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&lt; 6,1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7,8 &lt; 11,1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&lt; 7,0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7,8 &lt; 11,1</w:t>
            </w:r>
          </w:p>
        </w:tc>
      </w:tr>
      <w:tr w:rsidR="00AE52A2" w:rsidRPr="0026587D" w:rsidTr="005F6D2E">
        <w:trPr>
          <w:jc w:val="center"/>
        </w:trPr>
        <w:tc>
          <w:tcPr>
            <w:tcW w:w="2660" w:type="dxa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Порушена глікемія натще</w:t>
            </w:r>
          </w:p>
        </w:tc>
        <w:tc>
          <w:tcPr>
            <w:tcW w:w="4399" w:type="dxa"/>
          </w:tcPr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Натще</w:t>
            </w:r>
          </w:p>
          <w:p w:rsidR="00AE52A2" w:rsidRPr="0026587D" w:rsidRDefault="00AE52A2" w:rsidP="000362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Через 2 год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після ТТПГ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5,6 &lt; 6,1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&lt; 6,7</w:t>
            </w:r>
          </w:p>
        </w:tc>
        <w:tc>
          <w:tcPr>
            <w:tcW w:w="162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5,6 &lt; 6,1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&lt; 7,8</w:t>
            </w:r>
          </w:p>
        </w:tc>
        <w:tc>
          <w:tcPr>
            <w:tcW w:w="1800" w:type="dxa"/>
          </w:tcPr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≥ 6,1 &lt; 7,0</w:t>
            </w:r>
          </w:p>
          <w:p w:rsidR="00AE52A2" w:rsidRPr="0026587D" w:rsidRDefault="00AE52A2" w:rsidP="000362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26587D">
              <w:rPr>
                <w:rFonts w:ascii="Times New Roman" w:hAnsi="Times New Roman"/>
                <w:sz w:val="20"/>
                <w:szCs w:val="20"/>
                <w:lang w:eastAsia="ru-RU"/>
              </w:rPr>
              <w:t>&lt; 7,8</w:t>
            </w:r>
          </w:p>
        </w:tc>
      </w:tr>
    </w:tbl>
    <w:p w:rsidR="00297B7D" w:rsidRPr="00297B7D" w:rsidRDefault="00297B7D" w:rsidP="00297B7D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  <w:r w:rsidRPr="00255D6E">
        <w:rPr>
          <w:rFonts w:ascii="Times New Roman" w:eastAsia="TimesNewRomanPSMT" w:hAnsi="Times New Roman"/>
          <w:sz w:val="20"/>
          <w:szCs w:val="20"/>
          <w:lang w:eastAsia="en-US"/>
        </w:rPr>
        <w:t xml:space="preserve">Додаток </w:t>
      </w:r>
      <w:r>
        <w:rPr>
          <w:rFonts w:ascii="Times New Roman" w:eastAsia="TimesNewRomanPSMT" w:hAnsi="Times New Roman"/>
          <w:sz w:val="20"/>
          <w:szCs w:val="20"/>
          <w:lang w:val="ru-RU" w:eastAsia="en-US"/>
        </w:rPr>
        <w:t>3</w:t>
      </w:r>
    </w:p>
    <w:p w:rsidR="00AE52A2" w:rsidRDefault="00AE52A2" w:rsidP="00946507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297B7D" w:rsidRPr="00A125E3" w:rsidRDefault="00297B7D" w:rsidP="00297B7D">
      <w:pPr>
        <w:ind w:firstLine="708"/>
        <w:jc w:val="center"/>
        <w:rPr>
          <w:b/>
          <w:sz w:val="28"/>
          <w:szCs w:val="28"/>
        </w:rPr>
      </w:pPr>
      <w:r w:rsidRPr="00A125E3">
        <w:rPr>
          <w:b/>
          <w:sz w:val="28"/>
          <w:szCs w:val="28"/>
        </w:rPr>
        <w:t xml:space="preserve">Відповідність даних пре- та </w:t>
      </w:r>
      <w:proofErr w:type="spellStart"/>
      <w:r w:rsidRPr="00A125E3">
        <w:rPr>
          <w:b/>
          <w:sz w:val="28"/>
          <w:szCs w:val="28"/>
        </w:rPr>
        <w:t>постпрандіального</w:t>
      </w:r>
      <w:proofErr w:type="spellEnd"/>
      <w:r w:rsidRPr="00A125E3">
        <w:rPr>
          <w:b/>
          <w:sz w:val="28"/>
          <w:szCs w:val="28"/>
        </w:rPr>
        <w:t xml:space="preserve"> рівня глюкози плазми цільовому значенню НbА1с</w:t>
      </w:r>
    </w:p>
    <w:tbl>
      <w:tblPr>
        <w:tblW w:w="9678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9"/>
        <w:gridCol w:w="3260"/>
        <w:gridCol w:w="3119"/>
      </w:tblGrid>
      <w:tr w:rsidR="00297B7D" w:rsidRPr="00A125E3" w:rsidTr="00297B7D">
        <w:trPr>
          <w:jc w:val="center"/>
        </w:trPr>
        <w:tc>
          <w:tcPr>
            <w:tcW w:w="329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НвА1с, %</w:t>
            </w:r>
          </w:p>
        </w:tc>
        <w:tc>
          <w:tcPr>
            <w:tcW w:w="3260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Глюкоза плазми перед прийомом їжі (натще), ммоль/л</w:t>
            </w:r>
          </w:p>
        </w:tc>
        <w:tc>
          <w:tcPr>
            <w:tcW w:w="311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Глюкоза плазми через 2 години після прийому їжі (</w:t>
            </w:r>
            <w:proofErr w:type="spellStart"/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постпрандіальна</w:t>
            </w:r>
            <w:proofErr w:type="spellEnd"/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 xml:space="preserve"> глікемія), ммоль/л</w:t>
            </w:r>
          </w:p>
        </w:tc>
      </w:tr>
      <w:tr w:rsidR="00297B7D" w:rsidRPr="00A125E3" w:rsidTr="00297B7D">
        <w:trPr>
          <w:jc w:val="center"/>
        </w:trPr>
        <w:tc>
          <w:tcPr>
            <w:tcW w:w="329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6,5</w:t>
            </w:r>
          </w:p>
        </w:tc>
        <w:tc>
          <w:tcPr>
            <w:tcW w:w="3260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6,5</w:t>
            </w:r>
          </w:p>
        </w:tc>
        <w:tc>
          <w:tcPr>
            <w:tcW w:w="311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8,0</w:t>
            </w:r>
          </w:p>
        </w:tc>
      </w:tr>
      <w:tr w:rsidR="00297B7D" w:rsidRPr="00A125E3" w:rsidTr="00297B7D">
        <w:trPr>
          <w:jc w:val="center"/>
        </w:trPr>
        <w:tc>
          <w:tcPr>
            <w:tcW w:w="329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7,0</w:t>
            </w:r>
          </w:p>
        </w:tc>
        <w:tc>
          <w:tcPr>
            <w:tcW w:w="3260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7,0</w:t>
            </w:r>
          </w:p>
        </w:tc>
        <w:tc>
          <w:tcPr>
            <w:tcW w:w="311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9,0</w:t>
            </w:r>
          </w:p>
        </w:tc>
      </w:tr>
      <w:tr w:rsidR="00297B7D" w:rsidRPr="00A125E3" w:rsidTr="00297B7D">
        <w:trPr>
          <w:jc w:val="center"/>
        </w:trPr>
        <w:tc>
          <w:tcPr>
            <w:tcW w:w="329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7,5</w:t>
            </w:r>
          </w:p>
        </w:tc>
        <w:tc>
          <w:tcPr>
            <w:tcW w:w="3260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7,5</w:t>
            </w:r>
          </w:p>
        </w:tc>
        <w:tc>
          <w:tcPr>
            <w:tcW w:w="311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10,0</w:t>
            </w:r>
          </w:p>
        </w:tc>
      </w:tr>
      <w:tr w:rsidR="00297B7D" w:rsidRPr="00A125E3" w:rsidTr="00297B7D">
        <w:trPr>
          <w:jc w:val="center"/>
        </w:trPr>
        <w:tc>
          <w:tcPr>
            <w:tcW w:w="329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3260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3119" w:type="dxa"/>
            <w:shd w:val="clear" w:color="auto" w:fill="auto"/>
          </w:tcPr>
          <w:p w:rsidR="00297B7D" w:rsidRPr="00A125E3" w:rsidRDefault="00297B7D" w:rsidP="00297B7D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</w:pP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&lt;</w:t>
            </w:r>
            <w:r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 </w:t>
            </w:r>
            <w:r w:rsidRPr="00A125E3">
              <w:rPr>
                <w:rStyle w:val="aa"/>
                <w:rFonts w:ascii="Times New Roman" w:hAnsi="Times New Roman"/>
                <w:sz w:val="28"/>
                <w:szCs w:val="28"/>
                <w:lang w:val="uk-UA"/>
              </w:rPr>
              <w:t>11,0</w:t>
            </w:r>
          </w:p>
        </w:tc>
      </w:tr>
    </w:tbl>
    <w:p w:rsidR="00297B7D" w:rsidRDefault="00297B7D" w:rsidP="00647FDC">
      <w:pPr>
        <w:spacing w:line="240" w:lineRule="auto"/>
        <w:jc w:val="center"/>
        <w:rPr>
          <w:rFonts w:ascii="Times New Roman" w:hAnsi="Times New Roman"/>
          <w:sz w:val="20"/>
          <w:szCs w:val="20"/>
          <w:lang w:val="ru-RU"/>
        </w:rPr>
      </w:pPr>
    </w:p>
    <w:p w:rsidR="00297B7D" w:rsidRDefault="00297B7D" w:rsidP="00647FDC">
      <w:pPr>
        <w:spacing w:line="240" w:lineRule="auto"/>
        <w:jc w:val="center"/>
        <w:rPr>
          <w:rFonts w:ascii="Times New Roman" w:hAnsi="Times New Roman"/>
          <w:sz w:val="20"/>
          <w:szCs w:val="20"/>
          <w:lang w:val="ru-RU"/>
        </w:rPr>
      </w:pPr>
    </w:p>
    <w:p w:rsidR="00297B7D" w:rsidRDefault="00297B7D" w:rsidP="00647FDC">
      <w:pPr>
        <w:spacing w:line="240" w:lineRule="auto"/>
        <w:jc w:val="center"/>
        <w:rPr>
          <w:rFonts w:ascii="Times New Roman" w:hAnsi="Times New Roman"/>
          <w:sz w:val="20"/>
          <w:szCs w:val="20"/>
          <w:lang w:val="ru-RU"/>
        </w:rPr>
      </w:pPr>
    </w:p>
    <w:p w:rsidR="00297B7D" w:rsidRDefault="00297B7D" w:rsidP="00647FDC">
      <w:pPr>
        <w:spacing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3F17D4" w:rsidRPr="003F17D4" w:rsidRDefault="003F17D4" w:rsidP="00647FDC">
      <w:pPr>
        <w:spacing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297B7D" w:rsidRPr="00297B7D" w:rsidRDefault="00297B7D" w:rsidP="00297B7D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  <w:r w:rsidRPr="00255D6E">
        <w:rPr>
          <w:rFonts w:ascii="Times New Roman" w:eastAsia="TimesNewRomanPSMT" w:hAnsi="Times New Roman"/>
          <w:sz w:val="20"/>
          <w:szCs w:val="20"/>
          <w:lang w:eastAsia="en-US"/>
        </w:rPr>
        <w:lastRenderedPageBreak/>
        <w:t xml:space="preserve">Додаток </w:t>
      </w:r>
      <w:r>
        <w:rPr>
          <w:rFonts w:ascii="Times New Roman" w:eastAsia="TimesNewRomanPSMT" w:hAnsi="Times New Roman"/>
          <w:sz w:val="20"/>
          <w:szCs w:val="20"/>
          <w:lang w:val="ru-RU" w:eastAsia="en-US"/>
        </w:rPr>
        <w:t>4</w:t>
      </w:r>
    </w:p>
    <w:p w:rsidR="00297B7D" w:rsidRPr="00A125E3" w:rsidRDefault="00297B7D" w:rsidP="00297B7D">
      <w:pPr>
        <w:ind w:firstLine="708"/>
        <w:jc w:val="center"/>
        <w:rPr>
          <w:sz w:val="28"/>
          <w:szCs w:val="28"/>
        </w:rPr>
      </w:pPr>
      <w:r w:rsidRPr="00A125E3">
        <w:rPr>
          <w:sz w:val="28"/>
          <w:szCs w:val="28"/>
        </w:rPr>
        <w:t>Характеристика препаратів інсуліну</w:t>
      </w:r>
    </w:p>
    <w:tbl>
      <w:tblPr>
        <w:tblpPr w:leftFromText="180" w:rightFromText="180" w:vertAnchor="text" w:tblpXSpec="center" w:tblpY="1"/>
        <w:tblOverlap w:val="never"/>
        <w:tblW w:w="0" w:type="auto"/>
        <w:tblLook w:val="00A0" w:firstRow="1" w:lastRow="0" w:firstColumn="1" w:lastColumn="0" w:noHBand="0" w:noVBand="0"/>
      </w:tblPr>
      <w:tblGrid>
        <w:gridCol w:w="10519"/>
      </w:tblGrid>
      <w:tr w:rsidR="00297B7D" w:rsidRPr="00A125E3" w:rsidTr="007F2D2A">
        <w:trPr>
          <w:trHeight w:val="5961"/>
        </w:trPr>
        <w:tc>
          <w:tcPr>
            <w:tcW w:w="9847" w:type="dxa"/>
          </w:tcPr>
          <w:tbl>
            <w:tblPr>
              <w:tblW w:w="102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5"/>
              <w:gridCol w:w="2278"/>
              <w:gridCol w:w="1254"/>
              <w:gridCol w:w="1454"/>
              <w:gridCol w:w="2252"/>
            </w:tblGrid>
            <w:tr w:rsidR="00297B7D" w:rsidRPr="00A125E3" w:rsidTr="007F2D2A">
              <w:trPr>
                <w:trHeight w:val="917"/>
              </w:trPr>
              <w:tc>
                <w:tcPr>
                  <w:tcW w:w="3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pStyle w:val="8"/>
                    <w:framePr w:hSpace="180" w:wrap="around" w:vAnchor="text" w:hAnchor="text" w:xAlign="center" w:y="1"/>
                    <w:spacing w:before="0" w:after="0"/>
                    <w:contextualSpacing/>
                    <w:suppressOverlap/>
                    <w:jc w:val="center"/>
                    <w:rPr>
                      <w:b/>
                      <w:i w:val="0"/>
                      <w:lang w:val="uk-UA" w:eastAsia="en-US"/>
                    </w:rPr>
                  </w:pPr>
                  <w:r w:rsidRPr="00A125E3">
                    <w:rPr>
                      <w:b/>
                      <w:i w:val="0"/>
                      <w:lang w:val="uk-UA" w:eastAsia="en-US"/>
                    </w:rPr>
                    <w:t>Вид інсуліну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pStyle w:val="8"/>
                    <w:framePr w:hSpace="180" w:wrap="around" w:vAnchor="text" w:hAnchor="text" w:xAlign="center" w:y="1"/>
                    <w:spacing w:before="0" w:after="0"/>
                    <w:contextualSpacing/>
                    <w:suppressOverlap/>
                    <w:jc w:val="center"/>
                    <w:rPr>
                      <w:b/>
                      <w:i w:val="0"/>
                      <w:lang w:val="uk-UA" w:eastAsia="en-US"/>
                    </w:rPr>
                  </w:pPr>
                  <w:r w:rsidRPr="00A125E3">
                    <w:rPr>
                      <w:b/>
                      <w:i w:val="0"/>
                      <w:lang w:val="uk-UA" w:eastAsia="en-US"/>
                    </w:rPr>
                    <w:t>Міжнародна непатентована назва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/>
                    <w:contextualSpacing/>
                    <w:suppressOverlap/>
                    <w:jc w:val="center"/>
                    <w:rPr>
                      <w:b/>
                    </w:rPr>
                  </w:pPr>
                  <w:r w:rsidRPr="00A125E3">
                    <w:rPr>
                      <w:b/>
                    </w:rPr>
                    <w:t>Початок дії, год.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/>
                    <w:contextualSpacing/>
                    <w:suppressOverlap/>
                    <w:jc w:val="center"/>
                    <w:rPr>
                      <w:b/>
                    </w:rPr>
                  </w:pPr>
                  <w:r w:rsidRPr="00A125E3">
                    <w:rPr>
                      <w:b/>
                    </w:rPr>
                    <w:t>Пік дії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/>
                    <w:contextualSpacing/>
                    <w:suppressOverlap/>
                    <w:jc w:val="center"/>
                    <w:rPr>
                      <w:b/>
                    </w:rPr>
                  </w:pPr>
                  <w:r w:rsidRPr="00A125E3">
                    <w:rPr>
                      <w:b/>
                    </w:rPr>
                    <w:t>Максимальна тривалість дії</w:t>
                  </w:r>
                </w:p>
              </w:tc>
            </w:tr>
            <w:tr w:rsidR="00297B7D" w:rsidRPr="00A125E3" w:rsidTr="007F2D2A">
              <w:trPr>
                <w:trHeight w:val="267"/>
              </w:trPr>
              <w:tc>
                <w:tcPr>
                  <w:tcW w:w="305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proofErr w:type="spellStart"/>
                  <w:r w:rsidRPr="00A125E3">
                    <w:t>Інсуліни</w:t>
                  </w:r>
                  <w:proofErr w:type="spellEnd"/>
                  <w:r w:rsidRPr="00A125E3">
                    <w:t xml:space="preserve"> та аналоги короткої тривалості дії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Інсулін людський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30 хв.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1–4 год.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5–9 год.</w:t>
                  </w:r>
                </w:p>
              </w:tc>
            </w:tr>
            <w:tr w:rsidR="00297B7D" w:rsidRPr="00A125E3" w:rsidTr="007F2D2A">
              <w:trPr>
                <w:trHeight w:val="151"/>
              </w:trPr>
              <w:tc>
                <w:tcPr>
                  <w:tcW w:w="3055" w:type="dxa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  <w:rPr>
                      <w:vertAlign w:val="superscript"/>
                    </w:rPr>
                  </w:pPr>
                  <w:r w:rsidRPr="00A125E3">
                    <w:t xml:space="preserve">Інсулін </w:t>
                  </w:r>
                  <w:proofErr w:type="spellStart"/>
                  <w:r w:rsidRPr="00A125E3">
                    <w:t>аспарт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10–20 хв.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1–3 год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3–5 год.</w:t>
                  </w:r>
                </w:p>
              </w:tc>
            </w:tr>
            <w:tr w:rsidR="00297B7D" w:rsidRPr="00A125E3" w:rsidTr="007F2D2A">
              <w:trPr>
                <w:trHeight w:val="151"/>
              </w:trPr>
              <w:tc>
                <w:tcPr>
                  <w:tcW w:w="305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ind w:right="-57"/>
                    <w:contextualSpacing/>
                    <w:suppressOverlap/>
                    <w:jc w:val="center"/>
                  </w:pPr>
                  <w:r w:rsidRPr="00A125E3">
                    <w:t>Інсулін</w:t>
                  </w:r>
                  <w:r>
                    <w:t xml:space="preserve"> </w:t>
                  </w:r>
                  <w:proofErr w:type="spellStart"/>
                  <w:r w:rsidRPr="00A125E3">
                    <w:t>глюлізин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10–20 хв.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Відсутні дані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Відсутні дані</w:t>
                  </w:r>
                </w:p>
              </w:tc>
            </w:tr>
            <w:tr w:rsidR="00297B7D" w:rsidRPr="00A125E3" w:rsidTr="007F2D2A">
              <w:trPr>
                <w:trHeight w:val="151"/>
              </w:trPr>
              <w:tc>
                <w:tcPr>
                  <w:tcW w:w="305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 xml:space="preserve">Інсулін </w:t>
                  </w:r>
                  <w:proofErr w:type="spellStart"/>
                  <w:r w:rsidRPr="00A125E3">
                    <w:t>лізпро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15 хв.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30-70 хв.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2-5 год.</w:t>
                  </w:r>
                </w:p>
              </w:tc>
            </w:tr>
            <w:tr w:rsidR="00297B7D" w:rsidRPr="00A125E3" w:rsidTr="007F2D2A">
              <w:trPr>
                <w:trHeight w:val="859"/>
              </w:trPr>
              <w:tc>
                <w:tcPr>
                  <w:tcW w:w="3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proofErr w:type="spellStart"/>
                  <w:r w:rsidRPr="00A125E3">
                    <w:t>Інсуліни</w:t>
                  </w:r>
                  <w:proofErr w:type="spellEnd"/>
                  <w:r w:rsidRPr="00A125E3">
                    <w:t xml:space="preserve"> та аналоги середньої тривалості дії (інсулін НПХ)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Інсулін людський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30-90 хв.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2–12 год.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11–24 год.</w:t>
                  </w:r>
                </w:p>
              </w:tc>
            </w:tr>
            <w:tr w:rsidR="00297B7D" w:rsidRPr="00A125E3" w:rsidTr="007F2D2A">
              <w:trPr>
                <w:trHeight w:val="286"/>
              </w:trPr>
              <w:tc>
                <w:tcPr>
                  <w:tcW w:w="305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 xml:space="preserve">Комбіновані препарати </w:t>
                  </w:r>
                  <w:proofErr w:type="spellStart"/>
                  <w:r w:rsidRPr="00A125E3">
                    <w:t>інсулінів</w:t>
                  </w:r>
                  <w:proofErr w:type="spellEnd"/>
                  <w:r w:rsidRPr="00A125E3">
                    <w:t xml:space="preserve"> та аналогів короткої та середньої тривалості дії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Інсулін людський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0–1,5 год.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1–8,5 год.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12–24 год.</w:t>
                  </w:r>
                </w:p>
              </w:tc>
            </w:tr>
            <w:tr w:rsidR="00297B7D" w:rsidRPr="00A125E3" w:rsidTr="007F2D2A">
              <w:trPr>
                <w:trHeight w:val="151"/>
              </w:trPr>
              <w:tc>
                <w:tcPr>
                  <w:tcW w:w="305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 xml:space="preserve">Інсулін </w:t>
                  </w:r>
                  <w:proofErr w:type="spellStart"/>
                  <w:r w:rsidRPr="00A125E3">
                    <w:t>лізпро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15 хв.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30-70 хв.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13-22 год.</w:t>
                  </w:r>
                </w:p>
              </w:tc>
            </w:tr>
            <w:tr w:rsidR="00297B7D" w:rsidRPr="00A125E3" w:rsidTr="007F2D2A">
              <w:trPr>
                <w:trHeight w:val="151"/>
              </w:trPr>
              <w:tc>
                <w:tcPr>
                  <w:tcW w:w="305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 xml:space="preserve">Інсулін </w:t>
                  </w:r>
                  <w:proofErr w:type="spellStart"/>
                  <w:r w:rsidRPr="00A125E3">
                    <w:t>аспарт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10-20 хв.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1-4 год.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24 год.</w:t>
                  </w:r>
                </w:p>
              </w:tc>
            </w:tr>
            <w:tr w:rsidR="00297B7D" w:rsidRPr="00A125E3" w:rsidTr="007F2D2A">
              <w:trPr>
                <w:cantSplit/>
                <w:trHeight w:val="261"/>
              </w:trPr>
              <w:tc>
                <w:tcPr>
                  <w:tcW w:w="305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Аналоги інсуліну тривалої дії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dashSmallGap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 xml:space="preserve">Інсулін </w:t>
                  </w:r>
                  <w:proofErr w:type="spellStart"/>
                  <w:r w:rsidRPr="00A125E3">
                    <w:t>гларгін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Після введення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Відсутній</w:t>
                  </w:r>
                </w:p>
              </w:tc>
              <w:tc>
                <w:tcPr>
                  <w:tcW w:w="2252" w:type="dxa"/>
                  <w:tcBorders>
                    <w:top w:val="single" w:sz="4" w:space="0" w:color="auto"/>
                    <w:left w:val="single" w:sz="4" w:space="0" w:color="auto"/>
                    <w:bottom w:val="dashSmallGap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До 24 год.</w:t>
                  </w:r>
                </w:p>
              </w:tc>
            </w:tr>
            <w:tr w:rsidR="00297B7D" w:rsidRPr="00A125E3" w:rsidTr="007F2D2A">
              <w:trPr>
                <w:cantSplit/>
                <w:trHeight w:val="326"/>
              </w:trPr>
              <w:tc>
                <w:tcPr>
                  <w:tcW w:w="305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</w:p>
              </w:tc>
              <w:tc>
                <w:tcPr>
                  <w:tcW w:w="0" w:type="auto"/>
                  <w:tcBorders>
                    <w:top w:val="dashSmallGap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  <w:rPr>
                      <w:vertAlign w:val="superscript"/>
                    </w:rPr>
                  </w:pPr>
                  <w:r w:rsidRPr="00A125E3">
                    <w:t xml:space="preserve">Інсулін </w:t>
                  </w:r>
                  <w:proofErr w:type="spellStart"/>
                  <w:r w:rsidRPr="00A125E3">
                    <w:t>детемір</w:t>
                  </w:r>
                  <w:proofErr w:type="spellEnd"/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Після введення</w:t>
                  </w:r>
                </w:p>
              </w:tc>
              <w:tc>
                <w:tcPr>
                  <w:tcW w:w="1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</w:pPr>
                  <w:r w:rsidRPr="00A125E3">
                    <w:t>Відсутній</w:t>
                  </w:r>
                </w:p>
              </w:tc>
              <w:tc>
                <w:tcPr>
                  <w:tcW w:w="2252" w:type="dxa"/>
                  <w:tcBorders>
                    <w:top w:val="dashSmallGap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7B7D" w:rsidRPr="00A125E3" w:rsidRDefault="00297B7D" w:rsidP="007F2D2A">
                  <w:pPr>
                    <w:framePr w:hSpace="180" w:wrap="around" w:vAnchor="text" w:hAnchor="text" w:xAlign="center" w:y="1"/>
                    <w:spacing w:after="0" w:line="240" w:lineRule="auto"/>
                    <w:contextualSpacing/>
                    <w:suppressOverlap/>
                    <w:jc w:val="center"/>
                    <w:rPr>
                      <w:vertAlign w:val="superscript"/>
                    </w:rPr>
                  </w:pPr>
                  <w:r w:rsidRPr="00A125E3">
                    <w:t>До 24 год. (залежно від дози)</w:t>
                  </w:r>
                  <w:r>
                    <w:rPr>
                      <w:vertAlign w:val="superscript"/>
                    </w:rPr>
                    <w:t>1</w:t>
                  </w:r>
                </w:p>
              </w:tc>
            </w:tr>
          </w:tbl>
          <w:p w:rsidR="00297B7D" w:rsidRPr="000F2D00" w:rsidRDefault="00297B7D" w:rsidP="007F2D2A">
            <w:pPr>
              <w:spacing w:after="0" w:line="240" w:lineRule="auto"/>
              <w:contextualSpacing/>
              <w:jc w:val="center"/>
              <w:rPr>
                <w:i/>
                <w:sz w:val="20"/>
              </w:rPr>
            </w:pPr>
          </w:p>
        </w:tc>
      </w:tr>
    </w:tbl>
    <w:p w:rsidR="00297B7D" w:rsidRPr="00BE2317" w:rsidRDefault="007F2D2A" w:rsidP="000F2D00">
      <w:pPr>
        <w:spacing w:after="0" w:line="240" w:lineRule="auto"/>
        <w:ind w:firstLine="540"/>
        <w:jc w:val="center"/>
        <w:rPr>
          <w:sz w:val="24"/>
          <w:szCs w:val="28"/>
        </w:rPr>
      </w:pPr>
      <w:r>
        <w:rPr>
          <w:sz w:val="24"/>
          <w:szCs w:val="28"/>
        </w:rPr>
        <w:br w:type="textWrapping" w:clear="all"/>
      </w:r>
      <w:r w:rsidR="00297B7D" w:rsidRPr="00BE2317">
        <w:rPr>
          <w:sz w:val="24"/>
          <w:szCs w:val="28"/>
        </w:rPr>
        <w:t xml:space="preserve">Засоби та пристрої для введення </w:t>
      </w:r>
      <w:proofErr w:type="spellStart"/>
      <w:r w:rsidR="00297B7D" w:rsidRPr="00BE2317">
        <w:rPr>
          <w:sz w:val="24"/>
          <w:szCs w:val="28"/>
        </w:rPr>
        <w:t>інсулінів</w:t>
      </w:r>
      <w:proofErr w:type="spellEnd"/>
      <w:r w:rsidR="00297B7D" w:rsidRPr="00BE2317">
        <w:rPr>
          <w:sz w:val="24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41"/>
        <w:gridCol w:w="7737"/>
      </w:tblGrid>
      <w:tr w:rsidR="00297B7D" w:rsidRPr="00BE2317" w:rsidTr="000F2D00">
        <w:trPr>
          <w:tblHeader/>
          <w:jc w:val="center"/>
        </w:trPr>
        <w:tc>
          <w:tcPr>
            <w:tcW w:w="4141" w:type="dxa"/>
          </w:tcPr>
          <w:p w:rsidR="00297B7D" w:rsidRPr="000F2D00" w:rsidRDefault="00297B7D" w:rsidP="000F2D00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0F2D00">
              <w:rPr>
                <w:b/>
                <w:szCs w:val="28"/>
              </w:rPr>
              <w:t>Засіб (пристрій) введення</w:t>
            </w:r>
          </w:p>
        </w:tc>
        <w:tc>
          <w:tcPr>
            <w:tcW w:w="7737" w:type="dxa"/>
          </w:tcPr>
          <w:p w:rsidR="00297B7D" w:rsidRPr="000F2D00" w:rsidRDefault="00297B7D" w:rsidP="000F2D00">
            <w:pPr>
              <w:spacing w:after="0" w:line="240" w:lineRule="auto"/>
              <w:jc w:val="center"/>
              <w:rPr>
                <w:b/>
                <w:szCs w:val="28"/>
              </w:rPr>
            </w:pPr>
            <w:r w:rsidRPr="000F2D00">
              <w:rPr>
                <w:b/>
                <w:szCs w:val="28"/>
              </w:rPr>
              <w:t xml:space="preserve">Характеристика </w:t>
            </w:r>
          </w:p>
        </w:tc>
      </w:tr>
      <w:tr w:rsidR="00297B7D" w:rsidRPr="00BE2317" w:rsidTr="000F2D00">
        <w:trPr>
          <w:jc w:val="center"/>
        </w:trPr>
        <w:tc>
          <w:tcPr>
            <w:tcW w:w="4141" w:type="dxa"/>
          </w:tcPr>
          <w:p w:rsidR="00297B7D" w:rsidRPr="000F2D00" w:rsidRDefault="00297B7D" w:rsidP="000F2D00">
            <w:pPr>
              <w:spacing w:after="0" w:line="240" w:lineRule="auto"/>
              <w:jc w:val="center"/>
              <w:rPr>
                <w:szCs w:val="28"/>
              </w:rPr>
            </w:pPr>
            <w:r w:rsidRPr="000F2D00">
              <w:rPr>
                <w:szCs w:val="28"/>
              </w:rPr>
              <w:t>Інсуліновий шприц одноразового використання з голкою</w:t>
            </w:r>
          </w:p>
        </w:tc>
        <w:tc>
          <w:tcPr>
            <w:tcW w:w="7737" w:type="dxa"/>
          </w:tcPr>
          <w:p w:rsidR="00297B7D" w:rsidRPr="000F2D00" w:rsidRDefault="00297B7D" w:rsidP="000F2D00">
            <w:pPr>
              <w:spacing w:after="0" w:line="240" w:lineRule="auto"/>
              <w:jc w:val="center"/>
              <w:rPr>
                <w:szCs w:val="28"/>
              </w:rPr>
            </w:pPr>
            <w:r w:rsidRPr="000F2D00">
              <w:rPr>
                <w:szCs w:val="28"/>
              </w:rPr>
              <w:t>100 МО інсуліну в 1 мл</w:t>
            </w:r>
          </w:p>
        </w:tc>
      </w:tr>
      <w:tr w:rsidR="00297B7D" w:rsidRPr="00BE2317" w:rsidTr="000F2D00">
        <w:trPr>
          <w:jc w:val="center"/>
        </w:trPr>
        <w:tc>
          <w:tcPr>
            <w:tcW w:w="4141" w:type="dxa"/>
          </w:tcPr>
          <w:p w:rsidR="00297B7D" w:rsidRPr="000F2D00" w:rsidRDefault="00297B7D" w:rsidP="000F2D00">
            <w:pPr>
              <w:spacing w:after="0" w:line="240" w:lineRule="auto"/>
              <w:jc w:val="center"/>
              <w:rPr>
                <w:szCs w:val="28"/>
              </w:rPr>
            </w:pPr>
            <w:r w:rsidRPr="000F2D00">
              <w:rPr>
                <w:szCs w:val="28"/>
              </w:rPr>
              <w:t>Інсулінові шприц-ручки</w:t>
            </w:r>
          </w:p>
        </w:tc>
        <w:tc>
          <w:tcPr>
            <w:tcW w:w="7737" w:type="dxa"/>
          </w:tcPr>
          <w:p w:rsidR="00297B7D" w:rsidRPr="000F2D00" w:rsidRDefault="00297B7D" w:rsidP="000F2D00">
            <w:pPr>
              <w:spacing w:after="0" w:line="240" w:lineRule="auto"/>
              <w:rPr>
                <w:szCs w:val="28"/>
              </w:rPr>
            </w:pPr>
            <w:r w:rsidRPr="000F2D00">
              <w:rPr>
                <w:szCs w:val="28"/>
              </w:rPr>
              <w:t>З кроком дози 2, 1 чи 0,5 МО інсуліну.</w:t>
            </w:r>
          </w:p>
          <w:p w:rsidR="00297B7D" w:rsidRPr="000F2D00" w:rsidRDefault="00297B7D" w:rsidP="000F2D00">
            <w:pPr>
              <w:spacing w:after="0" w:line="240" w:lineRule="auto"/>
              <w:rPr>
                <w:szCs w:val="28"/>
              </w:rPr>
            </w:pPr>
            <w:r w:rsidRPr="000F2D00">
              <w:rPr>
                <w:szCs w:val="28"/>
              </w:rPr>
              <w:t xml:space="preserve"> Шприц-ручка багаторазового застосування зі змінними картриджами об’ємом 3 мл, 100 МО інсуліну в 1 мл.</w:t>
            </w:r>
          </w:p>
          <w:p w:rsidR="00297B7D" w:rsidRPr="000F2D00" w:rsidRDefault="00297B7D" w:rsidP="000F2D00">
            <w:pPr>
              <w:spacing w:after="0" w:line="240" w:lineRule="auto"/>
              <w:rPr>
                <w:szCs w:val="28"/>
              </w:rPr>
            </w:pPr>
            <w:r w:rsidRPr="000F2D00">
              <w:rPr>
                <w:szCs w:val="28"/>
              </w:rPr>
              <w:t>Попередньо заповнена шприц-ручка одноразового застосування об’ємом 3 мл, 100 МО інсуліну в 1 мл.</w:t>
            </w:r>
          </w:p>
        </w:tc>
      </w:tr>
      <w:tr w:rsidR="00297B7D" w:rsidRPr="00BE2317" w:rsidTr="000F2D00">
        <w:trPr>
          <w:jc w:val="center"/>
        </w:trPr>
        <w:tc>
          <w:tcPr>
            <w:tcW w:w="4141" w:type="dxa"/>
          </w:tcPr>
          <w:p w:rsidR="00297B7D" w:rsidRPr="000F2D00" w:rsidRDefault="00297B7D" w:rsidP="000F2D00">
            <w:pPr>
              <w:spacing w:after="0" w:line="240" w:lineRule="auto"/>
              <w:jc w:val="center"/>
              <w:rPr>
                <w:szCs w:val="28"/>
              </w:rPr>
            </w:pPr>
            <w:r w:rsidRPr="000F2D00">
              <w:rPr>
                <w:szCs w:val="28"/>
              </w:rPr>
              <w:t>Інсулінові помпи</w:t>
            </w:r>
          </w:p>
        </w:tc>
        <w:tc>
          <w:tcPr>
            <w:tcW w:w="7737" w:type="dxa"/>
          </w:tcPr>
          <w:p w:rsidR="00297B7D" w:rsidRPr="000F2D00" w:rsidRDefault="00297B7D" w:rsidP="000F2D00">
            <w:pPr>
              <w:spacing w:after="0" w:line="240" w:lineRule="auto"/>
              <w:rPr>
                <w:szCs w:val="28"/>
              </w:rPr>
            </w:pPr>
            <w:r w:rsidRPr="000F2D00">
              <w:rPr>
                <w:szCs w:val="28"/>
              </w:rPr>
              <w:t xml:space="preserve">Пристрої для постійної підшкірної </w:t>
            </w:r>
            <w:proofErr w:type="spellStart"/>
            <w:r w:rsidRPr="000F2D00">
              <w:rPr>
                <w:szCs w:val="28"/>
              </w:rPr>
              <w:t>інфузії</w:t>
            </w:r>
            <w:proofErr w:type="spellEnd"/>
            <w:r w:rsidRPr="000F2D00">
              <w:rPr>
                <w:szCs w:val="28"/>
              </w:rPr>
              <w:t xml:space="preserve"> інсуліну, в тому числі з постійним моніторингом рівня глікемії</w:t>
            </w:r>
          </w:p>
        </w:tc>
      </w:tr>
    </w:tbl>
    <w:p w:rsidR="00BE2317" w:rsidRPr="00297B7D" w:rsidRDefault="00BE2317" w:rsidP="00BE2317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  <w:r w:rsidRPr="00255D6E">
        <w:rPr>
          <w:rFonts w:ascii="Times New Roman" w:eastAsia="TimesNewRomanPSMT" w:hAnsi="Times New Roman"/>
          <w:sz w:val="20"/>
          <w:szCs w:val="20"/>
          <w:lang w:eastAsia="en-US"/>
        </w:rPr>
        <w:lastRenderedPageBreak/>
        <w:t xml:space="preserve">Додаток </w:t>
      </w:r>
      <w:r>
        <w:rPr>
          <w:rFonts w:ascii="Times New Roman" w:eastAsia="TimesNewRomanPSMT" w:hAnsi="Times New Roman"/>
          <w:sz w:val="20"/>
          <w:szCs w:val="20"/>
          <w:lang w:val="ru-RU" w:eastAsia="en-US"/>
        </w:rPr>
        <w:t>5</w:t>
      </w:r>
    </w:p>
    <w:p w:rsidR="00BE2317" w:rsidRDefault="00BE2317" w:rsidP="00647FDC">
      <w:pPr>
        <w:spacing w:line="240" w:lineRule="auto"/>
        <w:jc w:val="center"/>
        <w:rPr>
          <w:rFonts w:ascii="Times New Roman" w:hAnsi="Times New Roman"/>
          <w:sz w:val="20"/>
          <w:szCs w:val="20"/>
          <w:lang w:val="ru-RU"/>
        </w:rPr>
      </w:pPr>
    </w:p>
    <w:p w:rsidR="00BE2317" w:rsidRPr="00A125E3" w:rsidRDefault="00BE2317" w:rsidP="00BE2317">
      <w:pPr>
        <w:suppressAutoHyphens/>
        <w:jc w:val="center"/>
        <w:rPr>
          <w:b/>
          <w:sz w:val="28"/>
          <w:szCs w:val="28"/>
        </w:rPr>
      </w:pPr>
      <w:r w:rsidRPr="00A125E3">
        <w:rPr>
          <w:b/>
          <w:sz w:val="28"/>
          <w:szCs w:val="28"/>
        </w:rPr>
        <w:t>Інформаційний лист для пацієнта з цукровим діабетом 1 типу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9"/>
      </w:tblGrid>
      <w:tr w:rsidR="00BE2317" w:rsidRPr="00A125E3" w:rsidTr="00BE2317">
        <w:trPr>
          <w:jc w:val="center"/>
        </w:trPr>
        <w:tc>
          <w:tcPr>
            <w:tcW w:w="11169" w:type="dxa"/>
          </w:tcPr>
          <w:p w:rsidR="00BE2317" w:rsidRPr="00917A79" w:rsidRDefault="00BE2317" w:rsidP="00E45A31">
            <w:pPr>
              <w:suppressAutoHyphens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З метою запобігання виникнення ускладнень всім пацієнтам необхідно постійно здійснювати самоконтроль ЦД 1 типу, а саме:</w:t>
            </w:r>
          </w:p>
          <w:p w:rsidR="00BE2317" w:rsidRPr="00917A79" w:rsidRDefault="00BE2317" w:rsidP="00BE2317">
            <w:pPr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Дотримуватись дієти та контролювати вміст вуглеводів і жирів у раціоні харчування.</w:t>
            </w:r>
          </w:p>
          <w:p w:rsidR="00BE2317" w:rsidRPr="00917A79" w:rsidRDefault="00BE2317" w:rsidP="00BE2317">
            <w:pPr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Здійснювати контроль рівня глюкози крові згідно з рекомендаціями лікаря.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Відмовитись від вживання тютюнових виробів, зловживання алкоголем.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Регулювати фізичні навантаження.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Здійснювати належний догляд за ступнями.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Здійснювати контроль за АТ.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Здійснювати контроль маси тіла і намагатися нормалізувати її.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proofErr w:type="spellStart"/>
            <w:r w:rsidRPr="00917A79">
              <w:rPr>
                <w:sz w:val="24"/>
                <w:szCs w:val="26"/>
              </w:rPr>
              <w:t>Глікозильований</w:t>
            </w:r>
            <w:proofErr w:type="spellEnd"/>
            <w:r w:rsidRPr="00917A79">
              <w:rPr>
                <w:sz w:val="24"/>
                <w:szCs w:val="26"/>
              </w:rPr>
              <w:t xml:space="preserve"> гемоглобін (</w:t>
            </w:r>
            <w:r w:rsidRPr="00917A79">
              <w:rPr>
                <w:sz w:val="24"/>
                <w:szCs w:val="28"/>
              </w:rPr>
              <w:t>HbA</w:t>
            </w:r>
            <w:r w:rsidRPr="00917A79">
              <w:rPr>
                <w:sz w:val="24"/>
                <w:szCs w:val="28"/>
                <w:vertAlign w:val="subscript"/>
              </w:rPr>
              <w:t>1c</w:t>
            </w:r>
            <w:r w:rsidRPr="00917A79">
              <w:rPr>
                <w:sz w:val="24"/>
                <w:szCs w:val="26"/>
              </w:rPr>
              <w:t xml:space="preserve">) слід визначати </w:t>
            </w:r>
            <w:proofErr w:type="spellStart"/>
            <w:r w:rsidRPr="00917A79">
              <w:rPr>
                <w:sz w:val="24"/>
                <w:szCs w:val="26"/>
              </w:rPr>
              <w:t>щонайменш</w:t>
            </w:r>
            <w:proofErr w:type="spellEnd"/>
            <w:r w:rsidRPr="00917A79">
              <w:rPr>
                <w:sz w:val="24"/>
                <w:szCs w:val="26"/>
              </w:rPr>
              <w:t xml:space="preserve"> 2 рази на рік.</w:t>
            </w:r>
          </w:p>
          <w:p w:rsidR="00BE2317" w:rsidRPr="00917A79" w:rsidRDefault="00BE2317" w:rsidP="00E45A31">
            <w:pPr>
              <w:suppressAutoHyphens/>
              <w:jc w:val="both"/>
              <w:rPr>
                <w:sz w:val="24"/>
                <w:szCs w:val="26"/>
              </w:rPr>
            </w:pPr>
            <w:proofErr w:type="spellStart"/>
            <w:r w:rsidRPr="00917A79">
              <w:rPr>
                <w:sz w:val="24"/>
                <w:szCs w:val="26"/>
              </w:rPr>
              <w:t>Щонайменш</w:t>
            </w:r>
            <w:proofErr w:type="spellEnd"/>
            <w:r w:rsidRPr="00917A79">
              <w:rPr>
                <w:sz w:val="24"/>
                <w:szCs w:val="26"/>
              </w:rPr>
              <w:t xml:space="preserve"> 1 раз на рік проходити наступні обстеження: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Визначення ліпідного профілю.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 xml:space="preserve">Визначення аналізу сечі на </w:t>
            </w:r>
            <w:proofErr w:type="spellStart"/>
            <w:r w:rsidRPr="00917A79">
              <w:rPr>
                <w:sz w:val="24"/>
                <w:szCs w:val="26"/>
              </w:rPr>
              <w:t>мікроальбумінурію</w:t>
            </w:r>
            <w:proofErr w:type="spellEnd"/>
            <w:r w:rsidRPr="00917A79">
              <w:rPr>
                <w:sz w:val="24"/>
                <w:szCs w:val="26"/>
              </w:rPr>
              <w:t xml:space="preserve"> і протеїнурію.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 xml:space="preserve">Визначення креатиніну сироватки крові визначати, САК у першій ранковій сечі і швидкість </w:t>
            </w:r>
            <w:proofErr w:type="spellStart"/>
            <w:r w:rsidRPr="00917A79">
              <w:rPr>
                <w:sz w:val="24"/>
                <w:szCs w:val="26"/>
              </w:rPr>
              <w:t>клубочкової</w:t>
            </w:r>
            <w:proofErr w:type="spellEnd"/>
            <w:r w:rsidRPr="00917A79">
              <w:rPr>
                <w:sz w:val="24"/>
                <w:szCs w:val="26"/>
              </w:rPr>
              <w:t xml:space="preserve"> фільтрації.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 xml:space="preserve">Обстеження очного </w:t>
            </w:r>
            <w:proofErr w:type="spellStart"/>
            <w:r w:rsidRPr="00917A79">
              <w:rPr>
                <w:sz w:val="24"/>
                <w:szCs w:val="26"/>
              </w:rPr>
              <w:t>дна</w:t>
            </w:r>
            <w:proofErr w:type="spellEnd"/>
            <w:r w:rsidRPr="00917A79">
              <w:rPr>
                <w:sz w:val="24"/>
                <w:szCs w:val="26"/>
              </w:rPr>
              <w:t xml:space="preserve"> з приводу діабетичної ретинопатії.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Обстеження нижніх кінцівок з приводу ішемії, невропатії, загального стану нижніх кінцівок.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Консультації спеціалістів за наявності показань (офтальмолога, нефролога, ін.).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Визначення індексу маси тіла, обхвату талії.</w:t>
            </w:r>
          </w:p>
          <w:p w:rsidR="00BE2317" w:rsidRPr="00917A79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4"/>
                <w:szCs w:val="26"/>
              </w:rPr>
            </w:pPr>
            <w:r w:rsidRPr="00917A79">
              <w:rPr>
                <w:sz w:val="24"/>
                <w:szCs w:val="26"/>
              </w:rPr>
              <w:t>Визначення психологічного стану.</w:t>
            </w:r>
          </w:p>
          <w:p w:rsidR="00BE2317" w:rsidRPr="00A125E3" w:rsidRDefault="00BE2317" w:rsidP="00BE2317">
            <w:pPr>
              <w:numPr>
                <w:ilvl w:val="0"/>
                <w:numId w:val="10"/>
              </w:numPr>
              <w:suppressAutoHyphens/>
              <w:spacing w:after="0" w:line="240" w:lineRule="auto"/>
              <w:jc w:val="both"/>
              <w:rPr>
                <w:sz w:val="28"/>
                <w:szCs w:val="28"/>
              </w:rPr>
            </w:pPr>
            <w:r w:rsidRPr="00917A79">
              <w:rPr>
                <w:sz w:val="24"/>
                <w:szCs w:val="26"/>
              </w:rPr>
              <w:t>Перевірка сексуального здоров'я.</w:t>
            </w:r>
          </w:p>
        </w:tc>
      </w:tr>
    </w:tbl>
    <w:p w:rsidR="00BE2317" w:rsidRPr="00A125E3" w:rsidRDefault="00BE2317" w:rsidP="00BE2317">
      <w:pPr>
        <w:pStyle w:val="ab"/>
        <w:rPr>
          <w:lang w:val="uk-UA"/>
        </w:rPr>
      </w:pPr>
    </w:p>
    <w:p w:rsidR="00AE52A2" w:rsidRDefault="00AE52A2" w:rsidP="00EA377F">
      <w:pPr>
        <w:spacing w:line="240" w:lineRule="auto"/>
        <w:rPr>
          <w:rFonts w:ascii="Times New Roman" w:hAnsi="Times New Roman"/>
          <w:sz w:val="20"/>
          <w:szCs w:val="20"/>
        </w:rPr>
      </w:pPr>
      <w:r w:rsidRPr="00917A79">
        <w:rPr>
          <w:rFonts w:ascii="Times New Roman" w:hAnsi="Times New Roman"/>
          <w:sz w:val="20"/>
          <w:szCs w:val="20"/>
        </w:rPr>
        <w:t xml:space="preserve">Підстава: </w:t>
      </w:r>
    </w:p>
    <w:p w:rsidR="00AE52A2" w:rsidRPr="001C353D" w:rsidRDefault="00AE52A2" w:rsidP="00EA377F">
      <w:pPr>
        <w:spacing w:line="240" w:lineRule="auto"/>
        <w:rPr>
          <w:rFonts w:ascii="Times New Roman" w:hAnsi="Times New Roman"/>
          <w:sz w:val="20"/>
          <w:szCs w:val="20"/>
        </w:rPr>
      </w:pPr>
      <w:r>
        <w:t xml:space="preserve">. </w:t>
      </w:r>
      <w:hyperlink r:id="rId7" w:tgtFrame="_blank" w:history="1">
        <w:r w:rsidRPr="001C353D">
          <w:rPr>
            <w:rStyle w:val="a5"/>
            <w:rFonts w:ascii="Arial" w:hAnsi="Arial" w:cs="Arial"/>
            <w:color w:val="auto"/>
            <w:sz w:val="18"/>
            <w:szCs w:val="18"/>
            <w:shd w:val="clear" w:color="auto" w:fill="FFFFFF"/>
          </w:rPr>
          <w:t>Наказ МОЗ України від 29.12.2014 № 1021</w:t>
        </w:r>
      </w:hyperlink>
      <w:r w:rsidRPr="001C353D">
        <w:rPr>
          <w:rFonts w:ascii="Arial" w:hAnsi="Arial" w:cs="Arial"/>
          <w:sz w:val="18"/>
          <w:szCs w:val="18"/>
          <w:shd w:val="clear" w:color="auto" w:fill="FFFFFF"/>
        </w:rPr>
        <w:t> "Про затвердження та впровадження медико-технологічних документів зі стандартизації медичної допомоги при цукровому діабеті 1 типу у молодих людей та дорослих"</w:t>
      </w:r>
      <w:hyperlink r:id="rId8" w:tgtFrame="_blank" w:history="1">
        <w:r w:rsidRPr="001C353D">
          <w:rPr>
            <w:rStyle w:val="a5"/>
            <w:rFonts w:ascii="Arial" w:hAnsi="Arial" w:cs="Arial"/>
            <w:color w:val="auto"/>
            <w:sz w:val="18"/>
            <w:szCs w:val="18"/>
            <w:shd w:val="clear" w:color="auto" w:fill="FFFFFF"/>
          </w:rPr>
          <w:t>Уніфікований клінічний протокол первинної, екстреної, вторинної (спеціалізованої) та третинної (високоспеціалізованої) медичної допомоги «Цукровий діабет 1 типу у молодих людей та дорослих» </w:t>
        </w:r>
      </w:hyperlink>
    </w:p>
    <w:sectPr w:rsidR="00AE52A2" w:rsidRPr="001C353D" w:rsidSect="00CA7350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502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5223BE"/>
    <w:multiLevelType w:val="hybridMultilevel"/>
    <w:tmpl w:val="ACBC2162"/>
    <w:lvl w:ilvl="0" w:tplc="9A66D8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914E1"/>
    <w:multiLevelType w:val="hybridMultilevel"/>
    <w:tmpl w:val="4AD09E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AE4CAD"/>
    <w:multiLevelType w:val="hybridMultilevel"/>
    <w:tmpl w:val="0150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5644CD3"/>
    <w:multiLevelType w:val="hybridMultilevel"/>
    <w:tmpl w:val="E67EF26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5CF47BF"/>
    <w:multiLevelType w:val="hybridMultilevel"/>
    <w:tmpl w:val="6F0807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4717EF"/>
    <w:multiLevelType w:val="multilevel"/>
    <w:tmpl w:val="06E01FC8"/>
    <w:lvl w:ilvl="0">
      <w:start w:val="1"/>
      <w:numFmt w:val="bullet"/>
      <w:pStyle w:val="a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700" w:hanging="340"/>
      </w:pPr>
      <w:rPr>
        <w:rFonts w:ascii="Wingdings" w:hAnsi="Wingdings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0355"/>
    <w:rsid w:val="000362FF"/>
    <w:rsid w:val="000A184B"/>
    <w:rsid w:val="000D5AA3"/>
    <w:rsid w:val="000F2D00"/>
    <w:rsid w:val="00141DCF"/>
    <w:rsid w:val="001446B6"/>
    <w:rsid w:val="0015434C"/>
    <w:rsid w:val="00160C53"/>
    <w:rsid w:val="00176AE4"/>
    <w:rsid w:val="001C353D"/>
    <w:rsid w:val="001E75D6"/>
    <w:rsid w:val="001F135C"/>
    <w:rsid w:val="002050D9"/>
    <w:rsid w:val="002336F6"/>
    <w:rsid w:val="00234BB9"/>
    <w:rsid w:val="00235F2C"/>
    <w:rsid w:val="00255D6E"/>
    <w:rsid w:val="0026587D"/>
    <w:rsid w:val="00297B7D"/>
    <w:rsid w:val="002A2BEE"/>
    <w:rsid w:val="002B0408"/>
    <w:rsid w:val="002D3321"/>
    <w:rsid w:val="002D4894"/>
    <w:rsid w:val="00334E80"/>
    <w:rsid w:val="00381350"/>
    <w:rsid w:val="0038635B"/>
    <w:rsid w:val="003F17D4"/>
    <w:rsid w:val="00421349"/>
    <w:rsid w:val="00440C05"/>
    <w:rsid w:val="00443276"/>
    <w:rsid w:val="00464ED5"/>
    <w:rsid w:val="00481182"/>
    <w:rsid w:val="004F1CC2"/>
    <w:rsid w:val="00507137"/>
    <w:rsid w:val="0051326F"/>
    <w:rsid w:val="00517B44"/>
    <w:rsid w:val="005422D4"/>
    <w:rsid w:val="005938D4"/>
    <w:rsid w:val="005F6D2E"/>
    <w:rsid w:val="00647FDC"/>
    <w:rsid w:val="00684BDB"/>
    <w:rsid w:val="00702B02"/>
    <w:rsid w:val="007174D2"/>
    <w:rsid w:val="00761A83"/>
    <w:rsid w:val="00761ACC"/>
    <w:rsid w:val="00775F53"/>
    <w:rsid w:val="007D6E27"/>
    <w:rsid w:val="007F2D2A"/>
    <w:rsid w:val="00805B71"/>
    <w:rsid w:val="00806070"/>
    <w:rsid w:val="00806167"/>
    <w:rsid w:val="00870355"/>
    <w:rsid w:val="00886617"/>
    <w:rsid w:val="008927FF"/>
    <w:rsid w:val="008F268D"/>
    <w:rsid w:val="00917A79"/>
    <w:rsid w:val="009212F3"/>
    <w:rsid w:val="00946507"/>
    <w:rsid w:val="00966709"/>
    <w:rsid w:val="00980D3D"/>
    <w:rsid w:val="00996805"/>
    <w:rsid w:val="00A125E3"/>
    <w:rsid w:val="00A33552"/>
    <w:rsid w:val="00A53995"/>
    <w:rsid w:val="00AB666C"/>
    <w:rsid w:val="00AE0ACD"/>
    <w:rsid w:val="00AE52A2"/>
    <w:rsid w:val="00B06029"/>
    <w:rsid w:val="00B42DB0"/>
    <w:rsid w:val="00BE2317"/>
    <w:rsid w:val="00C0347E"/>
    <w:rsid w:val="00C20FBE"/>
    <w:rsid w:val="00C419F8"/>
    <w:rsid w:val="00C6319A"/>
    <w:rsid w:val="00C6578B"/>
    <w:rsid w:val="00C731AD"/>
    <w:rsid w:val="00CA7350"/>
    <w:rsid w:val="00CC7C27"/>
    <w:rsid w:val="00CF565A"/>
    <w:rsid w:val="00CF567F"/>
    <w:rsid w:val="00D11186"/>
    <w:rsid w:val="00D16042"/>
    <w:rsid w:val="00D37390"/>
    <w:rsid w:val="00D41A3F"/>
    <w:rsid w:val="00D47086"/>
    <w:rsid w:val="00D852A7"/>
    <w:rsid w:val="00D940EB"/>
    <w:rsid w:val="00D94593"/>
    <w:rsid w:val="00DD0E50"/>
    <w:rsid w:val="00DE7FE0"/>
    <w:rsid w:val="00E026C4"/>
    <w:rsid w:val="00E22514"/>
    <w:rsid w:val="00EA24F5"/>
    <w:rsid w:val="00EA377F"/>
    <w:rsid w:val="00F0511B"/>
    <w:rsid w:val="00F659E3"/>
    <w:rsid w:val="00FB5D4E"/>
    <w:rsid w:val="00FD13D8"/>
    <w:rsid w:val="00FD7373"/>
    <w:rsid w:val="00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70355"/>
    <w:pPr>
      <w:spacing w:after="200" w:line="276" w:lineRule="auto"/>
    </w:pPr>
    <w:rPr>
      <w:rFonts w:eastAsia="Times New Roman"/>
      <w:sz w:val="22"/>
      <w:szCs w:val="22"/>
    </w:rPr>
  </w:style>
  <w:style w:type="paragraph" w:styleId="8">
    <w:name w:val="heading 8"/>
    <w:basedOn w:val="a0"/>
    <w:next w:val="a0"/>
    <w:link w:val="80"/>
    <w:qFormat/>
    <w:locked/>
    <w:rsid w:val="00297B7D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ru-RU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D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semiHidden/>
    <w:rsid w:val="00255D6E"/>
    <w:rPr>
      <w:rFonts w:cs="Times New Roman"/>
      <w:color w:val="0000FF"/>
      <w:u w:val="single"/>
    </w:rPr>
  </w:style>
  <w:style w:type="paragraph" w:styleId="a6">
    <w:name w:val="List Paragraph"/>
    <w:basedOn w:val="a0"/>
    <w:uiPriority w:val="99"/>
    <w:qFormat/>
    <w:rsid w:val="001C353D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D37390"/>
    <w:pPr>
      <w:spacing w:after="120" w:line="240" w:lineRule="auto"/>
    </w:pPr>
    <w:rPr>
      <w:rFonts w:eastAsia="Calibri"/>
      <w:sz w:val="24"/>
      <w:szCs w:val="20"/>
      <w:lang w:val="ru-RU" w:eastAsia="ru-RU"/>
    </w:rPr>
  </w:style>
  <w:style w:type="character" w:customStyle="1" w:styleId="BodyTextChar">
    <w:name w:val="Body Text Char"/>
    <w:uiPriority w:val="99"/>
    <w:semiHidden/>
    <w:locked/>
    <w:rsid w:val="00C20FBE"/>
    <w:rPr>
      <w:rFonts w:eastAsia="Times New Roman" w:cs="Times New Roman"/>
      <w:lang w:val="uk-UA" w:eastAsia="uk-UA"/>
    </w:rPr>
  </w:style>
  <w:style w:type="character" w:customStyle="1" w:styleId="a8">
    <w:name w:val="Основной текст Знак"/>
    <w:link w:val="a7"/>
    <w:uiPriority w:val="99"/>
    <w:locked/>
    <w:rsid w:val="00D37390"/>
    <w:rPr>
      <w:sz w:val="24"/>
      <w:lang w:val="ru-RU" w:eastAsia="ru-RU"/>
    </w:rPr>
  </w:style>
  <w:style w:type="paragraph" w:customStyle="1" w:styleId="a9">
    <w:name w:val="Абзац"/>
    <w:basedOn w:val="a0"/>
    <w:uiPriority w:val="99"/>
    <w:rsid w:val="00806070"/>
    <w:pPr>
      <w:spacing w:before="120" w:after="120" w:line="240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a">
    <w:name w:val="page number"/>
    <w:rsid w:val="00235F2C"/>
    <w:rPr>
      <w:rFonts w:cs="Times New Roman"/>
    </w:rPr>
  </w:style>
  <w:style w:type="paragraph" w:styleId="a">
    <w:name w:val="List Bullet"/>
    <w:basedOn w:val="a0"/>
    <w:uiPriority w:val="99"/>
    <w:rsid w:val="00235F2C"/>
    <w:pPr>
      <w:numPr>
        <w:numId w:val="8"/>
      </w:numPr>
      <w:spacing w:after="0" w:line="240" w:lineRule="auto"/>
      <w:contextualSpacing/>
    </w:pPr>
    <w:rPr>
      <w:rFonts w:ascii="Verdana" w:hAnsi="Verdana" w:cs="Arial"/>
      <w:sz w:val="20"/>
      <w:szCs w:val="20"/>
      <w:lang w:val="en-GB" w:eastAsia="en-US"/>
    </w:rPr>
  </w:style>
  <w:style w:type="character" w:customStyle="1" w:styleId="80">
    <w:name w:val="Заголовок 8 Знак"/>
    <w:link w:val="8"/>
    <w:rsid w:val="00297B7D"/>
    <w:rPr>
      <w:rFonts w:ascii="Times New Roman" w:eastAsia="Batang" w:hAnsi="Times New Roman"/>
      <w:i/>
      <w:iCs/>
      <w:sz w:val="24"/>
      <w:szCs w:val="24"/>
      <w:lang w:eastAsia="ko-KR"/>
    </w:rPr>
  </w:style>
  <w:style w:type="paragraph" w:styleId="ab">
    <w:name w:val="No Spacing"/>
    <w:qFormat/>
    <w:rsid w:val="00BE2317"/>
    <w:rPr>
      <w:rFonts w:eastAsia="Times New Roman"/>
      <w:sz w:val="22"/>
      <w:szCs w:val="22"/>
      <w:lang w:val="ru-RU" w:eastAsia="ru-RU"/>
    </w:rPr>
  </w:style>
  <w:style w:type="character" w:customStyle="1" w:styleId="ac">
    <w:name w:val="Основной текст_"/>
    <w:link w:val="3"/>
    <w:rsid w:val="001E75D6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3">
    <w:name w:val="Основной текст3"/>
    <w:basedOn w:val="a0"/>
    <w:link w:val="ac"/>
    <w:rsid w:val="001E75D6"/>
    <w:pPr>
      <w:widowControl w:val="0"/>
      <w:shd w:val="clear" w:color="auto" w:fill="FFFFFF"/>
      <w:spacing w:after="0" w:line="0" w:lineRule="atLeast"/>
      <w:ind w:hanging="500"/>
      <w:jc w:val="center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td.dec.gov.ua/images/dodatki/2014_1021_CD1_dor/2014_1021_YKPMD_CD1_dor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td.dec.gov.ua/images/dodatki/2014_1021_CD1_dor/2014_1021_nakaz_CD1_d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td.dec.gov.ua/images/dodatki/2014_1021_CD1_dor/2014_1021_YKPMD_CD1_dor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10621</Words>
  <Characters>6055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Діагноз: Діабетична ретинопатія</vt:lpstr>
    </vt:vector>
  </TitlesOfParts>
  <Company/>
  <LinksUpToDate>false</LinksUpToDate>
  <CharactersWithSpaces>16643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Діагноз: Діабетична ретинопатія</dc:title>
  <dc:subject/>
  <dc:creator>Admin</dc:creator>
  <cp:keywords/>
  <dc:description/>
  <cp:lastModifiedBy>Пользователь Windows</cp:lastModifiedBy>
  <cp:revision>16</cp:revision>
  <cp:lastPrinted>2018-06-04T12:17:00Z</cp:lastPrinted>
  <dcterms:created xsi:type="dcterms:W3CDTF">2018-05-27T17:44:00Z</dcterms:created>
  <dcterms:modified xsi:type="dcterms:W3CDTF">2018-07-04T08:31:00Z</dcterms:modified>
</cp:coreProperties>
</file>