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3A" w:rsidRPr="007E0E75" w:rsidRDefault="00F6073A" w:rsidP="00FC5396">
      <w:pPr>
        <w:pStyle w:val="Heading4"/>
        <w:ind w:left="-567" w:right="-58"/>
        <w:rPr>
          <w:b w:val="0"/>
          <w:sz w:val="24"/>
          <w:szCs w:val="24"/>
        </w:rPr>
      </w:pPr>
      <w:r w:rsidRPr="007E0E75">
        <w:rPr>
          <w:b w:val="0"/>
          <w:sz w:val="24"/>
          <w:szCs w:val="24"/>
        </w:rPr>
        <w:t>Выписной эпикриз</w:t>
      </w:r>
    </w:p>
    <w:p w:rsidR="00F6073A" w:rsidRPr="007E0E75" w:rsidRDefault="00F6073A" w:rsidP="00FC5396">
      <w:pPr>
        <w:pStyle w:val="Heading4"/>
        <w:ind w:left="-567"/>
        <w:rPr>
          <w:b w:val="0"/>
          <w:sz w:val="24"/>
          <w:szCs w:val="24"/>
        </w:rPr>
      </w:pPr>
      <w:r w:rsidRPr="007E0E75">
        <w:rPr>
          <w:b w:val="0"/>
          <w:sz w:val="24"/>
          <w:szCs w:val="24"/>
        </w:rPr>
        <w:t>Из истории болезни №  162</w:t>
      </w:r>
    </w:p>
    <w:p w:rsidR="00F6073A" w:rsidRPr="007E0E75" w:rsidRDefault="00F6073A" w:rsidP="00FC5396">
      <w:pPr>
        <w:pStyle w:val="Heading5"/>
        <w:ind w:left="-567"/>
        <w:rPr>
          <w:sz w:val="24"/>
          <w:szCs w:val="24"/>
        </w:rPr>
      </w:pPr>
      <w:r w:rsidRPr="007E0E75">
        <w:rPr>
          <w:sz w:val="24"/>
          <w:szCs w:val="24"/>
        </w:rPr>
        <w:t>Ф.И.О: Загуменная Галина Ивановна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>Год рождения: 1953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>Место жительства: г. Мелитополь, пер,  1 Карла Либннехта, 2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>Место работы: пенсионер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>Находился на лечении с   04.01.15 по   18.02.15 в  энд. отд.</w:t>
      </w:r>
    </w:p>
    <w:p w:rsidR="00F6073A" w:rsidRPr="007E0E75" w:rsidRDefault="00F6073A" w:rsidP="00836B6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Диагноз:</w:t>
      </w:r>
      <w:r w:rsidRPr="007E0E75">
        <w:rPr>
          <w:lang w:val="ru-RU"/>
        </w:rPr>
        <w:t xml:space="preserve">  Сахарный диабет, тип 2, вторичноинсулинзависимый, тяжелая форма,  декомпенсация. Рецидивирующий гемофтальм ОД. Пролиферативная  диабетическая ретинопатия ОИ. Состояние после панретинальной лазеркоагуляции сетчатки ОИ. Диабетический макулярный отек OS. ХБП II ст. Диабетическая нефропатия I</w:t>
      </w:r>
      <w:r w:rsidRPr="007E0E75">
        <w:rPr>
          <w:lang w:val="en-US"/>
        </w:rPr>
        <w:t>V</w:t>
      </w:r>
      <w:r w:rsidRPr="007E0E75">
        <w:rPr>
          <w:lang w:val="ru-RU"/>
        </w:rPr>
        <w:t xml:space="preserve"> ст. Инфекция мочевыводящих путей. Хроническая дистальная диабетическая полинейропатия н/к IIст, сенсомоторная форма. ДЭП 1-II сочетанного генеза. Диаб. ангиопатия артерий н/к. ИБС,  диффузный кардиосклероз, СН I. Гипертоническая болезнь II стадии III степени. Гипертензивное сердце Риск 4. Ожирение I ст. (ИМТ 32кг/м</w:t>
      </w:r>
      <w:r w:rsidRPr="007E0E75">
        <w:rPr>
          <w:vertAlign w:val="superscript"/>
          <w:lang w:val="ru-RU"/>
        </w:rPr>
        <w:t>2</w:t>
      </w:r>
      <w:r w:rsidRPr="007E0E75">
        <w:rPr>
          <w:lang w:val="ru-RU"/>
        </w:rPr>
        <w:t xml:space="preserve">) алим.-конституционального генеза, стабильное течение.   Послеоперационный гипотиреоз, средней тяжести, мед. компенсация. 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 xml:space="preserve">Жалобы при поступлении </w:t>
      </w:r>
      <w:r w:rsidRPr="007E0E75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200100 мм рт.ст., головные боли, головокружение, дискомфорт  в прекардиальной области.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Краткий анамнез</w:t>
      </w:r>
      <w:r w:rsidRPr="007E0E75">
        <w:rPr>
          <w:lang w:val="ru-RU"/>
        </w:rPr>
        <w:t>: СД выявлен в 2009г. Комы отрицает. С начала заболевания ССП. В наст. время принимает:  олтар 3 мг утром, сиофор 1000 мг веч. Гликемия –9-13 ммоль/л. Боли в н/к в течение 5 лет. Повышение АД в течение 20 лет. Из гипотензивных принимает  лизиноприл 20 мг 2р\д. ТТГ –2,84 (0,3-4,0) Мме/л от 30.01.15. В 1994 тиреоидэктомия по поводу Cr щит. железы. В настоящее время принимает L-тироксин 100 мкг утром. Госпитализирована  в обл. энд. диспансер для коррекции ССТ, лечения хр. осложнений СД.</w:t>
      </w:r>
    </w:p>
    <w:p w:rsidR="00F6073A" w:rsidRPr="007E0E75" w:rsidRDefault="00F6073A" w:rsidP="00FC5396">
      <w:pPr>
        <w:ind w:left="-567"/>
        <w:jc w:val="both"/>
        <w:rPr>
          <w:u w:val="single"/>
          <w:lang w:val="ru-RU"/>
        </w:rPr>
      </w:pPr>
      <w:r w:rsidRPr="007E0E75">
        <w:rPr>
          <w:u w:val="single"/>
          <w:lang w:val="ru-RU"/>
        </w:rPr>
        <w:t>Данные лабораторных исследований.</w:t>
      </w:r>
    </w:p>
    <w:p w:rsidR="00F6073A" w:rsidRPr="007E0E75" w:rsidRDefault="00F6073A" w:rsidP="00EF59A1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05.01.15 Общ. ан. крови Нв –125  г/л  эритр –3,9  лейк –6,2  СОЭ – 42 мм/час   </w:t>
      </w:r>
    </w:p>
    <w:p w:rsidR="00F6073A" w:rsidRPr="007E0E75" w:rsidRDefault="00F6073A" w:rsidP="00EF59A1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э- 5%    п- 1%   с- 49%   л- 40 %   м- 5%  </w:t>
      </w:r>
    </w:p>
    <w:p w:rsidR="00F6073A" w:rsidRPr="007E0E75" w:rsidRDefault="00F6073A" w:rsidP="00EF59A1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06.01.15 Общ. ан. крови Нв 142–  г/л  эритр –4,3 лейк –9,0  СОЭ –40  мм/час   </w:t>
      </w:r>
    </w:p>
    <w:p w:rsidR="00F6073A" w:rsidRPr="007E0E75" w:rsidRDefault="00F6073A" w:rsidP="00EF59A1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э- 3%    п- 0%   с- 56%   л- 32 %   м- 9%  </w:t>
      </w:r>
    </w:p>
    <w:p w:rsidR="00F6073A" w:rsidRPr="007E0E75" w:rsidRDefault="00F6073A" w:rsidP="00EF59A1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10.01.15 Общ. ан. крови Нв – 137 г/л  эритр – 4,1 лейк – 7,4 СОЭ –34  мм/час   </w:t>
      </w:r>
    </w:p>
    <w:p w:rsidR="00F6073A" w:rsidRPr="007E0E75" w:rsidRDefault="00F6073A" w:rsidP="00EF59A1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э- 3%    п- 0%   с-53%   л- 2 %   м- %  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05.01.15 Биохимия: СКФ –78 мл./мин., хол –5,8 тригл -3,2 ХСЛПВП – 1,06ХСЛПНП -3,27 Катер -4,5 мочевина –5,7  креатинин –91   бил общ –13,4  бил пр –3,2  тим –3,8  АСТ –  0,32 АЛТ – 0,16  ммоль/л; 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>05.01.15 Глик. гемоглобин -9,2 %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>06.02.15 Са – 2,17 ммоль/л.</w:t>
      </w:r>
    </w:p>
    <w:p w:rsidR="00F6073A" w:rsidRPr="007E0E75" w:rsidRDefault="00F6073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E0E75">
        <w:rPr>
          <w:b w:val="0"/>
          <w:sz w:val="24"/>
          <w:szCs w:val="24"/>
        </w:rPr>
        <w:t>05.02.15 Общ. ан. мочи уд вес 1005  лейк – 5-6-7 в п/зр белок – 0,098  ацетон –отр;  эпит. пл. -ед ; эпит. перех. ед  в п/зр</w:t>
      </w:r>
    </w:p>
    <w:p w:rsidR="00F6073A" w:rsidRPr="007E0E75" w:rsidRDefault="00F6073A" w:rsidP="00345685">
      <w:pPr>
        <w:ind w:left="-567"/>
        <w:rPr>
          <w:lang w:val="ru-RU"/>
        </w:rPr>
      </w:pPr>
      <w:r w:rsidRPr="007E0E75">
        <w:rPr>
          <w:lang w:val="ru-RU"/>
        </w:rPr>
        <w:t>06.01.15 Анализ мочи по Нечипоренко лейк -20500  эритр -250  белок – 0,081</w:t>
      </w:r>
    </w:p>
    <w:p w:rsidR="00F6073A" w:rsidRPr="007E0E75" w:rsidRDefault="00F6073A" w:rsidP="00345685">
      <w:pPr>
        <w:ind w:left="-567"/>
        <w:rPr>
          <w:lang w:val="ru-RU"/>
        </w:rPr>
      </w:pPr>
      <w:r w:rsidRPr="007E0E75">
        <w:rPr>
          <w:lang w:val="ru-RU"/>
        </w:rPr>
        <w:t>10.02.15 Анализ мочи по Нечипоренко лейк -8000  эритр -  белок – отр</w:t>
      </w:r>
    </w:p>
    <w:p w:rsidR="00F6073A" w:rsidRPr="007E0E75" w:rsidRDefault="00F6073A" w:rsidP="00FC5396">
      <w:pPr>
        <w:ind w:left="-567"/>
        <w:rPr>
          <w:lang w:val="ru-RU"/>
        </w:rPr>
      </w:pPr>
      <w:r w:rsidRPr="007E0E75">
        <w:rPr>
          <w:lang w:val="ru-RU"/>
        </w:rPr>
        <w:t>06.02.15 Суточная глюкозурия –0,44  %;   Суточная протеинурия –  0,168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6073A" w:rsidRPr="007E0E75" w:rsidTr="00B76356">
        <w:tc>
          <w:tcPr>
            <w:tcW w:w="2518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 xml:space="preserve">Гликемический </w:t>
            </w:r>
          </w:p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20.00</w:t>
            </w:r>
          </w:p>
        </w:tc>
      </w:tr>
      <w:tr w:rsidR="00F6073A" w:rsidRPr="007E0E75" w:rsidTr="00B76356">
        <w:tc>
          <w:tcPr>
            <w:tcW w:w="2518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8,8</w:t>
            </w:r>
          </w:p>
        </w:tc>
      </w:tr>
      <w:tr w:rsidR="00F6073A" w:rsidRPr="007E0E75" w:rsidTr="00B76356">
        <w:tc>
          <w:tcPr>
            <w:tcW w:w="2518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10,9</w:t>
            </w:r>
          </w:p>
        </w:tc>
      </w:tr>
      <w:tr w:rsidR="00F6073A" w:rsidRPr="007E0E75" w:rsidTr="00B76356">
        <w:tc>
          <w:tcPr>
            <w:tcW w:w="2518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9,0</w:t>
            </w:r>
          </w:p>
        </w:tc>
      </w:tr>
      <w:tr w:rsidR="00F6073A" w:rsidRPr="007E0E75" w:rsidTr="00B76356">
        <w:tc>
          <w:tcPr>
            <w:tcW w:w="2518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 w:rsidRPr="007E0E7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</w:p>
        </w:tc>
      </w:tr>
      <w:tr w:rsidR="00F6073A" w:rsidRPr="007E0E75" w:rsidTr="00B76356">
        <w:tc>
          <w:tcPr>
            <w:tcW w:w="2518" w:type="dxa"/>
          </w:tcPr>
          <w:p w:rsidR="00F6073A" w:rsidRPr="00044809" w:rsidRDefault="00F6073A" w:rsidP="00B76356">
            <w:pPr>
              <w:rPr>
                <w:lang w:val="en-US"/>
              </w:rPr>
            </w:pPr>
            <w:r>
              <w:rPr>
                <w:lang w:val="en-US"/>
              </w:rPr>
              <w:t>14.02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073A" w:rsidRPr="00044809" w:rsidRDefault="00F6073A" w:rsidP="00B76356">
            <w:pPr>
              <w:rPr>
                <w:lang w:val="ru-RU"/>
              </w:rPr>
            </w:pPr>
            <w:r>
              <w:rPr>
                <w:lang w:val="ru-RU"/>
              </w:rPr>
              <w:t>7,</w:t>
            </w:r>
            <w:r w:rsidRPr="00044809"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</w:tr>
      <w:tr w:rsidR="00F6073A" w:rsidRPr="007E0E75" w:rsidTr="00B76356">
        <w:tc>
          <w:tcPr>
            <w:tcW w:w="2518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6073A" w:rsidRPr="007E0E75" w:rsidRDefault="00F60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3A" w:rsidRPr="007E0E75" w:rsidRDefault="00F6073A" w:rsidP="00B76356">
            <w:pPr>
              <w:rPr>
                <w:lang w:val="ru-RU"/>
              </w:rPr>
            </w:pPr>
          </w:p>
        </w:tc>
      </w:tr>
    </w:tbl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06.08.15Невропатолог</w:t>
      </w:r>
      <w:r w:rsidRPr="007E0E75">
        <w:rPr>
          <w:lang w:val="ru-RU"/>
        </w:rPr>
        <w:t>: ДЭП 1-II сочетанного генеза. Хроническая дистальная диабетическая полинейропатия н/к II, сенсомоторная форма.</w:t>
      </w:r>
    </w:p>
    <w:p w:rsidR="00F6073A" w:rsidRPr="00044809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Окулист</w:t>
      </w:r>
      <w:r w:rsidRPr="00A91FE9">
        <w:rPr>
          <w:lang w:val="ru-RU"/>
        </w:rPr>
        <w:t xml:space="preserve">: </w:t>
      </w:r>
      <w:r w:rsidRPr="007E0E75">
        <w:rPr>
          <w:lang w:val="en-US"/>
        </w:rPr>
        <w:t>VIS</w:t>
      </w:r>
      <w:r w:rsidRPr="00A91FE9">
        <w:rPr>
          <w:lang w:val="ru-RU"/>
        </w:rPr>
        <w:t xml:space="preserve"> </w:t>
      </w:r>
      <w:r w:rsidRPr="007E0E75">
        <w:rPr>
          <w:lang w:val="en-US"/>
        </w:rPr>
        <w:t>OD</w:t>
      </w:r>
      <w:r w:rsidRPr="00A91FE9">
        <w:rPr>
          <w:lang w:val="ru-RU"/>
        </w:rPr>
        <w:t>=</w:t>
      </w:r>
      <w:r w:rsidRPr="007E0E75">
        <w:rPr>
          <w:lang w:val="ru-RU"/>
        </w:rPr>
        <w:t>0,1н/к</w:t>
      </w:r>
      <w:r w:rsidRPr="00A91FE9">
        <w:rPr>
          <w:lang w:val="ru-RU"/>
        </w:rPr>
        <w:t xml:space="preserve">   </w:t>
      </w:r>
      <w:r w:rsidRPr="007E0E75">
        <w:rPr>
          <w:lang w:val="en-US"/>
        </w:rPr>
        <w:t>OS</w:t>
      </w:r>
      <w:r w:rsidRPr="00A91FE9">
        <w:rPr>
          <w:lang w:val="ru-RU"/>
        </w:rPr>
        <w:t xml:space="preserve">= </w:t>
      </w:r>
      <w:r w:rsidRPr="007E0E75">
        <w:rPr>
          <w:lang w:val="ru-RU"/>
        </w:rPr>
        <w:t>0,1 н/к</w:t>
      </w:r>
      <w:r w:rsidRPr="00A91FE9">
        <w:rPr>
          <w:lang w:val="ru-RU"/>
        </w:rPr>
        <w:t xml:space="preserve">   ; 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>
        <w:rPr>
          <w:lang w:val="ru-RU"/>
        </w:rPr>
        <w:t>ОД: с</w:t>
      </w:r>
      <w:r w:rsidRPr="007E0E75">
        <w:rPr>
          <w:lang w:val="ru-RU"/>
        </w:rPr>
        <w:t>вежый гемофтальм. O</w:t>
      </w:r>
      <w:r>
        <w:rPr>
          <w:lang w:val="ru-RU"/>
        </w:rPr>
        <w:t>S множественные микроаневризмы, р</w:t>
      </w:r>
      <w:r w:rsidRPr="007E0E75">
        <w:rPr>
          <w:lang w:val="ru-RU"/>
        </w:rPr>
        <w:t>етинальны</w:t>
      </w:r>
      <w:r>
        <w:rPr>
          <w:lang w:val="ru-RU"/>
        </w:rPr>
        <w:t>е гемморагии. ,экссудаты. лазерк</w:t>
      </w:r>
      <w:r w:rsidRPr="007E0E75">
        <w:rPr>
          <w:lang w:val="ru-RU"/>
        </w:rPr>
        <w:t>оау</w:t>
      </w:r>
      <w:r>
        <w:rPr>
          <w:lang w:val="ru-RU"/>
        </w:rPr>
        <w:t>гу</w:t>
      </w:r>
      <w:r w:rsidRPr="007E0E75">
        <w:rPr>
          <w:lang w:val="ru-RU"/>
        </w:rPr>
        <w:t>ля</w:t>
      </w:r>
      <w:r>
        <w:rPr>
          <w:lang w:val="ru-RU"/>
        </w:rPr>
        <w:t>нты, неоваскуляризация. В нижнем нос</w:t>
      </w:r>
      <w:r w:rsidRPr="007E0E75">
        <w:rPr>
          <w:lang w:val="ru-RU"/>
        </w:rPr>
        <w:t>о</w:t>
      </w:r>
      <w:r>
        <w:rPr>
          <w:lang w:val="ru-RU"/>
        </w:rPr>
        <w:t>вом квадранте свежее пререти</w:t>
      </w:r>
      <w:r w:rsidRPr="007E0E75">
        <w:rPr>
          <w:lang w:val="ru-RU"/>
        </w:rPr>
        <w:t xml:space="preserve">нальное кровоизлияние. Д-з: Рецидивирующий гемофтальм ОД. Пролиферативная  диабетическая ретинопатия ОИ. Состояние после панретинальной лазеркоагуляции сетчатки ОИ. Диабетический макулярный отек OS.. 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04.02.15ЭКГ</w:t>
      </w:r>
      <w:r w:rsidRPr="007E0E75">
        <w:rPr>
          <w:lang w:val="ru-RU"/>
        </w:rPr>
        <w:t xml:space="preserve">: ЧСС -100 уд/мин. Вольтаж снижен.  Ритм синусовый. Эл. ось отклонена влево. Позиция горизонтальная. Гипертрофия левого желудочка. Диффузные изменения миокарда. 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05.02.15Кардиолог</w:t>
      </w:r>
      <w:r w:rsidRPr="007E0E75">
        <w:rPr>
          <w:lang w:val="ru-RU"/>
        </w:rPr>
        <w:t>: ИБС, диффузный кардиосклероз, СН I. Гипертоническая болезнь III стадии III степени. Гипертензивное сердце Риск 4.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06.02.15Ангиохирург</w:t>
      </w:r>
      <w:r w:rsidRPr="007E0E75">
        <w:rPr>
          <w:lang w:val="ru-RU"/>
        </w:rPr>
        <w:t>: Диаб. ангиопатия артерий н/к.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13.02.15 Р-гр ОГК№ 84541:</w:t>
      </w:r>
      <w:r w:rsidRPr="007E0E75">
        <w:rPr>
          <w:lang w:val="ru-RU"/>
        </w:rPr>
        <w:t xml:space="preserve"> Легкие и сердце  без  особенностей. Видимых костных изменений нет.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04.02.15 на р-гр левой стопы в 2х проекциях</w:t>
      </w:r>
      <w:r w:rsidRPr="007E0E75">
        <w:rPr>
          <w:lang w:val="ru-RU"/>
        </w:rPr>
        <w:t xml:space="preserve"> остеопороз костных структур. Деструктивных изменений не выявлено.</w:t>
      </w:r>
    </w:p>
    <w:p w:rsidR="00F6073A" w:rsidRPr="007E0E75" w:rsidRDefault="00F6073A" w:rsidP="00FC5396">
      <w:pPr>
        <w:ind w:left="-567"/>
        <w:jc w:val="both"/>
        <w:rPr>
          <w:u w:val="single"/>
          <w:lang w:val="ru-RU"/>
        </w:rPr>
      </w:pPr>
      <w:r w:rsidRPr="007E0E75">
        <w:rPr>
          <w:u w:val="single"/>
          <w:lang w:val="ru-RU"/>
        </w:rPr>
        <w:t xml:space="preserve">04.02.15 Хирург: </w:t>
      </w:r>
      <w:r w:rsidRPr="007E0E75">
        <w:rPr>
          <w:lang w:val="ru-RU"/>
        </w:rPr>
        <w:t>диабетическая ангиопатия артерий н/к, ХИ II б ст.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04.02.15УЗИ щит. железы</w:t>
      </w:r>
      <w:r w:rsidRPr="007E0E75">
        <w:rPr>
          <w:lang w:val="ru-RU"/>
        </w:rPr>
        <w:t>: Пр д. V =1,5  см</w:t>
      </w:r>
      <w:r w:rsidRPr="007E0E75">
        <w:rPr>
          <w:vertAlign w:val="superscript"/>
          <w:lang w:val="ru-RU"/>
        </w:rPr>
        <w:t>3</w:t>
      </w:r>
      <w:r w:rsidRPr="007E0E75">
        <w:rPr>
          <w:lang w:val="ru-RU"/>
        </w:rPr>
        <w:t>; лев. д. V =0,8  см</w:t>
      </w:r>
      <w:r w:rsidRPr="007E0E75">
        <w:rPr>
          <w:vertAlign w:val="superscript"/>
          <w:lang w:val="ru-RU"/>
        </w:rPr>
        <w:t>3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lang w:val="ru-RU"/>
        </w:rPr>
        <w:t xml:space="preserve">Щит. железа не увеличена, контуры неровные. Эхогенность паренхимы снижена. Эхоструктура  однородная, прослойки фиброза. Регионарные л/узлы  не визуализируются. Закл.: Культи обеих долей. Диффузные изменения паренхимы. 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r w:rsidRPr="007E0E75">
        <w:rPr>
          <w:u w:val="single"/>
          <w:lang w:val="ru-RU"/>
        </w:rPr>
        <w:t>Лечение:</w:t>
      </w:r>
      <w:r w:rsidRPr="007E0E75">
        <w:rPr>
          <w:lang w:val="ru-RU"/>
        </w:rPr>
        <w:t xml:space="preserve"> актовегин, витаксон, нуклео ЦМФ, цефтриаксон, олтар, сиофор, L-тироксин, лизиноприл, индап, эналаприл, диап</w:t>
      </w:r>
      <w:r>
        <w:rPr>
          <w:lang w:val="ru-RU"/>
        </w:rPr>
        <w:t>ирид, бисопролол, фенигидин, пап</w:t>
      </w:r>
      <w:r w:rsidRPr="007E0E75">
        <w:rPr>
          <w:lang w:val="ru-RU"/>
        </w:rPr>
        <w:t>аверин, Хумодар Б100Р, глюкофаж XR, розарт, каптоприл, фитосед. предуктал</w:t>
      </w:r>
      <w:r w:rsidRPr="00A91FE9">
        <w:rPr>
          <w:lang w:val="ru-RU"/>
        </w:rPr>
        <w:t xml:space="preserve"> </w:t>
      </w:r>
      <w:r w:rsidRPr="007E0E75">
        <w:rPr>
          <w:lang w:val="en-US"/>
        </w:rPr>
        <w:t>MR</w:t>
      </w:r>
      <w:r w:rsidRPr="007E0E75">
        <w:rPr>
          <w:lang w:val="ru-RU"/>
        </w:rPr>
        <w:t xml:space="preserve"> .</w:t>
      </w:r>
    </w:p>
    <w:p w:rsidR="00F6073A" w:rsidRPr="007E0E75" w:rsidRDefault="00F6073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0E75">
        <w:rPr>
          <w:u w:val="single"/>
          <w:lang w:val="ru-RU"/>
        </w:rPr>
        <w:t>Состояние больного при выписке</w:t>
      </w:r>
      <w:r w:rsidRPr="007E0E75">
        <w:rPr>
          <w:lang w:val="ru-RU"/>
        </w:rPr>
        <w:t xml:space="preserve">: СД компенсирован, уменьшились боли в н/к. АД 150/90 мм рт. ст. </w:t>
      </w:r>
    </w:p>
    <w:p w:rsidR="00F6073A" w:rsidRPr="007E0E75" w:rsidRDefault="00F6073A">
      <w:pPr>
        <w:jc w:val="both"/>
        <w:rPr>
          <w:u w:val="single"/>
          <w:lang w:val="ru-RU"/>
        </w:rPr>
      </w:pPr>
      <w:r w:rsidRPr="007E0E75">
        <w:rPr>
          <w:u w:val="single"/>
          <w:lang w:val="ru-RU"/>
        </w:rPr>
        <w:t>Рекомендовано</w:t>
      </w:r>
      <w:r w:rsidRPr="007E0E75">
        <w:rPr>
          <w:lang w:val="ru-RU"/>
        </w:rPr>
        <w:t>:</w:t>
      </w:r>
    </w:p>
    <w:p w:rsidR="00F6073A" w:rsidRPr="007E0E75" w:rsidRDefault="00F6073A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«Д» наблюдение эндокринолога, уч. терапевта, кардиолога по м\жит.</w:t>
      </w:r>
    </w:p>
    <w:p w:rsidR="00F6073A" w:rsidRPr="007E0E75" w:rsidRDefault="00F6073A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F6073A" w:rsidRPr="007E0E75" w:rsidRDefault="00F6073A" w:rsidP="007E0E75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 xml:space="preserve">Инсулинотерапия:   Хумодар Б100Р (пеф) п/з- 10-12ед., п/уж - 6-8ед </w:t>
      </w:r>
    </w:p>
    <w:p w:rsidR="00F6073A" w:rsidRPr="007E0E75" w:rsidRDefault="00F6073A" w:rsidP="007E0E75">
      <w:pPr>
        <w:ind w:left="435"/>
        <w:jc w:val="both"/>
        <w:rPr>
          <w:lang w:val="ru-RU"/>
        </w:rPr>
      </w:pPr>
      <w:r w:rsidRPr="007E0E75">
        <w:rPr>
          <w:lang w:val="ru-RU"/>
        </w:rPr>
        <w:t xml:space="preserve">Глюкофаж XR (диаформин, сиофор) 1000 - 1т. *1р/сут. </w:t>
      </w:r>
      <w:r>
        <w:rPr>
          <w:lang w:val="ru-RU"/>
        </w:rPr>
        <w:t>Выдана 1 шприц-ручка.</w:t>
      </w:r>
    </w:p>
    <w:p w:rsidR="00F6073A" w:rsidRPr="007E0E75" w:rsidRDefault="00F6073A" w:rsidP="009514BD">
      <w:pPr>
        <w:ind w:left="435"/>
        <w:jc w:val="both"/>
        <w:rPr>
          <w:lang w:val="ru-RU"/>
        </w:rPr>
      </w:pPr>
      <w:r w:rsidRPr="007E0E7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6073A" w:rsidRPr="007E0E75" w:rsidRDefault="00F6073A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Контроль глик. гемоглобина 1</w:t>
      </w:r>
      <w:r>
        <w:rPr>
          <w:lang w:val="ru-RU"/>
        </w:rPr>
        <w:t xml:space="preserve"> раз в 6 мес., протеинурии 1р. в 3 </w:t>
      </w:r>
      <w:r w:rsidRPr="007E0E75">
        <w:rPr>
          <w:lang w:val="ru-RU"/>
        </w:rPr>
        <w:t>мес.</w:t>
      </w:r>
    </w:p>
    <w:p w:rsidR="00F6073A" w:rsidRPr="007E0E75" w:rsidRDefault="00F6073A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6073A" w:rsidRPr="007E0E75" w:rsidRDefault="00F6073A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6073A" w:rsidRPr="007E0E75" w:rsidRDefault="00F6073A" w:rsidP="007E0E75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Рек. кардиолога: эналаприл 20 мг *2р/д.,  индап 2,5 мг утром, кардиомагнил 75мг 1т. веч., фитосед  1к 4р/д 1 мес, бисопролол 2,5 мг 1р\д. Контроль АД, ЭКГ. Дообследование: ЭХО КС по м/ж. Повторный осмотр кардиолога по м/ж или ЗОКБ</w:t>
      </w:r>
    </w:p>
    <w:p w:rsidR="00F6073A" w:rsidRPr="007E0E75" w:rsidRDefault="00F6073A" w:rsidP="00503C44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F6073A" w:rsidRPr="007E0E75" w:rsidRDefault="00F6073A" w:rsidP="00E9696F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Рек. невропатолога: преп. а-липоевой к-ты 600 мг в/в кап. № 10.</w:t>
      </w:r>
    </w:p>
    <w:p w:rsidR="00F6073A" w:rsidRPr="007E0E75" w:rsidRDefault="00F6073A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УЗИ щит. железы 1р. в год. ТГ 1р в 6 мес. L-тироксин 100 мкг утром.</w:t>
      </w:r>
    </w:p>
    <w:p w:rsidR="00F6073A" w:rsidRPr="007E0E75" w:rsidRDefault="00F6073A" w:rsidP="00A9598B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>Рек. окулиста: лечение в глазном отделении ЗОКБ, курс рассасывающей терапии + кенолок в OS  интравитреально.</w:t>
      </w:r>
    </w:p>
    <w:p w:rsidR="00F6073A" w:rsidRPr="007E0E75" w:rsidRDefault="00F6073A" w:rsidP="007E0E75">
      <w:pPr>
        <w:numPr>
          <w:ilvl w:val="0"/>
          <w:numId w:val="2"/>
        </w:numPr>
        <w:jc w:val="both"/>
        <w:rPr>
          <w:lang w:val="ru-RU"/>
        </w:rPr>
      </w:pPr>
      <w:r w:rsidRPr="007E0E7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6073A" w:rsidRPr="007E0E75" w:rsidRDefault="00F6073A">
      <w:pPr>
        <w:jc w:val="both"/>
        <w:rPr>
          <w:b/>
          <w:lang w:val="ru-RU"/>
        </w:rPr>
      </w:pPr>
    </w:p>
    <w:p w:rsidR="00F6073A" w:rsidRPr="007E0E75" w:rsidRDefault="00F6073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7E0E75">
        <w:rPr>
          <w:sz w:val="24"/>
          <w:szCs w:val="24"/>
        </w:rPr>
        <w:t xml:space="preserve">Леч. врач  Соловьюк Е.А. </w:t>
      </w:r>
    </w:p>
    <w:p w:rsidR="00F6073A" w:rsidRPr="007E0E75" w:rsidRDefault="00F6073A" w:rsidP="004468E8">
      <w:pPr>
        <w:jc w:val="both"/>
        <w:rPr>
          <w:lang w:val="ru-RU"/>
        </w:rPr>
      </w:pPr>
      <w:r w:rsidRPr="007E0E75">
        <w:rPr>
          <w:lang w:val="ru-RU"/>
        </w:rPr>
        <w:t>Зав. отд.  Фещук И.А.</w:t>
      </w:r>
    </w:p>
    <w:p w:rsidR="00F6073A" w:rsidRPr="007E0E75" w:rsidRDefault="00F6073A" w:rsidP="00B04B10">
      <w:pPr>
        <w:jc w:val="both"/>
        <w:rPr>
          <w:lang w:val="ru-RU"/>
        </w:rPr>
      </w:pPr>
      <w:r w:rsidRPr="007E0E75">
        <w:rPr>
          <w:lang w:val="ru-RU"/>
        </w:rPr>
        <w:t xml:space="preserve">Нач. мед. Костина Т.К. </w:t>
      </w:r>
    </w:p>
    <w:p w:rsidR="00F6073A" w:rsidRPr="007E0E75" w:rsidRDefault="00F6073A" w:rsidP="00992792">
      <w:pPr>
        <w:jc w:val="both"/>
        <w:rPr>
          <w:lang w:val="ru-RU"/>
        </w:rPr>
      </w:pPr>
    </w:p>
    <w:sectPr w:rsidR="00F6073A" w:rsidRPr="007E0E7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73A" w:rsidRDefault="00F6073A" w:rsidP="00080012">
      <w:r>
        <w:separator/>
      </w:r>
    </w:p>
  </w:endnote>
  <w:endnote w:type="continuationSeparator" w:id="1">
    <w:p w:rsidR="00F6073A" w:rsidRDefault="00F607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73A" w:rsidRDefault="00F6073A" w:rsidP="00080012">
      <w:r>
        <w:separator/>
      </w:r>
    </w:p>
  </w:footnote>
  <w:footnote w:type="continuationSeparator" w:id="1">
    <w:p w:rsidR="00F6073A" w:rsidRDefault="00F607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6073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6073A" w:rsidRPr="00244DF4" w:rsidRDefault="00F607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6073A" w:rsidRPr="00244DF4" w:rsidRDefault="00F607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6073A" w:rsidRPr="00244DF4" w:rsidRDefault="00F607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6073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6073A" w:rsidRPr="00244DF4" w:rsidRDefault="00F6073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6073A" w:rsidRPr="00244DF4" w:rsidRDefault="00F607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6073A" w:rsidRPr="00244DF4" w:rsidRDefault="00F607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6073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6073A" w:rsidRPr="00244DF4" w:rsidRDefault="00F607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6073A" w:rsidRPr="00244DF4" w:rsidRDefault="00F607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6073A" w:rsidRPr="00244DF4" w:rsidRDefault="00F6073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6073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6073A" w:rsidRPr="00080012" w:rsidRDefault="00F6073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6073A" w:rsidRPr="00080012" w:rsidRDefault="00F6073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6073A" w:rsidRPr="00080012" w:rsidRDefault="00F6073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6073A" w:rsidRDefault="00F6073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4809"/>
    <w:rsid w:val="00054D9D"/>
    <w:rsid w:val="00062453"/>
    <w:rsid w:val="00066757"/>
    <w:rsid w:val="00073BB7"/>
    <w:rsid w:val="00074ED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3C8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C3E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7FA"/>
    <w:rsid w:val="00250693"/>
    <w:rsid w:val="00252A5E"/>
    <w:rsid w:val="00253E48"/>
    <w:rsid w:val="002569D5"/>
    <w:rsid w:val="00256F1B"/>
    <w:rsid w:val="00257BA8"/>
    <w:rsid w:val="00267272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685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F02"/>
    <w:rsid w:val="003D541B"/>
    <w:rsid w:val="003E2857"/>
    <w:rsid w:val="003E3C1C"/>
    <w:rsid w:val="003E51AC"/>
    <w:rsid w:val="00401DFA"/>
    <w:rsid w:val="00402D3C"/>
    <w:rsid w:val="00404E1E"/>
    <w:rsid w:val="004122E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E2A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58D7"/>
    <w:rsid w:val="00567B11"/>
    <w:rsid w:val="00574CED"/>
    <w:rsid w:val="00577CFF"/>
    <w:rsid w:val="00577E6E"/>
    <w:rsid w:val="005867EC"/>
    <w:rsid w:val="005A159B"/>
    <w:rsid w:val="005A623A"/>
    <w:rsid w:val="005D6604"/>
    <w:rsid w:val="005E4627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3FDA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0A8"/>
    <w:rsid w:val="007B5788"/>
    <w:rsid w:val="007B6BE6"/>
    <w:rsid w:val="007C7896"/>
    <w:rsid w:val="007D4B6C"/>
    <w:rsid w:val="007E0E75"/>
    <w:rsid w:val="007E3B47"/>
    <w:rsid w:val="007E4A54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684"/>
    <w:rsid w:val="00836B66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7DD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1EE"/>
    <w:rsid w:val="00A73EC6"/>
    <w:rsid w:val="00A76202"/>
    <w:rsid w:val="00A76BAD"/>
    <w:rsid w:val="00A91FE9"/>
    <w:rsid w:val="00A95232"/>
    <w:rsid w:val="00A9598B"/>
    <w:rsid w:val="00AA01EE"/>
    <w:rsid w:val="00AB156F"/>
    <w:rsid w:val="00AB637D"/>
    <w:rsid w:val="00AC00B1"/>
    <w:rsid w:val="00AC2318"/>
    <w:rsid w:val="00AD6D15"/>
    <w:rsid w:val="00AD7400"/>
    <w:rsid w:val="00AE1A60"/>
    <w:rsid w:val="00AF0197"/>
    <w:rsid w:val="00B033E4"/>
    <w:rsid w:val="00B04B10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4BC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22A"/>
    <w:rsid w:val="00C1614A"/>
    <w:rsid w:val="00C23494"/>
    <w:rsid w:val="00C33DBC"/>
    <w:rsid w:val="00C34D5B"/>
    <w:rsid w:val="00C365E6"/>
    <w:rsid w:val="00C401A7"/>
    <w:rsid w:val="00C42780"/>
    <w:rsid w:val="00C45DB5"/>
    <w:rsid w:val="00C65645"/>
    <w:rsid w:val="00C67065"/>
    <w:rsid w:val="00C701D1"/>
    <w:rsid w:val="00C74305"/>
    <w:rsid w:val="00C756D5"/>
    <w:rsid w:val="00C81BC9"/>
    <w:rsid w:val="00C86E5B"/>
    <w:rsid w:val="00C903B4"/>
    <w:rsid w:val="00C9062A"/>
    <w:rsid w:val="00C912CD"/>
    <w:rsid w:val="00CA1F73"/>
    <w:rsid w:val="00CA1FC8"/>
    <w:rsid w:val="00CA5730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4497"/>
    <w:rsid w:val="00DE34DA"/>
    <w:rsid w:val="00DE44F2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59A1"/>
    <w:rsid w:val="00EF67E8"/>
    <w:rsid w:val="00F054D9"/>
    <w:rsid w:val="00F20D19"/>
    <w:rsid w:val="00F26341"/>
    <w:rsid w:val="00F32CDC"/>
    <w:rsid w:val="00F443D4"/>
    <w:rsid w:val="00F52974"/>
    <w:rsid w:val="00F6073A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23E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7293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3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9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92</TotalTime>
  <Pages>2</Pages>
  <Words>930</Words>
  <Characters>5305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2015-02-18T09:26:00Z</cp:lastPrinted>
  <dcterms:created xsi:type="dcterms:W3CDTF">2015-02-12T12:03:00Z</dcterms:created>
  <dcterms:modified xsi:type="dcterms:W3CDTF">2015-02-18T09:27:00Z</dcterms:modified>
</cp:coreProperties>
</file>