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4428E6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4428E6" w:rsidRPr="004428E6">
        <w:t>1115</w:t>
      </w:r>
    </w:p>
    <w:p w:rsidR="00F7479F" w:rsidRPr="004428E6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4428E6">
        <w:t xml:space="preserve">Бокий </w:t>
      </w:r>
      <w:bookmarkEnd w:id="0"/>
      <w:r w:rsidR="004428E6">
        <w:t>Валентина Павловна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4428E6">
        <w:rPr>
          <w:sz w:val="28"/>
          <w:lang w:val="ru-RU"/>
        </w:rPr>
        <w:t>49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4428E6">
        <w:rPr>
          <w:sz w:val="28"/>
          <w:lang w:val="ru-RU"/>
        </w:rPr>
        <w:t>г. Запорожье ул. Воз. Украины 15а/1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4428E6">
        <w:rPr>
          <w:sz w:val="28"/>
          <w:lang w:val="ru-RU"/>
        </w:rPr>
        <w:t>КУ «Центр репродукции человека» ЗОС</w:t>
      </w:r>
      <w:r w:rsidR="006C758F">
        <w:rPr>
          <w:sz w:val="28"/>
          <w:lang w:val="ru-RU"/>
        </w:rPr>
        <w:t>,</w:t>
      </w:r>
      <w:r w:rsidR="004428E6">
        <w:rPr>
          <w:sz w:val="28"/>
          <w:lang w:val="ru-RU"/>
        </w:rPr>
        <w:t xml:space="preserve">  повар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4428E6">
        <w:rPr>
          <w:sz w:val="28"/>
          <w:lang w:val="ru-RU"/>
        </w:rPr>
        <w:t>08</w:t>
      </w:r>
      <w:r w:rsidR="00737DBB" w:rsidRPr="008E4E81">
        <w:rPr>
          <w:sz w:val="28"/>
          <w:lang w:val="ru-RU"/>
        </w:rPr>
        <w:t>.</w:t>
      </w:r>
      <w:r w:rsidR="004428E6">
        <w:rPr>
          <w:sz w:val="28"/>
          <w:lang w:val="ru-RU"/>
        </w:rPr>
        <w:t>08.17</w:t>
      </w:r>
      <w:r w:rsidR="00B65ED2" w:rsidRPr="008E4E81">
        <w:rPr>
          <w:sz w:val="28"/>
          <w:lang w:val="ru-RU"/>
        </w:rPr>
        <w:t xml:space="preserve"> по   </w:t>
      </w:r>
      <w:r w:rsidR="004428E6">
        <w:rPr>
          <w:sz w:val="28"/>
          <w:lang w:val="ru-RU"/>
        </w:rPr>
        <w:t>16</w:t>
      </w:r>
      <w:r w:rsidR="00B65ED2" w:rsidRPr="008E4E81">
        <w:rPr>
          <w:sz w:val="28"/>
          <w:lang w:val="ru-RU"/>
        </w:rPr>
        <w:t>.</w:t>
      </w:r>
      <w:r w:rsidR="004428E6">
        <w:rPr>
          <w:sz w:val="28"/>
          <w:lang w:val="ru-RU"/>
        </w:rPr>
        <w:t>08.17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4428E6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6C758F" w:rsidRDefault="006C758F" w:rsidP="00C363F4">
      <w:pPr>
        <w:ind w:left="-567"/>
        <w:jc w:val="both"/>
        <w:rPr>
          <w:sz w:val="28"/>
          <w:szCs w:val="28"/>
          <w:lang w:val="ru-RU"/>
        </w:rPr>
      </w:pP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EndPr/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8C6955" w:rsidRPr="00045532" w:rsidRDefault="006C758F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6C758F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6C758F">
        <w:rPr>
          <w:sz w:val="28"/>
          <w:lang w:val="ru-RU"/>
        </w:rPr>
        <w:t>180/100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головные боли,  общую</w:t>
      </w:r>
      <w:r w:rsidR="006C758F">
        <w:rPr>
          <w:sz w:val="28"/>
          <w:lang w:val="ru-RU"/>
        </w:rPr>
        <w:t xml:space="preserve"> слабость, быструю утомляемость</w:t>
      </w:r>
      <w:r w:rsidR="00053D68"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6C758F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>
            <w:rPr>
              <w:lang w:val="ru-RU"/>
            </w:rPr>
            <w:t>принимает ССП.</w:t>
          </w:r>
        </w:sdtContent>
      </w:sdt>
      <w:r w:rsidR="006C758F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proofErr w:type="spellStart"/>
      <w:r w:rsidR="006C758F">
        <w:rPr>
          <w:sz w:val="28"/>
          <w:lang w:val="ru-RU"/>
        </w:rPr>
        <w:t>Амарил</w:t>
      </w:r>
      <w:proofErr w:type="spellEnd"/>
      <w:r w:rsidR="006C758F">
        <w:rPr>
          <w:sz w:val="28"/>
          <w:lang w:val="ru-RU"/>
        </w:rPr>
        <w:t xml:space="preserve"> 6 мг утром, диаформин 850 2р/д.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6C758F">
        <w:rPr>
          <w:sz w:val="28"/>
          <w:lang w:val="ru-RU"/>
        </w:rPr>
        <w:t>10,2-12,7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17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37</w:t>
            </w:r>
          </w:p>
        </w:tc>
        <w:tc>
          <w:tcPr>
            <w:tcW w:w="1028" w:type="dxa"/>
          </w:tcPr>
          <w:p w:rsidR="00E940E0" w:rsidRPr="00B52965" w:rsidRDefault="00BB7680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09.08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77,7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4" w:type="dxa"/>
            <w:vAlign w:val="center"/>
          </w:tcPr>
          <w:p w:rsidR="00E940E0" w:rsidRPr="00B52965" w:rsidRDefault="00BB768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3,29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34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31,5</w:t>
            </w:r>
          </w:p>
        </w:tc>
        <w:tc>
          <w:tcPr>
            <w:tcW w:w="735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735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1,08</w:t>
            </w:r>
          </w:p>
        </w:tc>
        <w:tc>
          <w:tcPr>
            <w:tcW w:w="735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B52965" w:rsidRDefault="00BB768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B76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09</w:t>
      </w:r>
      <w:r w:rsidR="00B72843">
        <w:rPr>
          <w:sz w:val="28"/>
          <w:lang w:val="ru-RU"/>
        </w:rPr>
        <w:t>.</w:t>
      </w:r>
      <w:r w:rsidR="004428E6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8,6</w:t>
      </w:r>
      <w:r w:rsidR="00F7479F" w:rsidRPr="004468E8">
        <w:rPr>
          <w:sz w:val="28"/>
          <w:lang w:val="ru-RU"/>
        </w:rPr>
        <w:t>- %</w:t>
      </w:r>
    </w:p>
    <w:p w:rsidR="00BB60ED" w:rsidRPr="004468E8" w:rsidRDefault="00BB7680" w:rsidP="00BB768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11.08.17</w:t>
      </w:r>
      <w:r w:rsidR="00BB60ED" w:rsidRPr="004468E8">
        <w:rPr>
          <w:sz w:val="28"/>
          <w:lang w:val="ru-RU"/>
        </w:rPr>
        <w:t xml:space="preserve">ТТГ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2,0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="00BB60ED"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>
        <w:rPr>
          <w:sz w:val="28"/>
          <w:lang w:val="ru-RU"/>
        </w:rPr>
        <w:t>85,3</w:t>
      </w:r>
      <w:r w:rsidR="00BB60ED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871EA5" w:rsidRPr="004468E8" w:rsidRDefault="00BB7680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09</w:t>
      </w:r>
      <w:r w:rsidR="00871EA5">
        <w:rPr>
          <w:sz w:val="28"/>
          <w:szCs w:val="28"/>
          <w:lang w:val="ru-RU"/>
        </w:rPr>
        <w:t>.</w:t>
      </w:r>
      <w:r w:rsidR="004428E6">
        <w:rPr>
          <w:sz w:val="28"/>
          <w:szCs w:val="28"/>
          <w:lang w:val="ru-RU"/>
        </w:rPr>
        <w:t>08.17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3,81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144,1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</w:t>
      </w:r>
      <w:r>
        <w:rPr>
          <w:sz w:val="28"/>
          <w:szCs w:val="28"/>
          <w:lang w:val="ru-RU"/>
        </w:rPr>
        <w:t>102,6</w:t>
      </w:r>
      <w:r w:rsidR="00871EA5">
        <w:rPr>
          <w:sz w:val="28"/>
          <w:szCs w:val="28"/>
          <w:lang w:val="ru-RU"/>
        </w:rPr>
        <w:t xml:space="preserve">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С1 -</w:t>
      </w:r>
      <w:r>
        <w:rPr>
          <w:sz w:val="28"/>
          <w:szCs w:val="28"/>
          <w:lang w:val="ru-RU"/>
        </w:rPr>
        <w:t>102,6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BB768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09</w:t>
      </w:r>
      <w:r w:rsidR="00B72843">
        <w:rPr>
          <w:b w:val="0"/>
        </w:rPr>
        <w:t>.</w:t>
      </w:r>
      <w:r w:rsidR="004428E6">
        <w:rPr>
          <w:b w:val="0"/>
        </w:rPr>
        <w:t>08.17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13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</w:t>
      </w:r>
      <w:r>
        <w:rPr>
          <w:b w:val="0"/>
        </w:rPr>
        <w:t>6-8</w:t>
      </w:r>
      <w:r w:rsidR="0052757A" w:rsidRPr="004468E8">
        <w:rPr>
          <w:b w:val="0"/>
        </w:rPr>
        <w:t xml:space="preserve">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</w:t>
      </w:r>
      <w:proofErr w:type="spellStart"/>
      <w:r>
        <w:rPr>
          <w:b w:val="0"/>
        </w:rPr>
        <w:t>ед</w:t>
      </w:r>
      <w:proofErr w:type="spellEnd"/>
      <w:r w:rsidR="001C28C0" w:rsidRPr="004468E8">
        <w:rPr>
          <w:b w:val="0"/>
        </w:rPr>
        <w:t xml:space="preserve">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B76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>
        <w:rPr>
          <w:sz w:val="28"/>
          <w:lang w:val="ru-RU"/>
        </w:rPr>
        <w:t>.</w:t>
      </w:r>
      <w:r w:rsidR="004428E6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="00F7479F" w:rsidRPr="004468E8">
        <w:rPr>
          <w:sz w:val="28"/>
          <w:lang w:val="ru-RU"/>
        </w:rPr>
        <w:t xml:space="preserve">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B768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10</w:t>
      </w:r>
      <w:r w:rsidR="00B72843">
        <w:rPr>
          <w:sz w:val="28"/>
          <w:lang w:val="ru-RU"/>
        </w:rPr>
        <w:t>.</w:t>
      </w:r>
      <w:r w:rsidR="004428E6">
        <w:rPr>
          <w:sz w:val="28"/>
          <w:lang w:val="ru-RU"/>
        </w:rPr>
        <w:t>08.17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–</w:t>
      </w:r>
      <w:proofErr w:type="spellStart"/>
      <w:r>
        <w:rPr>
          <w:sz w:val="28"/>
          <w:lang w:val="ru-RU"/>
        </w:rPr>
        <w:t>о</w:t>
      </w:r>
      <w:proofErr w:type="gramEnd"/>
      <w:r>
        <w:rPr>
          <w:sz w:val="28"/>
          <w:lang w:val="ru-RU"/>
        </w:rPr>
        <w:t>тр</w:t>
      </w:r>
      <w:proofErr w:type="spellEnd"/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B7680" w:rsidP="00FC5396">
      <w:pPr>
        <w:pStyle w:val="5"/>
        <w:ind w:left="-567"/>
      </w:pPr>
      <w:r>
        <w:t>10</w:t>
      </w:r>
      <w:r w:rsidR="00B72843">
        <w:t>.</w:t>
      </w:r>
      <w:r w:rsidR="004428E6">
        <w:t>08.17</w:t>
      </w:r>
      <w:r w:rsidR="00A6265A">
        <w:t xml:space="preserve"> </w:t>
      </w:r>
      <w:proofErr w:type="spellStart"/>
      <w:r w:rsidR="00F7479F" w:rsidRPr="004468E8"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>
        <w:t>18,1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3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11.08</w:t>
            </w:r>
          </w:p>
        </w:tc>
        <w:tc>
          <w:tcPr>
            <w:tcW w:w="992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3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BB7680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BB768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09.08.17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Диабетическая дистальная симметричная полинейропатия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,  сенсомоторная форма. </w:t>
      </w:r>
    </w:p>
    <w:p w:rsidR="001A6BA7" w:rsidRPr="004468E8" w:rsidRDefault="00BB7680" w:rsidP="00BB7680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09.08.17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BB7680">
        <w:rPr>
          <w:sz w:val="28"/>
          <w:lang w:val="ru-RU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BB7680">
        <w:rPr>
          <w:sz w:val="28"/>
          <w:lang w:val="ru-RU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BB7680">
        <w:rPr>
          <w:sz w:val="28"/>
          <w:lang w:val="ru-RU"/>
        </w:rPr>
        <w:t xml:space="preserve">= </w:t>
      </w:r>
      <w:r>
        <w:rPr>
          <w:sz w:val="28"/>
          <w:lang w:val="ru-RU"/>
        </w:rPr>
        <w:t xml:space="preserve">движение руки у лица </w:t>
      </w:r>
      <w:r w:rsidR="005215E7" w:rsidRPr="00BB7680">
        <w:rPr>
          <w:sz w:val="28"/>
          <w:lang w:val="ru-RU"/>
        </w:rPr>
        <w:t xml:space="preserve">  </w:t>
      </w:r>
      <w:r w:rsidR="005215E7">
        <w:rPr>
          <w:sz w:val="28"/>
          <w:lang w:val="en-US"/>
        </w:rPr>
        <w:t>OS</w:t>
      </w:r>
      <w:r w:rsidR="005215E7" w:rsidRPr="00BB7680">
        <w:rPr>
          <w:sz w:val="28"/>
          <w:lang w:val="ru-RU"/>
        </w:rPr>
        <w:t>=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,5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сф</w:t>
      </w:r>
      <w:proofErr w:type="spellEnd"/>
      <w:r>
        <w:rPr>
          <w:sz w:val="28"/>
          <w:lang w:val="ru-RU"/>
        </w:rPr>
        <w:t xml:space="preserve"> + 2,0=0,6-0,4</w:t>
      </w:r>
      <w:r w:rsidR="005215E7" w:rsidRPr="00BB7680">
        <w:rPr>
          <w:sz w:val="28"/>
          <w:lang w:val="ru-RU"/>
        </w:rPr>
        <w:t xml:space="preserve">  </w:t>
      </w:r>
      <w:r w:rsidR="001A6BA7" w:rsidRPr="00BB7680">
        <w:rPr>
          <w:sz w:val="28"/>
          <w:lang w:val="ru-RU"/>
        </w:rPr>
        <w:t xml:space="preserve">  </w:t>
      </w:r>
      <w:r>
        <w:rPr>
          <w:sz w:val="28"/>
          <w:lang w:val="ru-RU"/>
        </w:rPr>
        <w:t xml:space="preserve">ОД в хрусталике интенсивные </w:t>
      </w:r>
      <w:proofErr w:type="spellStart"/>
      <w:r>
        <w:rPr>
          <w:sz w:val="28"/>
          <w:lang w:val="ru-RU"/>
        </w:rPr>
        <w:t>помутненния</w:t>
      </w:r>
      <w:proofErr w:type="spellEnd"/>
      <w:r>
        <w:rPr>
          <w:sz w:val="28"/>
          <w:lang w:val="ru-RU"/>
        </w:rPr>
        <w:t xml:space="preserve">, рефлекс с гл. дна </w:t>
      </w:r>
      <w:proofErr w:type="gramStart"/>
      <w:r>
        <w:rPr>
          <w:sz w:val="28"/>
          <w:lang w:val="ru-RU"/>
        </w:rPr>
        <w:t>тусклый</w:t>
      </w:r>
      <w:proofErr w:type="gramEnd"/>
      <w:r>
        <w:rPr>
          <w:sz w:val="28"/>
          <w:lang w:val="ru-RU"/>
        </w:rPr>
        <w:t xml:space="preserve">. </w:t>
      </w:r>
      <w:r>
        <w:rPr>
          <w:sz w:val="28"/>
          <w:lang w:val="en-US"/>
        </w:rPr>
        <w:t>OS</w:t>
      </w:r>
      <w:r>
        <w:rPr>
          <w:sz w:val="28"/>
          <w:lang w:val="ru-RU"/>
        </w:rPr>
        <w:t xml:space="preserve"> – в хрусталике </w:t>
      </w:r>
      <w:proofErr w:type="spellStart"/>
      <w:r>
        <w:rPr>
          <w:sz w:val="28"/>
          <w:lang w:val="ru-RU"/>
        </w:rPr>
        <w:t>негомогеннное</w:t>
      </w:r>
      <w:proofErr w:type="spellEnd"/>
      <w:r>
        <w:rPr>
          <w:sz w:val="28"/>
          <w:lang w:val="ru-RU"/>
        </w:rPr>
        <w:t xml:space="preserve"> помутнение. </w:t>
      </w:r>
      <w:r w:rsidR="001A6BA7" w:rsidRPr="004468E8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 вены широкие сосуды умеренно извиты, </w:t>
      </w:r>
      <w:proofErr w:type="spellStart"/>
      <w:r>
        <w:rPr>
          <w:sz w:val="28"/>
          <w:lang w:val="ru-RU"/>
        </w:rPr>
        <w:t>свлерозированы</w:t>
      </w:r>
      <w:proofErr w:type="spellEnd"/>
      <w:r>
        <w:rPr>
          <w:sz w:val="28"/>
          <w:lang w:val="ru-RU"/>
        </w:rPr>
        <w:t xml:space="preserve"> в Макуле  </w:t>
      </w:r>
      <w:proofErr w:type="gramStart"/>
      <w:r>
        <w:rPr>
          <w:sz w:val="28"/>
          <w:lang w:val="ru-RU"/>
        </w:rPr>
        <w:t>дистрофический</w:t>
      </w:r>
      <w:proofErr w:type="gramEnd"/>
      <w:r>
        <w:rPr>
          <w:sz w:val="28"/>
          <w:lang w:val="ru-RU"/>
        </w:rPr>
        <w:t xml:space="preserve"> очаги, депигментация </w:t>
      </w:r>
      <w:r w:rsidR="001A6BA7" w:rsidRPr="004468E8">
        <w:rPr>
          <w:sz w:val="28"/>
          <w:lang w:val="ru-RU"/>
        </w:rPr>
        <w:t>Д-з:</w:t>
      </w:r>
      <w:r>
        <w:rPr>
          <w:sz w:val="28"/>
          <w:lang w:val="ru-RU"/>
        </w:rPr>
        <w:t xml:space="preserve"> Осложненная зрелая катаракта  ОД</w:t>
      </w:r>
      <w:proofErr w:type="gramStart"/>
      <w:r>
        <w:rPr>
          <w:sz w:val="28"/>
          <w:lang w:val="ru-RU"/>
        </w:rPr>
        <w:t>.</w:t>
      </w:r>
      <w:proofErr w:type="gramEnd"/>
      <w:r>
        <w:rPr>
          <w:sz w:val="28"/>
          <w:lang w:val="ru-RU"/>
        </w:rPr>
        <w:t xml:space="preserve"> Незрелая катаракта,  Возрастная </w:t>
      </w:r>
      <w:proofErr w:type="spellStart"/>
      <w:r>
        <w:rPr>
          <w:sz w:val="28"/>
          <w:lang w:val="ru-RU"/>
        </w:rPr>
        <w:t>макулодистрофия</w:t>
      </w:r>
      <w:proofErr w:type="spellEnd"/>
      <w:r>
        <w:rPr>
          <w:sz w:val="28"/>
          <w:lang w:val="ru-RU"/>
        </w:rPr>
        <w:t xml:space="preserve"> </w:t>
      </w:r>
      <w:r>
        <w:rPr>
          <w:sz w:val="28"/>
          <w:lang w:val="en-US"/>
        </w:rPr>
        <w:t>OS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4428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07.08.17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</w:t>
      </w:r>
    </w:p>
    <w:p w:rsidR="00F7479F" w:rsidRDefault="00BB76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10.8.17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диффузный кардиосклероз СН 1. Гипертоническая болезнь II стадии 3 степени. Гипертензивное сердце СН I. Риск 4.   </w:t>
      </w:r>
    </w:p>
    <w:p w:rsidR="00BB7680" w:rsidRPr="004468E8" w:rsidRDefault="00BB768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15.</w:t>
      </w:r>
      <w:r>
        <w:rPr>
          <w:sz w:val="28"/>
          <w:szCs w:val="20"/>
          <w:u w:val="single"/>
          <w:lang w:val="ru-RU"/>
        </w:rPr>
        <w:t>08.17 ЛОР: ЛОР органы без патологии</w:t>
      </w:r>
    </w:p>
    <w:p w:rsidR="00F7479F" w:rsidRPr="008E14D6" w:rsidRDefault="00BB768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15.05.17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</w:t>
      </w:r>
      <w:proofErr w:type="gramStart"/>
      <w:r w:rsidR="00A64274">
        <w:rPr>
          <w:sz w:val="28"/>
          <w:lang w:val="ru-RU"/>
        </w:rPr>
        <w:t>к</w:t>
      </w:r>
      <w:proofErr w:type="gramEnd"/>
      <w:r w:rsidR="00A64274">
        <w:rPr>
          <w:sz w:val="28"/>
          <w:lang w:val="ru-RU"/>
        </w:rPr>
        <w:t>.</w:t>
      </w:r>
      <w:r>
        <w:rPr>
          <w:sz w:val="28"/>
          <w:lang w:val="ru-RU"/>
        </w:rPr>
        <w:t xml:space="preserve"> Варикозная болезнь н/к </w:t>
      </w:r>
    </w:p>
    <w:p w:rsidR="00BB7680" w:rsidRDefault="00BB7680" w:rsidP="006C6222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11.08.17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>н/к</w:t>
      </w:r>
      <w:r>
        <w:rPr>
          <w:sz w:val="28"/>
          <w:lang w:val="ru-RU"/>
        </w:rPr>
        <w:t xml:space="preserve">шш ст. Варикозная болезнь н/к. Варикозное расширение поверхностных вен голени </w:t>
      </w:r>
      <w:proofErr w:type="gramStart"/>
      <w:r>
        <w:rPr>
          <w:sz w:val="28"/>
          <w:lang w:val="ru-RU"/>
        </w:rPr>
        <w:t>Ш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ст</w:t>
      </w:r>
      <w:proofErr w:type="spellEnd"/>
      <w:r>
        <w:rPr>
          <w:sz w:val="28"/>
          <w:lang w:val="ru-RU"/>
        </w:rPr>
        <w:t xml:space="preserve"> с двух сторон. СПО(2011) </w:t>
      </w:r>
      <w:proofErr w:type="spellStart"/>
      <w:r>
        <w:rPr>
          <w:sz w:val="28"/>
          <w:lang w:val="ru-RU"/>
        </w:rPr>
        <w:t>флебэктомия</w:t>
      </w:r>
      <w:proofErr w:type="spellEnd"/>
      <w:r>
        <w:rPr>
          <w:sz w:val="28"/>
          <w:lang w:val="ru-RU"/>
        </w:rPr>
        <w:t xml:space="preserve"> справа. Тромбофлебит поверхностных вен н/</w:t>
      </w:r>
      <w:proofErr w:type="gramStart"/>
      <w:r>
        <w:rPr>
          <w:sz w:val="28"/>
          <w:lang w:val="ru-RU"/>
        </w:rPr>
        <w:t>к</w:t>
      </w:r>
      <w:proofErr w:type="gramEnd"/>
      <w:r>
        <w:rPr>
          <w:sz w:val="28"/>
          <w:lang w:val="ru-RU"/>
        </w:rPr>
        <w:t xml:space="preserve"> </w:t>
      </w:r>
    </w:p>
    <w:p w:rsidR="00F7479F" w:rsidRPr="004468E8" w:rsidRDefault="004428E6" w:rsidP="00FC5396">
      <w:pPr>
        <w:ind w:left="-567"/>
        <w:jc w:val="both"/>
        <w:rPr>
          <w:sz w:val="28"/>
          <w:lang w:val="ru-RU"/>
        </w:rPr>
      </w:pPr>
      <w:r>
        <w:rPr>
          <w:sz w:val="28"/>
          <w:szCs w:val="20"/>
          <w:u w:val="single"/>
          <w:lang w:val="ru-RU"/>
        </w:rPr>
        <w:t>09.08.17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="00BB7680" w:rsidRPr="005A12C5">
        <w:rPr>
          <w:sz w:val="28"/>
          <w:szCs w:val="20"/>
          <w:lang w:val="ru-RU"/>
        </w:rPr>
        <w:t>в пределах  возрастной нормы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н/к</w:t>
      </w:r>
      <w:r w:rsidR="00BB7680">
        <w:rPr>
          <w:sz w:val="28"/>
          <w:szCs w:val="20"/>
          <w:lang w:val="ru-RU"/>
        </w:rPr>
        <w:t xml:space="preserve">. </w:t>
      </w:r>
      <w:proofErr w:type="spellStart"/>
      <w:r w:rsidR="00BB7680">
        <w:rPr>
          <w:sz w:val="28"/>
          <w:szCs w:val="20"/>
          <w:lang w:val="ru-RU"/>
        </w:rPr>
        <w:t>Затруденнние</w:t>
      </w:r>
      <w:proofErr w:type="spellEnd"/>
      <w:r w:rsidR="00BB7680">
        <w:rPr>
          <w:sz w:val="28"/>
          <w:szCs w:val="20"/>
          <w:lang w:val="ru-RU"/>
        </w:rPr>
        <w:t xml:space="preserve"> венозного оттока с обеих сторон.</w:t>
      </w:r>
      <w:r w:rsidR="005A12C5" w:rsidRPr="005A12C5">
        <w:rPr>
          <w:sz w:val="28"/>
          <w:szCs w:val="20"/>
          <w:lang w:val="ru-RU"/>
        </w:rPr>
        <w:t xml:space="preserve">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proofErr w:type="gramStart"/>
      <w:r w:rsidR="00F7479F" w:rsidRPr="004468E8">
        <w:rPr>
          <w:sz w:val="28"/>
          <w:lang w:val="ru-RU"/>
        </w:rPr>
        <w:t xml:space="preserve"> ,</w:t>
      </w:r>
      <w:proofErr w:type="gramEnd"/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 xml:space="preserve">слева – . </w:t>
      </w:r>
      <w:r w:rsidR="00BF2D2F" w:rsidRPr="004468E8">
        <w:rPr>
          <w:sz w:val="28"/>
          <w:lang w:val="ru-RU"/>
        </w:rPr>
        <w:t xml:space="preserve">Кровоток по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  <w:r w:rsidR="00F7479F" w:rsidRPr="004468E8">
        <w:rPr>
          <w:sz w:val="28"/>
          <w:lang w:val="ru-RU"/>
        </w:rPr>
        <w:t xml:space="preserve">Нарушение кровообращения </w:t>
      </w:r>
      <w:proofErr w:type="gramStart"/>
      <w:r w:rsidR="00F7479F" w:rsidRPr="004468E8">
        <w:rPr>
          <w:sz w:val="28"/>
          <w:lang w:val="ru-RU"/>
        </w:rPr>
        <w:t>по</w:t>
      </w:r>
      <w:proofErr w:type="gramEnd"/>
      <w:r w:rsidR="00F7479F" w:rsidRPr="004468E8">
        <w:rPr>
          <w:sz w:val="28"/>
          <w:lang w:val="ru-RU"/>
        </w:rPr>
        <w:t xml:space="preserve"> а. </w:t>
      </w:r>
      <w:proofErr w:type="spellStart"/>
      <w:r w:rsidR="00F7479F" w:rsidRPr="004468E8">
        <w:rPr>
          <w:sz w:val="28"/>
          <w:lang w:val="ru-RU"/>
        </w:rPr>
        <w:t>tibialis</w:t>
      </w:r>
      <w:proofErr w:type="spellEnd"/>
      <w:r w:rsidR="00F7479F" w:rsidRPr="004468E8">
        <w:rPr>
          <w:sz w:val="28"/>
          <w:lang w:val="ru-RU"/>
        </w:rPr>
        <w:t xml:space="preserve">  </w:t>
      </w:r>
      <w:proofErr w:type="spellStart"/>
      <w:r w:rsidR="00AA01EE" w:rsidRPr="004468E8">
        <w:rPr>
          <w:sz w:val="28"/>
          <w:lang w:val="ru-RU"/>
        </w:rPr>
        <w:t>роst</w:t>
      </w:r>
      <w:proofErr w:type="spellEnd"/>
      <w:r w:rsidR="00F7479F" w:rsidRPr="004468E8">
        <w:rPr>
          <w:sz w:val="28"/>
          <w:lang w:val="ru-RU"/>
        </w:rPr>
        <w:t xml:space="preserve"> III ст. с обеих сторон. </w:t>
      </w:r>
    </w:p>
    <w:p w:rsidR="00F7479F" w:rsidRPr="004468E8" w:rsidRDefault="004428E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08.08.17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7,4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4428E6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увеличена, контуры </w:t>
      </w:r>
      <w:r w:rsidR="004428E6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>ровные.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 xml:space="preserve">Эхогенность паренхимы </w:t>
      </w:r>
      <w:proofErr w:type="gramStart"/>
      <w:r w:rsidR="0071390A" w:rsidRPr="004468E8">
        <w:rPr>
          <w:sz w:val="28"/>
          <w:lang w:val="ru-RU"/>
        </w:rPr>
        <w:t>снижена</w:t>
      </w:r>
      <w:proofErr w:type="gramEnd"/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 </w:t>
      </w:r>
      <w:r w:rsidR="004428E6">
        <w:rPr>
          <w:sz w:val="28"/>
          <w:lang w:val="ru-RU"/>
        </w:rPr>
        <w:t>не</w:t>
      </w:r>
      <w:r w:rsidR="00E70C67" w:rsidRPr="004468E8">
        <w:rPr>
          <w:sz w:val="28"/>
          <w:lang w:val="ru-RU"/>
        </w:rPr>
        <w:t xml:space="preserve">однородная, </w:t>
      </w:r>
      <w:r w:rsidR="004428E6">
        <w:rPr>
          <w:sz w:val="28"/>
          <w:lang w:val="ru-RU"/>
        </w:rPr>
        <w:t>прослойки фиброза</w:t>
      </w:r>
      <w:proofErr w:type="gramStart"/>
      <w:r w:rsidR="004428E6">
        <w:rPr>
          <w:sz w:val="28"/>
          <w:lang w:val="ru-RU"/>
        </w:rPr>
        <w:t>.</w:t>
      </w:r>
      <w:proofErr w:type="gramEnd"/>
      <w:r w:rsidR="004428E6">
        <w:rPr>
          <w:sz w:val="28"/>
          <w:lang w:val="ru-RU"/>
        </w:rPr>
        <w:t xml:space="preserve"> В левой доле в несколько  кольцевых </w:t>
      </w:r>
      <w:proofErr w:type="spellStart"/>
      <w:r w:rsidR="004428E6">
        <w:rPr>
          <w:sz w:val="28"/>
          <w:lang w:val="ru-RU"/>
        </w:rPr>
        <w:t>ситруктур</w:t>
      </w:r>
      <w:proofErr w:type="spellEnd"/>
      <w:r w:rsidR="004428E6">
        <w:rPr>
          <w:sz w:val="28"/>
          <w:lang w:val="ru-RU"/>
        </w:rPr>
        <w:t xml:space="preserve"> до 1,0 см.</w:t>
      </w:r>
      <w:r w:rsidR="00F7479F" w:rsidRPr="004468E8">
        <w:rPr>
          <w:sz w:val="28"/>
          <w:lang w:val="ru-RU"/>
        </w:rPr>
        <w:t xml:space="preserve">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л</w:t>
      </w:r>
      <w:proofErr w:type="gramEnd"/>
      <w:r w:rsidRPr="004468E8">
        <w:rPr>
          <w:sz w:val="28"/>
          <w:lang w:val="ru-RU"/>
        </w:rPr>
        <w:t>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>.: Увеличение щит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елезы. 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4428E6">
        <w:rPr>
          <w:sz w:val="28"/>
          <w:lang w:val="ru-RU"/>
        </w:rPr>
        <w:t xml:space="preserve"> глюкофаж, витаксон,  эналаприл, </w:t>
      </w:r>
      <w:proofErr w:type="spellStart"/>
      <w:r w:rsidR="004428E6">
        <w:rPr>
          <w:sz w:val="28"/>
          <w:lang w:val="ru-RU"/>
        </w:rPr>
        <w:t>амлодипин</w:t>
      </w:r>
      <w:proofErr w:type="spellEnd"/>
      <w:r w:rsidR="004428E6">
        <w:rPr>
          <w:sz w:val="28"/>
          <w:lang w:val="ru-RU"/>
        </w:rPr>
        <w:t xml:space="preserve">, </w:t>
      </w:r>
      <w:proofErr w:type="spellStart"/>
      <w:r w:rsidR="004428E6">
        <w:rPr>
          <w:sz w:val="28"/>
          <w:lang w:val="ru-RU"/>
        </w:rPr>
        <w:t>диапирид</w:t>
      </w:r>
      <w:proofErr w:type="spellEnd"/>
      <w:r w:rsidR="004428E6">
        <w:rPr>
          <w:sz w:val="28"/>
          <w:lang w:val="ru-RU"/>
        </w:rPr>
        <w:t xml:space="preserve">,  диаформин,  </w:t>
      </w:r>
      <w:proofErr w:type="spellStart"/>
      <w:r w:rsidR="004428E6">
        <w:rPr>
          <w:sz w:val="28"/>
          <w:lang w:val="ru-RU"/>
        </w:rPr>
        <w:t>мефармил</w:t>
      </w:r>
      <w:proofErr w:type="spellEnd"/>
      <w:r w:rsidR="004428E6">
        <w:rPr>
          <w:sz w:val="28"/>
          <w:lang w:val="ru-RU"/>
        </w:rPr>
        <w:t>,</w:t>
      </w:r>
    </w:p>
    <w:p w:rsidR="005F2F38" w:rsidRDefault="005F2F38" w:rsidP="004428E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lastRenderedPageBreak/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6C758F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</w:t>
      </w:r>
      <w:proofErr w:type="gramStart"/>
      <w:r w:rsidRPr="00E9696F">
        <w:rPr>
          <w:lang w:val="ru-RU"/>
        </w:rPr>
        <w:t>:</w:t>
      </w:r>
      <w:r w:rsidR="004529B5" w:rsidRPr="00E9696F">
        <w:rPr>
          <w:lang w:val="ru-RU"/>
        </w:rPr>
        <w:t xml:space="preserve">, </w:t>
      </w:r>
      <w:proofErr w:type="gramEnd"/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4428E6">
        <w:rPr>
          <w:lang w:val="ru-RU"/>
        </w:rPr>
        <w:t>08.17</w:t>
      </w:r>
      <w:r w:rsidRPr="004F6116">
        <w:rPr>
          <w:lang w:val="ru-RU"/>
        </w:rPr>
        <w:t xml:space="preserve"> по  .</w:t>
      </w:r>
      <w:r w:rsidR="004428E6">
        <w:rPr>
          <w:lang w:val="ru-RU"/>
        </w:rPr>
        <w:t>08.17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4428E6">
        <w:rPr>
          <w:lang w:val="ru-RU"/>
        </w:rPr>
        <w:t>08.17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C758F">
            <w:rPr>
              <w:lang w:val="ru-RU"/>
            </w:rPr>
            <w:t>Фещук</w:t>
          </w:r>
          <w:proofErr w:type="spellEnd"/>
          <w:r w:rsidR="006C758F">
            <w:rPr>
              <w:lang w:val="ru-RU"/>
            </w:rPr>
            <w:t>. И.А.</w:t>
          </w:r>
        </w:sdtContent>
      </w:sdt>
    </w:p>
    <w:p w:rsidR="00BD7E20" w:rsidRPr="00BD7E20" w:rsidRDefault="006C758F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>
            <w:t>Фещук. И.А.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28E6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758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B7680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DFC5D-CCA4-4205-BCC4-AE21D3FED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4012</Words>
  <Characters>2288</Characters>
  <Application>Microsoft Office Word</Application>
  <DocSecurity>4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2017-08-16T05:29:00Z</dcterms:created>
  <dcterms:modified xsi:type="dcterms:W3CDTF">2017-08-16T05:29:00Z</dcterms:modified>
</cp:coreProperties>
</file>