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5BDE" w14:textId="5D1C3480" w:rsidR="0025736B" w:rsidRPr="00EB25D7" w:rsidRDefault="00C22555" w:rsidP="006B561F">
      <w:pPr>
        <w:rPr>
          <w:rFonts w:ascii="Times New Roman" w:hAnsi="Times New Roman" w:cs="Times New Roman"/>
          <w:b/>
          <w:bCs/>
          <w:sz w:val="36"/>
          <w:szCs w:val="36"/>
        </w:rPr>
      </w:pPr>
      <w:r w:rsidRPr="00EB25D7">
        <w:rPr>
          <w:rFonts w:ascii="Times New Roman" w:hAnsi="Times New Roman" w:cs="Times New Roman"/>
          <w:b/>
          <w:bCs/>
          <w:sz w:val="36"/>
          <w:szCs w:val="36"/>
        </w:rPr>
        <w:t>VENTURE CAPITAL PROBLEM SET</w:t>
      </w:r>
    </w:p>
    <w:p w14:paraId="3D0A92CF" w14:textId="06767DEB" w:rsidR="00C22555" w:rsidRDefault="00910828" w:rsidP="006B561F">
      <w:pPr>
        <w:rPr>
          <w:rFonts w:ascii="Times New Roman" w:hAnsi="Times New Roman" w:cs="Times New Roman"/>
          <w:b/>
          <w:bCs/>
        </w:rPr>
      </w:pPr>
      <w:r>
        <w:rPr>
          <w:rFonts w:ascii="Times New Roman" w:hAnsi="Times New Roman" w:cs="Times New Roman" w:hint="eastAsia"/>
          <w:b/>
          <w:bCs/>
        </w:rPr>
        <w:t>Jie Wang</w:t>
      </w:r>
    </w:p>
    <w:p w14:paraId="68E77A66" w14:textId="1C474739" w:rsidR="00910828" w:rsidRDefault="00910828" w:rsidP="006B561F">
      <w:pPr>
        <w:rPr>
          <w:rFonts w:ascii="Times New Roman" w:hAnsi="Times New Roman" w:cs="Times New Roman"/>
          <w:b/>
          <w:bCs/>
        </w:rPr>
      </w:pPr>
      <w:r>
        <w:rPr>
          <w:rFonts w:ascii="Times New Roman" w:hAnsi="Times New Roman" w:cs="Times New Roman" w:hint="eastAsia"/>
          <w:b/>
          <w:bCs/>
        </w:rPr>
        <w:t>03/27/2025</w:t>
      </w:r>
    </w:p>
    <w:p w14:paraId="727AFFFF" w14:textId="77777777" w:rsidR="00EB25D7" w:rsidRPr="006B561F" w:rsidRDefault="00EB25D7" w:rsidP="006B561F">
      <w:pPr>
        <w:rPr>
          <w:rFonts w:ascii="Times New Roman" w:hAnsi="Times New Roman" w:cs="Times New Roman"/>
          <w:b/>
          <w:bCs/>
        </w:rPr>
      </w:pPr>
    </w:p>
    <w:p w14:paraId="179BE557" w14:textId="2ABF49B7" w:rsidR="00C22555" w:rsidRPr="00A314E0" w:rsidRDefault="00C22555" w:rsidP="006B561F">
      <w:pPr>
        <w:rPr>
          <w:rFonts w:ascii="Times New Roman" w:hAnsi="Times New Roman" w:cs="Times New Roman"/>
          <w:b/>
          <w:bCs/>
        </w:rPr>
      </w:pPr>
      <w:r w:rsidRPr="00EB25D7">
        <w:rPr>
          <w:rFonts w:ascii="Times New Roman" w:hAnsi="Times New Roman" w:cs="Times New Roman"/>
          <w:b/>
          <w:bCs/>
        </w:rPr>
        <w:t>Q1a:</w:t>
      </w:r>
      <w:r w:rsidR="006B561F" w:rsidRPr="006B561F">
        <w:rPr>
          <w:rFonts w:ascii="Times New Roman" w:hAnsi="Times New Roman" w:cs="Times New Roman"/>
        </w:rPr>
        <w:t xml:space="preserve"> </w:t>
      </w:r>
      <w:r w:rsidR="00A314E0">
        <w:rPr>
          <w:rFonts w:ascii="Times New Roman" w:hAnsi="Times New Roman" w:cs="Times New Roman" w:hint="eastAsia"/>
          <w:b/>
          <w:bCs/>
        </w:rPr>
        <w:t>Series A: TVC</w:t>
      </w:r>
      <w:r w:rsidR="00A314E0">
        <w:rPr>
          <w:rFonts w:ascii="Times New Roman" w:hAnsi="Times New Roman" w:cs="Times New Roman"/>
          <w:b/>
          <w:bCs/>
        </w:rPr>
        <w:t>’</w:t>
      </w:r>
      <w:r w:rsidR="00A314E0">
        <w:rPr>
          <w:rFonts w:ascii="Times New Roman" w:hAnsi="Times New Roman" w:cs="Times New Roman" w:hint="eastAsia"/>
          <w:b/>
          <w:bCs/>
        </w:rPr>
        <w:t>s min Share</w:t>
      </w:r>
    </w:p>
    <w:p w14:paraId="279C5E47" w14:textId="5D893258" w:rsidR="006B561F" w:rsidRPr="006B561F" w:rsidRDefault="006B561F" w:rsidP="00CD52C5">
      <w:pPr>
        <w:ind w:firstLine="420"/>
        <w:rPr>
          <w:rFonts w:ascii="Times New Roman" w:hAnsi="Times New Roman" w:cs="Times New Roman"/>
        </w:rPr>
      </w:pPr>
      <w:r>
        <w:rPr>
          <w:rFonts w:ascii="Times New Roman" w:hAnsi="Times New Roman" w:cs="Times New Roman" w:hint="eastAsia"/>
        </w:rPr>
        <w:t>Given</w:t>
      </w:r>
      <w:r w:rsidRPr="006B561F">
        <w:rPr>
          <w:rFonts w:ascii="Times New Roman" w:hAnsi="Times New Roman" w:cs="Times New Roman"/>
        </w:rPr>
        <w:t xml:space="preserve"> a 50% annual return for five years, the $1.5 million Series A investment must grow to $11.39 million by 2030. XL’s projected 2030 revenue of $6.5 million, valued at a P/R ratio of 14, gives a terminal value of $91 million. This implies that TVC must own 12.52% at exit. However, after factoring in Series B and C (which will together own 36.9% at exit), TVC’s ownership must be “grossed up” to 19.84% at the Series A round to retain 12.52% after future dilution.</w:t>
      </w:r>
    </w:p>
    <w:p w14:paraId="34D9806B" w14:textId="77777777" w:rsidR="006B561F" w:rsidRPr="006B561F" w:rsidRDefault="006B561F" w:rsidP="00CD52C5">
      <w:pPr>
        <w:ind w:firstLine="420"/>
        <w:rPr>
          <w:rFonts w:ascii="Times New Roman" w:hAnsi="Times New Roman" w:cs="Times New Roman"/>
        </w:rPr>
      </w:pPr>
      <w:r w:rsidRPr="006B561F">
        <w:rPr>
          <w:rFonts w:ascii="Times New Roman" w:hAnsi="Times New Roman" w:cs="Times New Roman"/>
        </w:rPr>
        <w:t>Converting that 19.84% into new shares involves dividing by (1 – 19.84%) and multiplying by the 555,556 shares outstanding before Series A. TVC must thus acquire about 137,537 new shares. The price per share is $1.5 million divided by 137,537 shares, or about $10.91 per share.</w:t>
      </w:r>
    </w:p>
    <w:p w14:paraId="17204C4F" w14:textId="14AA6142" w:rsidR="006B561F" w:rsidRPr="006B561F" w:rsidRDefault="006B561F" w:rsidP="00CD52C5">
      <w:pPr>
        <w:ind w:firstLine="420"/>
        <w:rPr>
          <w:rFonts w:ascii="Times New Roman" w:hAnsi="Times New Roman" w:cs="Times New Roman"/>
        </w:rPr>
      </w:pPr>
      <w:r w:rsidRPr="006B561F">
        <w:rPr>
          <w:rFonts w:ascii="Times New Roman" w:hAnsi="Times New Roman" w:cs="Times New Roman"/>
        </w:rPr>
        <w:t>At this purchase price, the post-money valuation (investment ÷ 19.84%) is $7.56 million, and the pre-money valuation is $7.56 million minus the $1.5 million investment, or $6.06 million.</w:t>
      </w:r>
      <w:r w:rsidR="00BE758F">
        <w:rPr>
          <w:rFonts w:ascii="Times New Roman" w:hAnsi="Times New Roman" w:cs="Times New Roman" w:hint="eastAsia"/>
        </w:rPr>
        <w:t>；</w:t>
      </w:r>
    </w:p>
    <w:p w14:paraId="48412D2C" w14:textId="675CC96F" w:rsidR="00C22555" w:rsidRDefault="00C22555" w:rsidP="006B561F">
      <w:pPr>
        <w:rPr>
          <w:rFonts w:ascii="Times New Roman" w:hAnsi="Times New Roman" w:cs="Times New Roman"/>
        </w:rPr>
      </w:pPr>
    </w:p>
    <w:p w14:paraId="6AE29ACE" w14:textId="0A68FDA6" w:rsidR="004D604B" w:rsidRDefault="004D604B" w:rsidP="006B561F">
      <w:pPr>
        <w:rPr>
          <w:rFonts w:ascii="Times New Roman" w:hAnsi="Times New Roman" w:cs="Times New Roman"/>
          <w:b/>
          <w:bCs/>
        </w:rPr>
      </w:pPr>
      <w:r>
        <w:rPr>
          <w:rFonts w:ascii="Times New Roman" w:hAnsi="Times New Roman" w:cs="Times New Roman" w:hint="eastAsia"/>
          <w:b/>
          <w:bCs/>
        </w:rPr>
        <w:t>Q1b Series B &amp; C: TVC share &amp; new share</w:t>
      </w:r>
    </w:p>
    <w:p w14:paraId="55767D06" w14:textId="27A38834" w:rsidR="00EB25D7" w:rsidRPr="004D604B" w:rsidRDefault="00EB25D7" w:rsidP="006B561F">
      <w:pPr>
        <w:rPr>
          <w:rFonts w:ascii="Times New Roman" w:hAnsi="Times New Roman" w:cs="Times New Roman"/>
          <w:b/>
          <w:bCs/>
        </w:rPr>
      </w:pPr>
    </w:p>
    <w:p w14:paraId="21C1C2A4"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B Investment:</w:t>
      </w:r>
    </w:p>
    <w:p w14:paraId="2154D8F5"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Ownership initially acquired: 25.06%</w:t>
      </w:r>
    </w:p>
    <w:p w14:paraId="4F13FE81"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Number of new shares acquired: 231,824 shares</w:t>
      </w:r>
    </w:p>
    <w:p w14:paraId="4D1769FD"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Price per share: $30.20</w:t>
      </w:r>
    </w:p>
    <w:p w14:paraId="1649E18F"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Pre-money valuation: $20,928,207</w:t>
      </w:r>
    </w:p>
    <w:p w14:paraId="2B5EEBD7"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Post-money valuation: $27,928,207</w:t>
      </w:r>
    </w:p>
    <w:p w14:paraId="738A561E"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C Investment:</w:t>
      </w:r>
    </w:p>
    <w:p w14:paraId="1D16B3E3"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Ownership initially acquired: 15.79%</w:t>
      </w:r>
    </w:p>
    <w:p w14:paraId="0AFFD007"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Number of new shares acquired: 173,373 shares</w:t>
      </w:r>
    </w:p>
    <w:p w14:paraId="12DC57BD"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Price per share: $49.03</w:t>
      </w:r>
    </w:p>
    <w:p w14:paraId="2A1EB42B"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Pre-money valuation: $45,346,154</w:t>
      </w:r>
    </w:p>
    <w:p w14:paraId="57AE639B" w14:textId="719C9116" w:rsidR="00EB25D7" w:rsidRDefault="008B4FE2" w:rsidP="006B561F">
      <w:pPr>
        <w:numPr>
          <w:ilvl w:val="0"/>
          <w:numId w:val="3"/>
        </w:numPr>
        <w:rPr>
          <w:rFonts w:ascii="Times New Roman" w:hAnsi="Times New Roman" w:cs="Times New Roman"/>
        </w:rPr>
      </w:pPr>
      <w:r w:rsidRPr="008B4FE2">
        <w:rPr>
          <w:rFonts w:ascii="Times New Roman" w:hAnsi="Times New Roman" w:cs="Times New Roman"/>
        </w:rPr>
        <w:t>Post-money valuation: $53,846,154</w:t>
      </w:r>
    </w:p>
    <w:p w14:paraId="06A135E0" w14:textId="5573A2A3" w:rsidR="005D6942" w:rsidRPr="00910828" w:rsidRDefault="00EB25D7" w:rsidP="00EB25D7">
      <w:pPr>
        <w:widowControl/>
        <w:jc w:val="left"/>
        <w:rPr>
          <w:rFonts w:ascii="Times New Roman" w:hAnsi="Times New Roman" w:cs="Times New Roman"/>
        </w:rPr>
      </w:pPr>
      <w:r>
        <w:rPr>
          <w:rFonts w:ascii="Times New Roman" w:hAnsi="Times New Roman" w:cs="Times New Roman"/>
        </w:rPr>
        <w:br w:type="page"/>
      </w:r>
    </w:p>
    <w:p w14:paraId="4692DDB1" w14:textId="78D773A3" w:rsidR="005D6942" w:rsidRPr="005D6942" w:rsidRDefault="005D6942" w:rsidP="006B561F">
      <w:pPr>
        <w:rPr>
          <w:rFonts w:ascii="Times New Roman" w:hAnsi="Times New Roman" w:cs="Times New Roman"/>
          <w:b/>
          <w:bCs/>
        </w:rPr>
      </w:pPr>
      <w:r w:rsidRPr="005D6942">
        <w:rPr>
          <w:rFonts w:ascii="Times New Roman" w:hAnsi="Times New Roman" w:cs="Times New Roman" w:hint="eastAsia"/>
          <w:b/>
          <w:bCs/>
        </w:rPr>
        <w:lastRenderedPageBreak/>
        <w:t>Q</w:t>
      </w:r>
      <w:r w:rsidR="004D604B">
        <w:rPr>
          <w:rFonts w:ascii="Times New Roman" w:hAnsi="Times New Roman" w:cs="Times New Roman" w:hint="eastAsia"/>
          <w:b/>
          <w:bCs/>
        </w:rPr>
        <w:t>2</w:t>
      </w:r>
      <w:r w:rsidRPr="005D6942">
        <w:rPr>
          <w:rFonts w:ascii="Times New Roman" w:hAnsi="Times New Roman" w:cs="Times New Roman" w:hint="eastAsia"/>
          <w:b/>
          <w:bCs/>
        </w:rPr>
        <w:t xml:space="preserve"> March 203</w:t>
      </w:r>
      <w:r w:rsidR="008B4FE2">
        <w:rPr>
          <w:rFonts w:ascii="Times New Roman" w:hAnsi="Times New Roman" w:cs="Times New Roman" w:hint="eastAsia"/>
          <w:b/>
          <w:bCs/>
        </w:rPr>
        <w:t>0</w:t>
      </w:r>
      <w:r>
        <w:rPr>
          <w:rFonts w:ascii="Times New Roman" w:hAnsi="Times New Roman" w:cs="Times New Roman" w:hint="eastAsia"/>
          <w:b/>
          <w:bCs/>
        </w:rPr>
        <w:t>: Ken</w:t>
      </w:r>
      <w:r>
        <w:rPr>
          <w:rFonts w:ascii="Times New Roman" w:hAnsi="Times New Roman" w:cs="Times New Roman"/>
          <w:b/>
          <w:bCs/>
        </w:rPr>
        <w:t>’</w:t>
      </w:r>
      <w:r>
        <w:rPr>
          <w:rFonts w:ascii="Times New Roman" w:hAnsi="Times New Roman" w:cs="Times New Roman" w:hint="eastAsia"/>
          <w:b/>
          <w:bCs/>
        </w:rPr>
        <w:t>s share worth?</w:t>
      </w:r>
    </w:p>
    <w:p w14:paraId="6B98AF9F" w14:textId="77777777" w:rsidR="005D6942" w:rsidRDefault="005D6942" w:rsidP="006B561F">
      <w:pPr>
        <w:rPr>
          <w:rFonts w:ascii="Times New Roman" w:hAnsi="Times New Roman" w:cs="Times New Roman"/>
        </w:rPr>
      </w:pPr>
    </w:p>
    <w:p w14:paraId="16FFC46A" w14:textId="77777777" w:rsidR="005D6942" w:rsidRPr="005D6942" w:rsidRDefault="005D6942" w:rsidP="004D604B">
      <w:pPr>
        <w:ind w:firstLine="420"/>
        <w:rPr>
          <w:rFonts w:ascii="Times New Roman" w:hAnsi="Times New Roman" w:cs="Times New Roman"/>
        </w:rPr>
      </w:pPr>
      <w:r w:rsidRPr="005D6942">
        <w:rPr>
          <w:rFonts w:ascii="Times New Roman" w:hAnsi="Times New Roman" w:cs="Times New Roman"/>
        </w:rPr>
        <w:t>By 2030, XL’s total projected terminal value is $91 million, implying a final share price of about $82.86 given 1,098,388 shares outstanding. Ken Cook holds 350,000 shares, worth about $29 million at exit. From his initial $30,000 investment, he realizes an annual compounded return of roughly 254%. Each co-founder, with 75,000 shares, reaches around $6.2 million in value (a ~244% annual return on a $10,000 investment). Cathy’s 55,556 converted SAFE shares total about $4.6 million at exit, representing an annual return near 51%.</w:t>
      </w:r>
    </w:p>
    <w:p w14:paraId="6D1ED49F" w14:textId="77777777" w:rsidR="005D6942" w:rsidRPr="005D6942" w:rsidRDefault="005D6942" w:rsidP="004D604B">
      <w:pPr>
        <w:ind w:firstLine="420"/>
        <w:rPr>
          <w:rFonts w:ascii="Times New Roman" w:hAnsi="Times New Roman" w:cs="Times New Roman"/>
        </w:rPr>
      </w:pPr>
      <w:r w:rsidRPr="005D6942">
        <w:rPr>
          <w:rFonts w:ascii="Times New Roman" w:hAnsi="Times New Roman" w:cs="Times New Roman"/>
        </w:rPr>
        <w:t>Ken’s higher ROI stems from his lower initial cost basis (about $0.086 per share), while each co-founder’s shares cost roughly $0.133 initially. Although both founder groups achieve massive returns, Ken’s advantage arises from his larger share count per dollar invested.</w:t>
      </w:r>
    </w:p>
    <w:p w14:paraId="52CFC7DB" w14:textId="77777777" w:rsidR="005D6942" w:rsidRPr="005D6942" w:rsidRDefault="005D6942" w:rsidP="004D604B">
      <w:pPr>
        <w:ind w:firstLine="420"/>
        <w:rPr>
          <w:rFonts w:ascii="Times New Roman" w:hAnsi="Times New Roman" w:cs="Times New Roman"/>
        </w:rPr>
      </w:pPr>
      <w:r w:rsidRPr="005D6942">
        <w:rPr>
          <w:rFonts w:ascii="Times New Roman" w:hAnsi="Times New Roman" w:cs="Times New Roman"/>
        </w:rPr>
        <w:t>Cathy’s relatively lower ROI reflects her later and higher valuation entry point under the SAFE, despite a 20% discount. While her investment grows significantly in absolute terms, her percentage gains are naturally more modest than those of the founders, who obtained shares at far lower prices.</w:t>
      </w:r>
    </w:p>
    <w:p w14:paraId="31AB9E11" w14:textId="77777777" w:rsidR="005D6942" w:rsidRDefault="005D6942" w:rsidP="006B561F">
      <w:pPr>
        <w:rPr>
          <w:rFonts w:ascii="Times New Roman" w:hAnsi="Times New Roman" w:cs="Times New Roman"/>
        </w:rPr>
      </w:pPr>
    </w:p>
    <w:p w14:paraId="41CEB73F" w14:textId="77777777" w:rsidR="008B4FE2" w:rsidRDefault="008B4FE2" w:rsidP="006B561F">
      <w:pPr>
        <w:rPr>
          <w:rFonts w:ascii="Times New Roman" w:hAnsi="Times New Roman" w:cs="Times New Roman"/>
        </w:rPr>
      </w:pPr>
    </w:p>
    <w:p w14:paraId="0FD1E2D6" w14:textId="76A8FA3B" w:rsidR="008B4FE2" w:rsidRDefault="008B4FE2" w:rsidP="006B561F">
      <w:pPr>
        <w:rPr>
          <w:rFonts w:ascii="Times New Roman" w:hAnsi="Times New Roman" w:cs="Times New Roman"/>
          <w:b/>
          <w:bCs/>
        </w:rPr>
      </w:pPr>
      <w:r>
        <w:rPr>
          <w:rFonts w:ascii="Times New Roman" w:hAnsi="Times New Roman" w:cs="Times New Roman" w:hint="eastAsia"/>
          <w:b/>
          <w:bCs/>
        </w:rPr>
        <w:t>Q4: Stock options</w:t>
      </w:r>
    </w:p>
    <w:p w14:paraId="1F4B5A6A" w14:textId="77777777" w:rsidR="008B4FE2" w:rsidRDefault="008B4FE2" w:rsidP="006B561F">
      <w:pPr>
        <w:rPr>
          <w:rFonts w:ascii="Times New Roman" w:hAnsi="Times New Roman" w:cs="Times New Roman"/>
          <w:b/>
          <w:bCs/>
        </w:rPr>
      </w:pPr>
    </w:p>
    <w:p w14:paraId="149D99B4"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A (with Option Pool considered):</w:t>
      </w:r>
    </w:p>
    <w:p w14:paraId="7D1E563E"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Ownership initially acquired: 23.57%</w:t>
      </w:r>
    </w:p>
    <w:p w14:paraId="0FDF9026"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Number of new shares acquired: 171,325 shares</w:t>
      </w:r>
    </w:p>
    <w:p w14:paraId="0EA9AC98"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Price per share: $8.76</w:t>
      </w:r>
    </w:p>
    <w:p w14:paraId="1E4EEBD5"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Pre-money valuation: $4,864,049</w:t>
      </w:r>
    </w:p>
    <w:p w14:paraId="54BA0F16"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Post-money valuation: $6,364,049</w:t>
      </w:r>
    </w:p>
    <w:p w14:paraId="00E1AE7D"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B (with Option Pool considered):</w:t>
      </w:r>
    </w:p>
    <w:p w14:paraId="6CEFAFAC"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Ownership initially acquired: 28.44%</w:t>
      </w:r>
    </w:p>
    <w:p w14:paraId="42335784"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Number of new shares acquired: 288,905 shares</w:t>
      </w:r>
    </w:p>
    <w:p w14:paraId="46B135E6"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Price per share: $24.23</w:t>
      </w:r>
    </w:p>
    <w:p w14:paraId="176D9552"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Pre-money valuation: $17,611,880</w:t>
      </w:r>
    </w:p>
    <w:p w14:paraId="62061951"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Post-money valuation: $24,611,880</w:t>
      </w:r>
    </w:p>
    <w:p w14:paraId="1F0630EA"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C (with Option Pool considered):</w:t>
      </w:r>
    </w:p>
    <w:p w14:paraId="4B8F377B"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Ownership initially acquired: 17.54%</w:t>
      </w:r>
    </w:p>
    <w:p w14:paraId="5050458C"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Number of new shares acquired: 216,062 shares</w:t>
      </w:r>
    </w:p>
    <w:p w14:paraId="3288D9DC"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Price per share: $39.34</w:t>
      </w:r>
    </w:p>
    <w:p w14:paraId="471AAA22"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Pre-money valuation: $39,961,538</w:t>
      </w:r>
    </w:p>
    <w:p w14:paraId="64FDB2B1"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Post-money valuation: $48,461,538</w:t>
      </w:r>
    </w:p>
    <w:p w14:paraId="73BD100E"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Valuation and returns at liquidity event (March 2030):</w:t>
      </w:r>
    </w:p>
    <w:p w14:paraId="371DEE89" w14:textId="77777777" w:rsidR="008B4FE2" w:rsidRPr="008B4FE2" w:rsidRDefault="008B4FE2" w:rsidP="008B4FE2">
      <w:pPr>
        <w:numPr>
          <w:ilvl w:val="0"/>
          <w:numId w:val="7"/>
        </w:numPr>
        <w:rPr>
          <w:rFonts w:ascii="Times New Roman" w:hAnsi="Times New Roman" w:cs="Times New Roman"/>
        </w:rPr>
      </w:pPr>
      <w:r w:rsidRPr="008B4FE2">
        <w:rPr>
          <w:rFonts w:ascii="Times New Roman" w:hAnsi="Times New Roman" w:cs="Times New Roman"/>
        </w:rPr>
        <w:t>Total shares at liquidity (including 10% stock option pool): 1,368,721 shares</w:t>
      </w:r>
    </w:p>
    <w:p w14:paraId="1254C494" w14:textId="77777777" w:rsidR="008B4FE2" w:rsidRPr="008B4FE2" w:rsidRDefault="008B4FE2" w:rsidP="008B4FE2">
      <w:pPr>
        <w:numPr>
          <w:ilvl w:val="0"/>
          <w:numId w:val="7"/>
        </w:numPr>
        <w:rPr>
          <w:rFonts w:ascii="Times New Roman" w:hAnsi="Times New Roman" w:cs="Times New Roman"/>
        </w:rPr>
      </w:pPr>
      <w:r w:rsidRPr="008B4FE2">
        <w:rPr>
          <w:rFonts w:ascii="Times New Roman" w:hAnsi="Times New Roman" w:cs="Times New Roman"/>
        </w:rPr>
        <w:t>Terminal price per share: $66.49</w:t>
      </w:r>
    </w:p>
    <w:p w14:paraId="59062E31"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Share Values and Annual ROI:</w:t>
      </w:r>
    </w:p>
    <w:p w14:paraId="5D26F221" w14:textId="77777777" w:rsidR="008B4FE2" w:rsidRPr="008B4FE2" w:rsidRDefault="008B4FE2" w:rsidP="008B4FE2">
      <w:pPr>
        <w:numPr>
          <w:ilvl w:val="0"/>
          <w:numId w:val="8"/>
        </w:numPr>
        <w:rPr>
          <w:rFonts w:ascii="Times New Roman" w:hAnsi="Times New Roman" w:cs="Times New Roman"/>
        </w:rPr>
      </w:pPr>
      <w:r w:rsidRPr="008B4FE2">
        <w:rPr>
          <w:rFonts w:ascii="Times New Roman" w:hAnsi="Times New Roman" w:cs="Times New Roman"/>
        </w:rPr>
        <w:t>Ken Cook’s shares value: $23,269,898</w:t>
      </w:r>
    </w:p>
    <w:p w14:paraId="3A23BE25" w14:textId="77777777" w:rsidR="008B4FE2" w:rsidRPr="008B4FE2" w:rsidRDefault="008B4FE2" w:rsidP="008B4FE2">
      <w:pPr>
        <w:numPr>
          <w:ilvl w:val="1"/>
          <w:numId w:val="8"/>
        </w:numPr>
        <w:rPr>
          <w:rFonts w:ascii="Times New Roman" w:hAnsi="Times New Roman" w:cs="Times New Roman"/>
        </w:rPr>
      </w:pPr>
      <w:r w:rsidRPr="008B4FE2">
        <w:rPr>
          <w:rFonts w:ascii="Times New Roman" w:hAnsi="Times New Roman" w:cs="Times New Roman"/>
        </w:rPr>
        <w:t>Annual compounded ROI: ~203.12%</w:t>
      </w:r>
    </w:p>
    <w:p w14:paraId="08426956" w14:textId="77777777" w:rsidR="008B4FE2" w:rsidRPr="008B4FE2" w:rsidRDefault="008B4FE2" w:rsidP="008B4FE2">
      <w:pPr>
        <w:numPr>
          <w:ilvl w:val="0"/>
          <w:numId w:val="8"/>
        </w:numPr>
        <w:rPr>
          <w:rFonts w:ascii="Times New Roman" w:hAnsi="Times New Roman" w:cs="Times New Roman"/>
        </w:rPr>
      </w:pPr>
      <w:r w:rsidRPr="008B4FE2">
        <w:rPr>
          <w:rFonts w:ascii="Times New Roman" w:hAnsi="Times New Roman" w:cs="Times New Roman"/>
        </w:rPr>
        <w:t>Each co-founder's shares value: $4,986,407</w:t>
      </w:r>
    </w:p>
    <w:p w14:paraId="76CFBE30" w14:textId="77777777" w:rsidR="008B4FE2" w:rsidRPr="008B4FE2" w:rsidRDefault="008B4FE2" w:rsidP="008B4FE2">
      <w:pPr>
        <w:numPr>
          <w:ilvl w:val="1"/>
          <w:numId w:val="8"/>
        </w:numPr>
        <w:rPr>
          <w:rFonts w:ascii="Times New Roman" w:hAnsi="Times New Roman" w:cs="Times New Roman"/>
        </w:rPr>
      </w:pPr>
      <w:r w:rsidRPr="008B4FE2">
        <w:rPr>
          <w:rFonts w:ascii="Times New Roman" w:hAnsi="Times New Roman" w:cs="Times New Roman"/>
        </w:rPr>
        <w:lastRenderedPageBreak/>
        <w:t>Annual compounded ROI: ~181.60%</w:t>
      </w:r>
    </w:p>
    <w:p w14:paraId="1AC02F40" w14:textId="77777777" w:rsidR="008B4FE2" w:rsidRPr="008B4FE2" w:rsidRDefault="008B4FE2" w:rsidP="008B4FE2">
      <w:pPr>
        <w:numPr>
          <w:ilvl w:val="0"/>
          <w:numId w:val="8"/>
        </w:numPr>
        <w:rPr>
          <w:rFonts w:ascii="Times New Roman" w:hAnsi="Times New Roman" w:cs="Times New Roman"/>
        </w:rPr>
      </w:pPr>
      <w:r w:rsidRPr="008B4FE2">
        <w:rPr>
          <w:rFonts w:ascii="Times New Roman" w:hAnsi="Times New Roman" w:cs="Times New Roman"/>
        </w:rPr>
        <w:t>Cathy’s converted shares value: $3,693,664</w:t>
      </w:r>
    </w:p>
    <w:p w14:paraId="59E16ECF" w14:textId="77777777" w:rsidR="008B4FE2" w:rsidRPr="008B4FE2" w:rsidRDefault="008B4FE2" w:rsidP="008B4FE2">
      <w:pPr>
        <w:numPr>
          <w:ilvl w:val="1"/>
          <w:numId w:val="8"/>
        </w:numPr>
        <w:rPr>
          <w:rFonts w:ascii="Times New Roman" w:hAnsi="Times New Roman" w:cs="Times New Roman"/>
        </w:rPr>
      </w:pPr>
      <w:r w:rsidRPr="008B4FE2">
        <w:rPr>
          <w:rFonts w:ascii="Times New Roman" w:hAnsi="Times New Roman" w:cs="Times New Roman"/>
        </w:rPr>
        <w:t>Annual compounded ROI: ~44.84%</w:t>
      </w:r>
    </w:p>
    <w:p w14:paraId="3864DCC2" w14:textId="77777777" w:rsidR="008B4FE2" w:rsidRPr="008B4FE2" w:rsidRDefault="008B4FE2" w:rsidP="008B4FE2">
      <w:pPr>
        <w:rPr>
          <w:rFonts w:ascii="Times New Roman" w:hAnsi="Times New Roman" w:cs="Times New Roman"/>
          <w:b/>
          <w:bCs/>
        </w:rPr>
      </w:pPr>
      <w:r w:rsidRPr="008B4FE2">
        <w:rPr>
          <w:rFonts w:ascii="Times New Roman" w:hAnsi="Times New Roman" w:cs="Times New Roman"/>
          <w:b/>
          <w:bCs/>
        </w:rPr>
        <w:t>Analysis of Impact due to Option Pool:</w:t>
      </w:r>
    </w:p>
    <w:p w14:paraId="5B92EEF5" w14:textId="3B987565" w:rsidR="008B4FE2" w:rsidRDefault="007F745A" w:rsidP="007F745A">
      <w:pPr>
        <w:rPr>
          <w:rFonts w:ascii="Times New Roman" w:hAnsi="Times New Roman" w:cs="Times New Roman"/>
        </w:rPr>
      </w:pPr>
      <w:r w:rsidRPr="007F745A">
        <w:rPr>
          <w:rFonts w:ascii="Times New Roman" w:hAnsi="Times New Roman" w:cs="Times New Roman"/>
        </w:rPr>
        <w:t>The 10% stock option pool dilutes everyone’s stake slightly but is crucial for attracting and motivating the management team. While returns for the founders and Cathy decrease slightly, the improved talent and alignment of interests can boost the company’s overall exit valuation.</w:t>
      </w:r>
    </w:p>
    <w:p w14:paraId="506A462C" w14:textId="77777777" w:rsidR="00EB25D7" w:rsidRDefault="00EB25D7" w:rsidP="007F745A">
      <w:pPr>
        <w:rPr>
          <w:rFonts w:ascii="Times New Roman" w:hAnsi="Times New Roman" w:cs="Times New Roman"/>
        </w:rPr>
      </w:pPr>
    </w:p>
    <w:p w14:paraId="4D9ED0D0" w14:textId="10590DCF" w:rsidR="00EB25D7" w:rsidRPr="00EB25D7" w:rsidRDefault="00EB25D7" w:rsidP="007F745A">
      <w:pPr>
        <w:rPr>
          <w:rFonts w:ascii="Times New Roman" w:hAnsi="Times New Roman" w:cs="Times New Roman"/>
          <w:b/>
          <w:bCs/>
        </w:rPr>
      </w:pPr>
      <w:r w:rsidRPr="00EB25D7">
        <w:rPr>
          <w:rFonts w:ascii="Times New Roman" w:hAnsi="Times New Roman" w:cs="Times New Roman" w:hint="eastAsia"/>
          <w:b/>
          <w:bCs/>
        </w:rPr>
        <w:t>Q5</w:t>
      </w:r>
      <w:r w:rsidRPr="00EB25D7">
        <w:rPr>
          <w:rFonts w:ascii="Times New Roman" w:hAnsi="Times New Roman" w:cs="Times New Roman"/>
          <w:b/>
          <w:bCs/>
        </w:rPr>
        <w:t xml:space="preserve"> Impact of Delay and Additional Investment:</w:t>
      </w:r>
    </w:p>
    <w:p w14:paraId="7E9A5C64"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Liquidity event delayed by 2 years, now in March 2032.</w:t>
      </w:r>
    </w:p>
    <w:p w14:paraId="02D75EF2"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Series C investment increased to $10,500,000.</w:t>
      </w:r>
    </w:p>
    <w:p w14:paraId="1B620BB6"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Terminal value remains at $91,000,000.</w:t>
      </w:r>
    </w:p>
    <w:p w14:paraId="1B67F587"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Series A terms remain fixed (already done deal).</w:t>
      </w:r>
    </w:p>
    <w:p w14:paraId="7E42ED31"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The planned 10% stock option pool remains included.</w:t>
      </w:r>
    </w:p>
    <w:p w14:paraId="689276FF" w14:textId="43736CE1" w:rsidR="00EB25D7" w:rsidRPr="00EB25D7" w:rsidRDefault="00EB25D7" w:rsidP="00EB25D7">
      <w:pPr>
        <w:rPr>
          <w:rFonts w:ascii="Times New Roman" w:hAnsi="Times New Roman" w:cs="Times New Roman"/>
        </w:rPr>
      </w:pPr>
    </w:p>
    <w:p w14:paraId="55EBFAC3"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Series B (unchanged timing, but reflecting delayed liquidity):</w:t>
      </w:r>
    </w:p>
    <w:p w14:paraId="58FFFAC8"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Ownership initially acquired: 72.52%</w:t>
      </w:r>
    </w:p>
    <w:p w14:paraId="6F44B2BB"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New shares acquired: 1,918,592 shares</w:t>
      </w:r>
    </w:p>
    <w:p w14:paraId="3989953D"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Price per share: $3.65</w:t>
      </w:r>
    </w:p>
    <w:p w14:paraId="6E2F0ED0"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Pre-money valuation: $2,652,033</w:t>
      </w:r>
    </w:p>
    <w:p w14:paraId="1E58309C"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Post-money valuation: $9,652,033</w:t>
      </w:r>
    </w:p>
    <w:p w14:paraId="384D8BA4"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Series C (increased investment, reflecting delayed liquidity):</w:t>
      </w:r>
    </w:p>
    <w:p w14:paraId="11F2EA8C"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Ownership initially acquired: 36.62%</w:t>
      </w:r>
    </w:p>
    <w:p w14:paraId="2F1CB9C7"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New shares acquired: 1,528,294 shares</w:t>
      </w:r>
    </w:p>
    <w:p w14:paraId="7C0FD49E"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Price per share: $6.87</w:t>
      </w:r>
    </w:p>
    <w:p w14:paraId="065C9CA0"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Pre-money valuation: $18,175,467</w:t>
      </w:r>
    </w:p>
    <w:p w14:paraId="29F156E8"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Post-money valuation: $28,675,467</w:t>
      </w:r>
    </w:p>
    <w:p w14:paraId="2A9FBF46"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Liquidity Event (March 2032) with 10% option pool:</w:t>
      </w:r>
    </w:p>
    <w:p w14:paraId="4D79B4B9" w14:textId="77777777" w:rsidR="00EB25D7" w:rsidRPr="00EB25D7" w:rsidRDefault="00EB25D7" w:rsidP="00EB25D7">
      <w:pPr>
        <w:numPr>
          <w:ilvl w:val="0"/>
          <w:numId w:val="12"/>
        </w:numPr>
        <w:rPr>
          <w:rFonts w:ascii="Times New Roman" w:hAnsi="Times New Roman" w:cs="Times New Roman"/>
        </w:rPr>
      </w:pPr>
      <w:r w:rsidRPr="00EB25D7">
        <w:rPr>
          <w:rFonts w:ascii="Times New Roman" w:hAnsi="Times New Roman" w:cs="Times New Roman"/>
        </w:rPr>
        <w:t>Final total shares (including option pool): 4,637,519 shares</w:t>
      </w:r>
    </w:p>
    <w:p w14:paraId="5117044F" w14:textId="77777777" w:rsidR="00EB25D7" w:rsidRPr="00EB25D7" w:rsidRDefault="00EB25D7" w:rsidP="00EB25D7">
      <w:pPr>
        <w:numPr>
          <w:ilvl w:val="0"/>
          <w:numId w:val="12"/>
        </w:numPr>
        <w:rPr>
          <w:rFonts w:ascii="Times New Roman" w:hAnsi="Times New Roman" w:cs="Times New Roman"/>
        </w:rPr>
      </w:pPr>
      <w:r w:rsidRPr="00EB25D7">
        <w:rPr>
          <w:rFonts w:ascii="Times New Roman" w:hAnsi="Times New Roman" w:cs="Times New Roman"/>
        </w:rPr>
        <w:t>Terminal price per share: $19.62</w:t>
      </w:r>
    </w:p>
    <w:p w14:paraId="7B0D2223"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Compound Annual Rates of Return Under Delayed Scenario:</w:t>
      </w:r>
    </w:p>
    <w:p w14:paraId="41E397F1" w14:textId="77777777" w:rsidR="00EB25D7" w:rsidRPr="00EB25D7" w:rsidRDefault="00EB25D7" w:rsidP="00EB25D7">
      <w:pPr>
        <w:numPr>
          <w:ilvl w:val="0"/>
          <w:numId w:val="13"/>
        </w:numPr>
        <w:rPr>
          <w:rFonts w:ascii="Times New Roman" w:hAnsi="Times New Roman" w:cs="Times New Roman"/>
        </w:rPr>
      </w:pPr>
      <w:r w:rsidRPr="00EB25D7">
        <w:rPr>
          <w:rFonts w:ascii="Times New Roman" w:hAnsi="Times New Roman" w:cs="Times New Roman"/>
        </w:rPr>
        <w:t>Series A ROI (7-year horizon): 12.22% per annum</w:t>
      </w:r>
    </w:p>
    <w:p w14:paraId="5348E2E0" w14:textId="77777777" w:rsidR="00EB25D7" w:rsidRPr="00EB25D7" w:rsidRDefault="00EB25D7" w:rsidP="00EB25D7">
      <w:pPr>
        <w:numPr>
          <w:ilvl w:val="0"/>
          <w:numId w:val="13"/>
        </w:numPr>
        <w:rPr>
          <w:rFonts w:ascii="Times New Roman" w:hAnsi="Times New Roman" w:cs="Times New Roman"/>
        </w:rPr>
      </w:pPr>
      <w:r w:rsidRPr="00EB25D7">
        <w:rPr>
          <w:rFonts w:ascii="Times New Roman" w:hAnsi="Times New Roman" w:cs="Times New Roman"/>
        </w:rPr>
        <w:t>Series B ROI (5-year horizon): 40.00% per annum</w:t>
      </w:r>
    </w:p>
    <w:p w14:paraId="2E347B8D" w14:textId="77777777" w:rsidR="00EB25D7" w:rsidRPr="00EB25D7" w:rsidRDefault="00EB25D7" w:rsidP="00EB25D7">
      <w:pPr>
        <w:numPr>
          <w:ilvl w:val="0"/>
          <w:numId w:val="13"/>
        </w:numPr>
        <w:rPr>
          <w:rFonts w:ascii="Times New Roman" w:hAnsi="Times New Roman" w:cs="Times New Roman"/>
        </w:rPr>
      </w:pPr>
      <w:r w:rsidRPr="00EB25D7">
        <w:rPr>
          <w:rFonts w:ascii="Times New Roman" w:hAnsi="Times New Roman" w:cs="Times New Roman"/>
        </w:rPr>
        <w:t>Series C ROI (4-year horizon): 30.00% per annum</w:t>
      </w:r>
    </w:p>
    <w:p w14:paraId="2E749156" w14:textId="77777777" w:rsidR="00EB25D7" w:rsidRPr="00EB25D7" w:rsidRDefault="00EB25D7" w:rsidP="00EB25D7">
      <w:pPr>
        <w:rPr>
          <w:rFonts w:ascii="Times New Roman" w:hAnsi="Times New Roman" w:cs="Times New Roman"/>
          <w:b/>
          <w:bCs/>
        </w:rPr>
      </w:pPr>
      <w:r w:rsidRPr="00EB25D7">
        <w:rPr>
          <w:rFonts w:ascii="Times New Roman" w:hAnsi="Times New Roman" w:cs="Times New Roman"/>
          <w:b/>
          <w:bCs/>
        </w:rPr>
        <w:t>Analysis of the Impact:</w:t>
      </w:r>
    </w:p>
    <w:p w14:paraId="48F86429" w14:textId="2F5EA47A" w:rsidR="00EB25D7" w:rsidRDefault="00EB25D7" w:rsidP="00EB25D7">
      <w:pPr>
        <w:rPr>
          <w:rFonts w:ascii="Times New Roman" w:hAnsi="Times New Roman" w:cs="Times New Roman"/>
        </w:rPr>
      </w:pPr>
      <w:r w:rsidRPr="00EB25D7">
        <w:rPr>
          <w:rFonts w:ascii="Times New Roman" w:hAnsi="Times New Roman" w:cs="Times New Roman"/>
        </w:rPr>
        <w:t xml:space="preserve">The delay of two years </w:t>
      </w:r>
      <w:r>
        <w:rPr>
          <w:rFonts w:ascii="Times New Roman" w:hAnsi="Times New Roman" w:cs="Times New Roman" w:hint="eastAsia"/>
        </w:rPr>
        <w:t xml:space="preserve">great </w:t>
      </w:r>
      <w:r w:rsidRPr="00EB25D7">
        <w:rPr>
          <w:rFonts w:ascii="Times New Roman" w:hAnsi="Times New Roman" w:cs="Times New Roman"/>
        </w:rPr>
        <w:t>reduces the Series A investors' annual ROI</w:t>
      </w:r>
      <w:r>
        <w:rPr>
          <w:rFonts w:ascii="Times New Roman" w:hAnsi="Times New Roman" w:cs="Times New Roman" w:hint="eastAsia"/>
        </w:rPr>
        <w:t xml:space="preserve"> </w:t>
      </w:r>
      <w:r w:rsidRPr="00EB25D7">
        <w:rPr>
          <w:rFonts w:ascii="Times New Roman" w:hAnsi="Times New Roman" w:cs="Times New Roman"/>
        </w:rPr>
        <w:t>from</w:t>
      </w:r>
      <w:r>
        <w:rPr>
          <w:rFonts w:ascii="Times New Roman" w:hAnsi="Times New Roman" w:cs="Times New Roman" w:hint="eastAsia"/>
        </w:rPr>
        <w:t xml:space="preserve"> </w:t>
      </w:r>
      <w:r w:rsidRPr="00EB25D7">
        <w:rPr>
          <w:rFonts w:ascii="Times New Roman" w:hAnsi="Times New Roman" w:cs="Times New Roman"/>
        </w:rPr>
        <w:t>50% to 12.22%—because their investment terms were locked in before the delay, and they cannot renegotiate. Series B and Series C investors, however, still achieve exactly their required returns of 40% and 30%, respectively, because these rounds occur after the delay was known, allowing investors to price the rounds appropriately. Consequently, Series B and C investors demand and obtain significantly larger equity stakes, resulting in substantial dilution for the Series A investors and founders. This scenario highlights the risks and sensitivities in timing liquidity events within venture capital financing</w:t>
      </w:r>
    </w:p>
    <w:p w14:paraId="403AE052" w14:textId="77777777" w:rsidR="00EB25D7" w:rsidRDefault="00EB25D7">
      <w:pPr>
        <w:widowControl/>
        <w:jc w:val="left"/>
        <w:rPr>
          <w:rFonts w:ascii="Times New Roman" w:hAnsi="Times New Roman" w:cs="Times New Roman"/>
        </w:rPr>
      </w:pPr>
      <w:r>
        <w:rPr>
          <w:rFonts w:ascii="Times New Roman" w:hAnsi="Times New Roman" w:cs="Times New Roman"/>
        </w:rPr>
        <w:br w:type="page"/>
      </w:r>
    </w:p>
    <w:p w14:paraId="25DE0DB5" w14:textId="4908CE50" w:rsidR="00EB25D7" w:rsidRPr="00EB25D7" w:rsidRDefault="00EB25D7" w:rsidP="00EB25D7">
      <w:pPr>
        <w:rPr>
          <w:rFonts w:ascii="Times New Roman" w:hAnsi="Times New Roman" w:cs="Times New Roman"/>
          <w:b/>
          <w:bCs/>
        </w:rPr>
      </w:pPr>
      <w:r>
        <w:rPr>
          <w:rFonts w:ascii="Times New Roman" w:hAnsi="Times New Roman" w:cs="Times New Roman" w:hint="eastAsia"/>
          <w:b/>
          <w:bCs/>
        </w:rPr>
        <w:lastRenderedPageBreak/>
        <w:t xml:space="preserve">Q6: </w:t>
      </w:r>
      <w:r w:rsidR="009F48C8" w:rsidRPr="009F48C8">
        <w:rPr>
          <w:rFonts w:ascii="Times New Roman" w:hAnsi="Times New Roman" w:cs="Times New Roman"/>
          <w:b/>
          <w:bCs/>
        </w:rPr>
        <w:t>participating preferred stock</w:t>
      </w:r>
    </w:p>
    <w:p w14:paraId="78977192"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Participating Preferred Effect:</w:t>
      </w:r>
    </w:p>
    <w:p w14:paraId="64ECD3DD"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B and C investors receive their original investment amounts first, boosting their returns.</w:t>
      </w:r>
    </w:p>
    <w:p w14:paraId="6C88BFCA"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Assumptions Used:</w:t>
      </w:r>
    </w:p>
    <w:p w14:paraId="5532A7E9"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Includes the 10% option pool and no delay (from Question #4).</w:t>
      </w:r>
    </w:p>
    <w:p w14:paraId="1360757B"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A remains unchanged; Series B and C adopt Participating Preferred.</w:t>
      </w:r>
    </w:p>
    <w:p w14:paraId="7687AF5F"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Calculated ROIs:</w:t>
      </w:r>
    </w:p>
    <w:p w14:paraId="4E5FB87C"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A: ~44.5%</w:t>
      </w:r>
    </w:p>
    <w:p w14:paraId="49355951"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B: ~48.5%</w:t>
      </w:r>
    </w:p>
    <w:p w14:paraId="1EB06453"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C: ~55%</w:t>
      </w:r>
    </w:p>
    <w:p w14:paraId="70058D34"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Cash Distributions:</w:t>
      </w:r>
    </w:p>
    <w:p w14:paraId="200707EB"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Founders: $27.58 million</w:t>
      </w:r>
    </w:p>
    <w:p w14:paraId="48C777F2"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Cathy: $3.06 million</w:t>
      </w:r>
    </w:p>
    <w:p w14:paraId="275153E2"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Overall Impact:</w:t>
      </w:r>
    </w:p>
    <w:p w14:paraId="760BDE30"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Priority payouts enhance Series B/C returns.</w:t>
      </w:r>
    </w:p>
    <w:p w14:paraId="4057D684"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Despite no priority benefit, Series A’s lower entry valuation still yields a strong return.</w:t>
      </w:r>
    </w:p>
    <w:p w14:paraId="63C04619" w14:textId="77777777" w:rsidR="00EB25D7" w:rsidRPr="00EB25D7" w:rsidRDefault="00EB25D7" w:rsidP="007F745A">
      <w:pPr>
        <w:rPr>
          <w:rFonts w:ascii="Times New Roman" w:hAnsi="Times New Roman" w:cs="Times New Roman"/>
        </w:rPr>
      </w:pPr>
    </w:p>
    <w:sectPr w:rsidR="00EB25D7" w:rsidRPr="00EB25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0809"/>
    <w:multiLevelType w:val="multilevel"/>
    <w:tmpl w:val="DE46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A0D6D"/>
    <w:multiLevelType w:val="multilevel"/>
    <w:tmpl w:val="646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A0E21"/>
    <w:multiLevelType w:val="multilevel"/>
    <w:tmpl w:val="869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1E93"/>
    <w:multiLevelType w:val="multilevel"/>
    <w:tmpl w:val="288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19D"/>
    <w:multiLevelType w:val="multilevel"/>
    <w:tmpl w:val="D3E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949A8"/>
    <w:multiLevelType w:val="multilevel"/>
    <w:tmpl w:val="D68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20213"/>
    <w:multiLevelType w:val="multilevel"/>
    <w:tmpl w:val="683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93B6A"/>
    <w:multiLevelType w:val="multilevel"/>
    <w:tmpl w:val="0752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E727E"/>
    <w:multiLevelType w:val="multilevel"/>
    <w:tmpl w:val="568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D3FBB"/>
    <w:multiLevelType w:val="multilevel"/>
    <w:tmpl w:val="5C00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22349"/>
    <w:multiLevelType w:val="hybridMultilevel"/>
    <w:tmpl w:val="33B0743E"/>
    <w:lvl w:ilvl="0" w:tplc="85907120">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174098F"/>
    <w:multiLevelType w:val="multilevel"/>
    <w:tmpl w:val="DE4ED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904BF"/>
    <w:multiLevelType w:val="multilevel"/>
    <w:tmpl w:val="789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D371F"/>
    <w:multiLevelType w:val="multilevel"/>
    <w:tmpl w:val="97D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015146">
    <w:abstractNumId w:val="10"/>
  </w:num>
  <w:num w:numId="2" w16cid:durableId="1660307238">
    <w:abstractNumId w:val="13"/>
  </w:num>
  <w:num w:numId="3" w16cid:durableId="1648776538">
    <w:abstractNumId w:val="6"/>
  </w:num>
  <w:num w:numId="4" w16cid:durableId="1364133112">
    <w:abstractNumId w:val="9"/>
  </w:num>
  <w:num w:numId="5" w16cid:durableId="2045055390">
    <w:abstractNumId w:val="8"/>
  </w:num>
  <w:num w:numId="6" w16cid:durableId="979459777">
    <w:abstractNumId w:val="2"/>
  </w:num>
  <w:num w:numId="7" w16cid:durableId="939720907">
    <w:abstractNumId w:val="12"/>
  </w:num>
  <w:num w:numId="8" w16cid:durableId="321079740">
    <w:abstractNumId w:val="0"/>
  </w:num>
  <w:num w:numId="9" w16cid:durableId="1641762338">
    <w:abstractNumId w:val="3"/>
  </w:num>
  <w:num w:numId="10" w16cid:durableId="1590118389">
    <w:abstractNumId w:val="4"/>
  </w:num>
  <w:num w:numId="11" w16cid:durableId="1464884081">
    <w:abstractNumId w:val="7"/>
  </w:num>
  <w:num w:numId="12" w16cid:durableId="942877775">
    <w:abstractNumId w:val="5"/>
  </w:num>
  <w:num w:numId="13" w16cid:durableId="1660770885">
    <w:abstractNumId w:val="1"/>
  </w:num>
  <w:num w:numId="14" w16cid:durableId="985935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7E"/>
    <w:rsid w:val="0025736B"/>
    <w:rsid w:val="00361E20"/>
    <w:rsid w:val="003E2891"/>
    <w:rsid w:val="004D604B"/>
    <w:rsid w:val="005D6942"/>
    <w:rsid w:val="006B561F"/>
    <w:rsid w:val="007F5337"/>
    <w:rsid w:val="007F745A"/>
    <w:rsid w:val="008B4FE2"/>
    <w:rsid w:val="00910828"/>
    <w:rsid w:val="009F48C8"/>
    <w:rsid w:val="00A314E0"/>
    <w:rsid w:val="00AC087E"/>
    <w:rsid w:val="00BE758F"/>
    <w:rsid w:val="00C22555"/>
    <w:rsid w:val="00C305D7"/>
    <w:rsid w:val="00CD52C5"/>
    <w:rsid w:val="00D54F1A"/>
    <w:rsid w:val="00EB2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3266"/>
  <w15:chartTrackingRefBased/>
  <w15:docId w15:val="{E03B443C-921D-4669-BCD9-B04F45A2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C08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C08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C08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C087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C087E"/>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C087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C087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C087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C087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87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C087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C087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C087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C087E"/>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AC087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C087E"/>
    <w:rPr>
      <w:rFonts w:cstheme="majorBidi"/>
      <w:b/>
      <w:bCs/>
      <w:color w:val="595959" w:themeColor="text1" w:themeTint="A6"/>
    </w:rPr>
  </w:style>
  <w:style w:type="character" w:customStyle="1" w:styleId="Heading8Char">
    <w:name w:val="Heading 8 Char"/>
    <w:basedOn w:val="DefaultParagraphFont"/>
    <w:link w:val="Heading8"/>
    <w:uiPriority w:val="9"/>
    <w:semiHidden/>
    <w:rsid w:val="00AC087E"/>
    <w:rPr>
      <w:rFonts w:cstheme="majorBidi"/>
      <w:color w:val="595959" w:themeColor="text1" w:themeTint="A6"/>
    </w:rPr>
  </w:style>
  <w:style w:type="character" w:customStyle="1" w:styleId="Heading9Char">
    <w:name w:val="Heading 9 Char"/>
    <w:basedOn w:val="DefaultParagraphFont"/>
    <w:link w:val="Heading9"/>
    <w:uiPriority w:val="9"/>
    <w:semiHidden/>
    <w:rsid w:val="00AC087E"/>
    <w:rPr>
      <w:rFonts w:eastAsiaTheme="majorEastAsia" w:cstheme="majorBidi"/>
      <w:color w:val="595959" w:themeColor="text1" w:themeTint="A6"/>
    </w:rPr>
  </w:style>
  <w:style w:type="paragraph" w:styleId="Title">
    <w:name w:val="Title"/>
    <w:basedOn w:val="Normal"/>
    <w:next w:val="Normal"/>
    <w:link w:val="TitleChar"/>
    <w:uiPriority w:val="10"/>
    <w:qFormat/>
    <w:rsid w:val="00AC087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8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87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C08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087E"/>
    <w:rPr>
      <w:i/>
      <w:iCs/>
      <w:color w:val="404040" w:themeColor="text1" w:themeTint="BF"/>
    </w:rPr>
  </w:style>
  <w:style w:type="paragraph" w:styleId="ListParagraph">
    <w:name w:val="List Paragraph"/>
    <w:basedOn w:val="Normal"/>
    <w:uiPriority w:val="34"/>
    <w:qFormat/>
    <w:rsid w:val="00AC087E"/>
    <w:pPr>
      <w:ind w:left="720"/>
      <w:contextualSpacing/>
    </w:pPr>
  </w:style>
  <w:style w:type="character" w:styleId="IntenseEmphasis">
    <w:name w:val="Intense Emphasis"/>
    <w:basedOn w:val="DefaultParagraphFont"/>
    <w:uiPriority w:val="21"/>
    <w:qFormat/>
    <w:rsid w:val="00AC087E"/>
    <w:rPr>
      <w:i/>
      <w:iCs/>
      <w:color w:val="0F4761" w:themeColor="accent1" w:themeShade="BF"/>
    </w:rPr>
  </w:style>
  <w:style w:type="paragraph" w:styleId="IntenseQuote">
    <w:name w:val="Intense Quote"/>
    <w:basedOn w:val="Normal"/>
    <w:next w:val="Normal"/>
    <w:link w:val="IntenseQuoteChar"/>
    <w:uiPriority w:val="30"/>
    <w:qFormat/>
    <w:rsid w:val="00AC0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87E"/>
    <w:rPr>
      <w:i/>
      <w:iCs/>
      <w:color w:val="0F4761" w:themeColor="accent1" w:themeShade="BF"/>
    </w:rPr>
  </w:style>
  <w:style w:type="character" w:styleId="IntenseReference">
    <w:name w:val="Intense Reference"/>
    <w:basedOn w:val="DefaultParagraphFont"/>
    <w:uiPriority w:val="32"/>
    <w:qFormat/>
    <w:rsid w:val="00AC087E"/>
    <w:rPr>
      <w:b/>
      <w:bCs/>
      <w:smallCaps/>
      <w:color w:val="0F4761" w:themeColor="accent1" w:themeShade="BF"/>
      <w:spacing w:val="5"/>
    </w:rPr>
  </w:style>
  <w:style w:type="paragraph" w:styleId="Date">
    <w:name w:val="Date"/>
    <w:basedOn w:val="Normal"/>
    <w:next w:val="Normal"/>
    <w:link w:val="DateChar"/>
    <w:uiPriority w:val="99"/>
    <w:semiHidden/>
    <w:unhideWhenUsed/>
    <w:rsid w:val="00EB25D7"/>
    <w:pPr>
      <w:ind w:leftChars="2500" w:left="100"/>
    </w:pPr>
  </w:style>
  <w:style w:type="character" w:customStyle="1" w:styleId="DateChar">
    <w:name w:val="Date Char"/>
    <w:basedOn w:val="DefaultParagraphFont"/>
    <w:link w:val="Date"/>
    <w:uiPriority w:val="99"/>
    <w:semiHidden/>
    <w:rsid w:val="00EB2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0098">
      <w:bodyDiv w:val="1"/>
      <w:marLeft w:val="0"/>
      <w:marRight w:val="0"/>
      <w:marTop w:val="0"/>
      <w:marBottom w:val="0"/>
      <w:divBdr>
        <w:top w:val="none" w:sz="0" w:space="0" w:color="auto"/>
        <w:left w:val="none" w:sz="0" w:space="0" w:color="auto"/>
        <w:bottom w:val="none" w:sz="0" w:space="0" w:color="auto"/>
        <w:right w:val="none" w:sz="0" w:space="0" w:color="auto"/>
      </w:divBdr>
    </w:div>
    <w:div w:id="599220599">
      <w:bodyDiv w:val="1"/>
      <w:marLeft w:val="0"/>
      <w:marRight w:val="0"/>
      <w:marTop w:val="0"/>
      <w:marBottom w:val="0"/>
      <w:divBdr>
        <w:top w:val="none" w:sz="0" w:space="0" w:color="auto"/>
        <w:left w:val="none" w:sz="0" w:space="0" w:color="auto"/>
        <w:bottom w:val="none" w:sz="0" w:space="0" w:color="auto"/>
        <w:right w:val="none" w:sz="0" w:space="0" w:color="auto"/>
      </w:divBdr>
    </w:div>
    <w:div w:id="724179161">
      <w:bodyDiv w:val="1"/>
      <w:marLeft w:val="0"/>
      <w:marRight w:val="0"/>
      <w:marTop w:val="0"/>
      <w:marBottom w:val="0"/>
      <w:divBdr>
        <w:top w:val="none" w:sz="0" w:space="0" w:color="auto"/>
        <w:left w:val="none" w:sz="0" w:space="0" w:color="auto"/>
        <w:bottom w:val="none" w:sz="0" w:space="0" w:color="auto"/>
        <w:right w:val="none" w:sz="0" w:space="0" w:color="auto"/>
      </w:divBdr>
    </w:div>
    <w:div w:id="760640592">
      <w:bodyDiv w:val="1"/>
      <w:marLeft w:val="0"/>
      <w:marRight w:val="0"/>
      <w:marTop w:val="0"/>
      <w:marBottom w:val="0"/>
      <w:divBdr>
        <w:top w:val="none" w:sz="0" w:space="0" w:color="auto"/>
        <w:left w:val="none" w:sz="0" w:space="0" w:color="auto"/>
        <w:bottom w:val="none" w:sz="0" w:space="0" w:color="auto"/>
        <w:right w:val="none" w:sz="0" w:space="0" w:color="auto"/>
      </w:divBdr>
    </w:div>
    <w:div w:id="1007295388">
      <w:bodyDiv w:val="1"/>
      <w:marLeft w:val="0"/>
      <w:marRight w:val="0"/>
      <w:marTop w:val="0"/>
      <w:marBottom w:val="0"/>
      <w:divBdr>
        <w:top w:val="none" w:sz="0" w:space="0" w:color="auto"/>
        <w:left w:val="none" w:sz="0" w:space="0" w:color="auto"/>
        <w:bottom w:val="none" w:sz="0" w:space="0" w:color="auto"/>
        <w:right w:val="none" w:sz="0" w:space="0" w:color="auto"/>
      </w:divBdr>
    </w:div>
    <w:div w:id="1063025680">
      <w:bodyDiv w:val="1"/>
      <w:marLeft w:val="0"/>
      <w:marRight w:val="0"/>
      <w:marTop w:val="0"/>
      <w:marBottom w:val="0"/>
      <w:divBdr>
        <w:top w:val="none" w:sz="0" w:space="0" w:color="auto"/>
        <w:left w:val="none" w:sz="0" w:space="0" w:color="auto"/>
        <w:bottom w:val="none" w:sz="0" w:space="0" w:color="auto"/>
        <w:right w:val="none" w:sz="0" w:space="0" w:color="auto"/>
      </w:divBdr>
    </w:div>
    <w:div w:id="1233588481">
      <w:bodyDiv w:val="1"/>
      <w:marLeft w:val="0"/>
      <w:marRight w:val="0"/>
      <w:marTop w:val="0"/>
      <w:marBottom w:val="0"/>
      <w:divBdr>
        <w:top w:val="none" w:sz="0" w:space="0" w:color="auto"/>
        <w:left w:val="none" w:sz="0" w:space="0" w:color="auto"/>
        <w:bottom w:val="none" w:sz="0" w:space="0" w:color="auto"/>
        <w:right w:val="none" w:sz="0" w:space="0" w:color="auto"/>
      </w:divBdr>
    </w:div>
    <w:div w:id="1276789854">
      <w:bodyDiv w:val="1"/>
      <w:marLeft w:val="0"/>
      <w:marRight w:val="0"/>
      <w:marTop w:val="0"/>
      <w:marBottom w:val="0"/>
      <w:divBdr>
        <w:top w:val="none" w:sz="0" w:space="0" w:color="auto"/>
        <w:left w:val="none" w:sz="0" w:space="0" w:color="auto"/>
        <w:bottom w:val="none" w:sz="0" w:space="0" w:color="auto"/>
        <w:right w:val="none" w:sz="0" w:space="0" w:color="auto"/>
      </w:divBdr>
    </w:div>
    <w:div w:id="1348484248">
      <w:bodyDiv w:val="1"/>
      <w:marLeft w:val="0"/>
      <w:marRight w:val="0"/>
      <w:marTop w:val="0"/>
      <w:marBottom w:val="0"/>
      <w:divBdr>
        <w:top w:val="none" w:sz="0" w:space="0" w:color="auto"/>
        <w:left w:val="none" w:sz="0" w:space="0" w:color="auto"/>
        <w:bottom w:val="none" w:sz="0" w:space="0" w:color="auto"/>
        <w:right w:val="none" w:sz="0" w:space="0" w:color="auto"/>
      </w:divBdr>
    </w:div>
    <w:div w:id="1378164899">
      <w:bodyDiv w:val="1"/>
      <w:marLeft w:val="0"/>
      <w:marRight w:val="0"/>
      <w:marTop w:val="0"/>
      <w:marBottom w:val="0"/>
      <w:divBdr>
        <w:top w:val="none" w:sz="0" w:space="0" w:color="auto"/>
        <w:left w:val="none" w:sz="0" w:space="0" w:color="auto"/>
        <w:bottom w:val="none" w:sz="0" w:space="0" w:color="auto"/>
        <w:right w:val="none" w:sz="0" w:space="0" w:color="auto"/>
      </w:divBdr>
    </w:div>
    <w:div w:id="1683169147">
      <w:bodyDiv w:val="1"/>
      <w:marLeft w:val="0"/>
      <w:marRight w:val="0"/>
      <w:marTop w:val="0"/>
      <w:marBottom w:val="0"/>
      <w:divBdr>
        <w:top w:val="none" w:sz="0" w:space="0" w:color="auto"/>
        <w:left w:val="none" w:sz="0" w:space="0" w:color="auto"/>
        <w:bottom w:val="none" w:sz="0" w:space="0" w:color="auto"/>
        <w:right w:val="none" w:sz="0" w:space="0" w:color="auto"/>
      </w:divBdr>
    </w:div>
    <w:div w:id="1836870346">
      <w:bodyDiv w:val="1"/>
      <w:marLeft w:val="0"/>
      <w:marRight w:val="0"/>
      <w:marTop w:val="0"/>
      <w:marBottom w:val="0"/>
      <w:divBdr>
        <w:top w:val="none" w:sz="0" w:space="0" w:color="auto"/>
        <w:left w:val="none" w:sz="0" w:space="0" w:color="auto"/>
        <w:bottom w:val="none" w:sz="0" w:space="0" w:color="auto"/>
        <w:right w:val="none" w:sz="0" w:space="0" w:color="auto"/>
      </w:divBdr>
    </w:div>
    <w:div w:id="2035301248">
      <w:bodyDiv w:val="1"/>
      <w:marLeft w:val="0"/>
      <w:marRight w:val="0"/>
      <w:marTop w:val="0"/>
      <w:marBottom w:val="0"/>
      <w:divBdr>
        <w:top w:val="none" w:sz="0" w:space="0" w:color="auto"/>
        <w:left w:val="none" w:sz="0" w:space="0" w:color="auto"/>
        <w:bottom w:val="none" w:sz="0" w:space="0" w:color="auto"/>
        <w:right w:val="none" w:sz="0" w:space="0" w:color="auto"/>
      </w:divBdr>
    </w:div>
    <w:div w:id="2098281664">
      <w:bodyDiv w:val="1"/>
      <w:marLeft w:val="0"/>
      <w:marRight w:val="0"/>
      <w:marTop w:val="0"/>
      <w:marBottom w:val="0"/>
      <w:divBdr>
        <w:top w:val="none" w:sz="0" w:space="0" w:color="auto"/>
        <w:left w:val="none" w:sz="0" w:space="0" w:color="auto"/>
        <w:bottom w:val="none" w:sz="0" w:space="0" w:color="auto"/>
        <w:right w:val="none" w:sz="0" w:space="0" w:color="auto"/>
      </w:divBdr>
    </w:div>
    <w:div w:id="214121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10</cp:revision>
  <dcterms:created xsi:type="dcterms:W3CDTF">2025-03-27T05:43:00Z</dcterms:created>
  <dcterms:modified xsi:type="dcterms:W3CDTF">2025-04-03T22:30:00Z</dcterms:modified>
</cp:coreProperties>
</file>