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E565" w14:textId="238F5FB6" w:rsidR="0025736B" w:rsidRPr="00680390" w:rsidRDefault="00861FE9" w:rsidP="00861FE9">
      <w:pPr>
        <w:pStyle w:val="1"/>
        <w:rPr>
          <w:rFonts w:ascii="Times New Roman" w:hAnsi="Times New Roman" w:cs="Times New Roman"/>
        </w:rPr>
      </w:pPr>
      <w:r w:rsidRPr="00680390">
        <w:rPr>
          <w:rFonts w:ascii="Times New Roman" w:hAnsi="Times New Roman" w:cs="Times New Roman"/>
        </w:rPr>
        <w:t xml:space="preserve">FDA &amp; Case Study on </w:t>
      </w:r>
      <w:proofErr w:type="spellStart"/>
      <w:r w:rsidRPr="00680390">
        <w:rPr>
          <w:rFonts w:ascii="Times New Roman" w:hAnsi="Times New Roman" w:cs="Times New Roman"/>
        </w:rPr>
        <w:t>Sirtus</w:t>
      </w:r>
      <w:proofErr w:type="spellEnd"/>
    </w:p>
    <w:p w14:paraId="5D013153" w14:textId="428E07C8" w:rsidR="001A39A0" w:rsidRPr="00680390" w:rsidRDefault="001A39A0" w:rsidP="001A39A0">
      <w:pPr>
        <w:rPr>
          <w:rFonts w:ascii="Times New Roman" w:hAnsi="Times New Roman" w:cs="Times New Roman"/>
        </w:rPr>
      </w:pPr>
      <w:r w:rsidRPr="00680390">
        <w:rPr>
          <w:rFonts w:ascii="Times New Roman" w:hAnsi="Times New Roman" w:cs="Times New Roman"/>
        </w:rPr>
        <w:t>Jie Wang</w:t>
      </w:r>
    </w:p>
    <w:p w14:paraId="2B60391C" w14:textId="2ED1FA56" w:rsidR="001A39A0" w:rsidRPr="00680390" w:rsidRDefault="001A39A0" w:rsidP="001A39A0">
      <w:pPr>
        <w:rPr>
          <w:rFonts w:ascii="Times New Roman" w:hAnsi="Times New Roman" w:cs="Times New Roman"/>
        </w:rPr>
      </w:pPr>
      <w:r w:rsidRPr="00680390">
        <w:rPr>
          <w:rFonts w:ascii="Times New Roman" w:hAnsi="Times New Roman" w:cs="Times New Roman"/>
        </w:rPr>
        <w:t>04/06/2025</w:t>
      </w:r>
    </w:p>
    <w:p w14:paraId="12C7773D" w14:textId="77777777" w:rsidR="001A39A0" w:rsidRDefault="001A39A0" w:rsidP="001A39A0">
      <w:pPr>
        <w:rPr>
          <w:rFonts w:ascii="Times New Roman" w:hAnsi="Times New Roman" w:cs="Times New Roman"/>
        </w:rPr>
      </w:pPr>
    </w:p>
    <w:p w14:paraId="5E10E724" w14:textId="65D1A389" w:rsidR="00680390" w:rsidRPr="00680390" w:rsidRDefault="00680390" w:rsidP="001A39A0">
      <w:pPr>
        <w:rPr>
          <w:rFonts w:ascii="Times New Roman" w:hAnsi="Times New Roman" w:cs="Times New Roman"/>
          <w:i/>
          <w:iCs/>
        </w:rPr>
      </w:pPr>
      <w:r w:rsidRPr="00680390">
        <w:rPr>
          <w:rFonts w:ascii="Times New Roman" w:hAnsi="Times New Roman" w:cs="Times New Roman"/>
          <w:i/>
          <w:iCs/>
        </w:rPr>
        <w:t xml:space="preserve">In the case, </w:t>
      </w:r>
      <w:proofErr w:type="spellStart"/>
      <w:r w:rsidRPr="00680390">
        <w:rPr>
          <w:rFonts w:ascii="Times New Roman" w:hAnsi="Times New Roman" w:cs="Times New Roman"/>
          <w:i/>
          <w:iCs/>
        </w:rPr>
        <w:t>Sirtris</w:t>
      </w:r>
      <w:proofErr w:type="spellEnd"/>
      <w:r w:rsidRPr="00680390">
        <w:rPr>
          <w:rFonts w:ascii="Times New Roman" w:hAnsi="Times New Roman" w:cs="Times New Roman"/>
          <w:i/>
          <w:iCs/>
        </w:rPr>
        <w:t xml:space="preserve"> is facing three strategic options: (</w:t>
      </w:r>
      <w:proofErr w:type="spellStart"/>
      <w:r w:rsidRPr="00680390">
        <w:rPr>
          <w:rFonts w:ascii="Times New Roman" w:hAnsi="Times New Roman" w:cs="Times New Roman"/>
          <w:i/>
          <w:iCs/>
        </w:rPr>
        <w:t>i</w:t>
      </w:r>
      <w:proofErr w:type="spellEnd"/>
      <w:r w:rsidRPr="00680390">
        <w:rPr>
          <w:rFonts w:ascii="Times New Roman" w:hAnsi="Times New Roman" w:cs="Times New Roman"/>
          <w:i/>
          <w:iCs/>
        </w:rPr>
        <w:t xml:space="preserve">) pursue the </w:t>
      </w:r>
      <w:proofErr w:type="spellStart"/>
      <w:r w:rsidRPr="00680390">
        <w:rPr>
          <w:rFonts w:ascii="Times New Roman" w:hAnsi="Times New Roman" w:cs="Times New Roman"/>
          <w:i/>
          <w:iCs/>
        </w:rPr>
        <w:t>neutraceuticals</w:t>
      </w:r>
      <w:proofErr w:type="spellEnd"/>
      <w:r w:rsidRPr="00680390">
        <w:rPr>
          <w:rFonts w:ascii="Times New Roman" w:hAnsi="Times New Roman" w:cs="Times New Roman"/>
          <w:i/>
          <w:iCs/>
        </w:rPr>
        <w:t xml:space="preserve"> market; (ii) pursue the pharmaceutical deal; and/or (iii) in-license to broaden their portfolio. Which, if any, would you recommend they pursue right now (at the time of the case)? Explain.</w:t>
      </w:r>
    </w:p>
    <w:p w14:paraId="59193CE6" w14:textId="77777777" w:rsidR="00680390" w:rsidRPr="00680390" w:rsidRDefault="00680390" w:rsidP="001A39A0">
      <w:pPr>
        <w:rPr>
          <w:rFonts w:ascii="Times New Roman" w:hAnsi="Times New Roman" w:cs="Times New Roman" w:hint="eastAsia"/>
        </w:rPr>
      </w:pPr>
    </w:p>
    <w:p w14:paraId="19AED0DF" w14:textId="77777777" w:rsidR="00680390" w:rsidRDefault="00680390" w:rsidP="00680390">
      <w:pPr>
        <w:rPr>
          <w:rFonts w:ascii="Times New Roman" w:hAnsi="Times New Roman" w:cs="Times New Roman"/>
        </w:rPr>
      </w:pPr>
      <w:r w:rsidRPr="00680390">
        <w:rPr>
          <w:rFonts w:ascii="Times New Roman" w:hAnsi="Times New Roman" w:cs="Times New Roman"/>
        </w:rPr>
        <w:t xml:space="preserve">At the time of the case, I recommend </w:t>
      </w:r>
      <w:proofErr w:type="spellStart"/>
      <w:r w:rsidRPr="00680390">
        <w:rPr>
          <w:rFonts w:ascii="Times New Roman" w:hAnsi="Times New Roman" w:cs="Times New Roman"/>
        </w:rPr>
        <w:t>Sirtris</w:t>
      </w:r>
      <w:proofErr w:type="spellEnd"/>
      <w:r w:rsidRPr="00680390">
        <w:rPr>
          <w:rFonts w:ascii="Times New Roman" w:hAnsi="Times New Roman" w:cs="Times New Roman"/>
        </w:rPr>
        <w:t xml:space="preserve"> pursue the pharmaceutical deal immediately and consider in-licensing additional compounds in parallel. Entering the nutraceuticals market, however, poses serious strategic and brand risks and should be avoided for now.</w:t>
      </w:r>
    </w:p>
    <w:p w14:paraId="5DB5DC90" w14:textId="77777777" w:rsidR="00680390" w:rsidRPr="00680390" w:rsidRDefault="00680390" w:rsidP="00680390">
      <w:pPr>
        <w:rPr>
          <w:rFonts w:ascii="Times New Roman" w:hAnsi="Times New Roman" w:cs="Times New Roman"/>
        </w:rPr>
      </w:pPr>
    </w:p>
    <w:p w14:paraId="46DD0D29" w14:textId="07890024" w:rsidR="00680390" w:rsidRDefault="00680390" w:rsidP="00680390">
      <w:pPr>
        <w:rPr>
          <w:rFonts w:ascii="Times New Roman" w:hAnsi="Times New Roman" w:cs="Times New Roman" w:hint="eastAsia"/>
        </w:rPr>
      </w:pPr>
      <w:r w:rsidRPr="00680390">
        <w:rPr>
          <w:rFonts w:ascii="Times New Roman" w:hAnsi="Times New Roman" w:cs="Times New Roman"/>
        </w:rPr>
        <w:t>The pharmaceutical deal is attractive for multiple reasons</w:t>
      </w:r>
      <w:r>
        <w:rPr>
          <w:rFonts w:ascii="Times New Roman" w:hAnsi="Times New Roman" w:cs="Times New Roman" w:hint="eastAsia"/>
        </w:rPr>
        <w:t>:</w:t>
      </w:r>
    </w:p>
    <w:p w14:paraId="4E1BFFC0" w14:textId="77777777" w:rsidR="00680390" w:rsidRDefault="00680390" w:rsidP="00680390">
      <w:pPr>
        <w:rPr>
          <w:rFonts w:ascii="Times New Roman" w:hAnsi="Times New Roman" w:cs="Times New Roman"/>
        </w:rPr>
      </w:pPr>
    </w:p>
    <w:p w14:paraId="628FC809" w14:textId="294EC659" w:rsidR="00680390" w:rsidRDefault="00680390" w:rsidP="00680390">
      <w:pPr>
        <w:rPr>
          <w:rFonts w:ascii="Times New Roman" w:hAnsi="Times New Roman" w:cs="Times New Roman"/>
        </w:rPr>
      </w:pPr>
      <w:r w:rsidRPr="00680390">
        <w:rPr>
          <w:rFonts w:ascii="Times New Roman" w:hAnsi="Times New Roman" w:cs="Times New Roman"/>
        </w:rPr>
        <w:t xml:space="preserve">First, it provides immediate and significant funding: a large upfront cash payment, a premium equity investment, and committed R&amp;D support. These resources are critical, especially since navigating FDA approval is long and costly—estimates suggest Phase 2 trials alone cost $40 million and take two to four years, with only 50% of drugs advancing further. Partnering with a pharma firm would allow </w:t>
      </w:r>
      <w:proofErr w:type="spellStart"/>
      <w:r w:rsidRPr="00680390">
        <w:rPr>
          <w:rFonts w:ascii="Times New Roman" w:hAnsi="Times New Roman" w:cs="Times New Roman"/>
        </w:rPr>
        <w:t>Sirtris</w:t>
      </w:r>
      <w:proofErr w:type="spellEnd"/>
      <w:r w:rsidRPr="00680390">
        <w:rPr>
          <w:rFonts w:ascii="Times New Roman" w:hAnsi="Times New Roman" w:cs="Times New Roman"/>
        </w:rPr>
        <w:t xml:space="preserve"> to share this development risk and afford the financial runway to survive potential clinical setbacks.</w:t>
      </w:r>
    </w:p>
    <w:p w14:paraId="0D91822E" w14:textId="77777777" w:rsidR="00680390" w:rsidRPr="00680390" w:rsidRDefault="00680390" w:rsidP="00680390">
      <w:pPr>
        <w:rPr>
          <w:rFonts w:ascii="Times New Roman" w:hAnsi="Times New Roman" w:cs="Times New Roman"/>
        </w:rPr>
      </w:pPr>
    </w:p>
    <w:p w14:paraId="40F9F6FB" w14:textId="77777777" w:rsidR="00680390" w:rsidRDefault="00680390" w:rsidP="00680390">
      <w:pPr>
        <w:rPr>
          <w:rFonts w:ascii="Times New Roman" w:hAnsi="Times New Roman" w:cs="Times New Roman"/>
        </w:rPr>
      </w:pPr>
      <w:r w:rsidRPr="00680390">
        <w:rPr>
          <w:rFonts w:ascii="Times New Roman" w:hAnsi="Times New Roman" w:cs="Times New Roman"/>
        </w:rPr>
        <w:t xml:space="preserve">Second, a pharmaceutical partnership signals validation. As the FDA does not test drugs but relies on rigorous review of safety and efficacy data, biotech startups must prove themselves through robust preclinical and clinical results. If </w:t>
      </w:r>
      <w:proofErr w:type="spellStart"/>
      <w:r w:rsidRPr="00680390">
        <w:rPr>
          <w:rFonts w:ascii="Times New Roman" w:hAnsi="Times New Roman" w:cs="Times New Roman"/>
        </w:rPr>
        <w:t>Sirtris</w:t>
      </w:r>
      <w:proofErr w:type="spellEnd"/>
      <w:r w:rsidRPr="00680390">
        <w:rPr>
          <w:rFonts w:ascii="Times New Roman" w:hAnsi="Times New Roman" w:cs="Times New Roman"/>
        </w:rPr>
        <w:t xml:space="preserve"> can secure a deal with a top-tier pharma company, it bolsters credibility before an IPO, a path already favored by the board. Industry precedent shows that public investors prefer companies with a strong pharma partner in place, increasing IPO success odds.</w:t>
      </w:r>
    </w:p>
    <w:p w14:paraId="61CD5627" w14:textId="77777777" w:rsidR="00680390" w:rsidRPr="00680390" w:rsidRDefault="00680390" w:rsidP="00680390">
      <w:pPr>
        <w:rPr>
          <w:rFonts w:ascii="Times New Roman" w:hAnsi="Times New Roman" w:cs="Times New Roman" w:hint="eastAsia"/>
        </w:rPr>
      </w:pPr>
    </w:p>
    <w:p w14:paraId="5084E2BC" w14:textId="65F371A4" w:rsidR="00680390" w:rsidRDefault="00680390" w:rsidP="00680390">
      <w:pPr>
        <w:rPr>
          <w:rFonts w:ascii="Times New Roman" w:hAnsi="Times New Roman" w:cs="Times New Roman"/>
        </w:rPr>
      </w:pPr>
      <w:r w:rsidRPr="00680390">
        <w:rPr>
          <w:rFonts w:ascii="Times New Roman" w:hAnsi="Times New Roman" w:cs="Times New Roman"/>
        </w:rPr>
        <w:t xml:space="preserve">Third, pharma companies offer invaluable development and commercialization expertise. With deep knowledge of regulatory pathways and the clinical trial process—from IND filing through NDA submission—they help navigate FDA interactions and increase the likelihood of approval. Given the novelty of </w:t>
      </w:r>
      <w:proofErr w:type="spellStart"/>
      <w:r w:rsidRPr="00680390">
        <w:rPr>
          <w:rFonts w:ascii="Times New Roman" w:hAnsi="Times New Roman" w:cs="Times New Roman"/>
        </w:rPr>
        <w:t>Sirtris</w:t>
      </w:r>
      <w:r w:rsidR="007D324D">
        <w:rPr>
          <w:rFonts w:ascii="Times New Roman" w:hAnsi="Times New Roman" w:cs="Times New Roman"/>
        </w:rPr>
        <w:t>’</w:t>
      </w:r>
      <w:r w:rsidRPr="00680390">
        <w:rPr>
          <w:rFonts w:ascii="Times New Roman" w:hAnsi="Times New Roman" w:cs="Times New Roman"/>
        </w:rPr>
        <w:t>s</w:t>
      </w:r>
      <w:proofErr w:type="spellEnd"/>
      <w:r w:rsidRPr="00680390">
        <w:rPr>
          <w:rFonts w:ascii="Times New Roman" w:hAnsi="Times New Roman" w:cs="Times New Roman"/>
        </w:rPr>
        <w:t xml:space="preserve"> SIRT1 activators and limited human data, access to this expertise is essential.</w:t>
      </w:r>
    </w:p>
    <w:p w14:paraId="6D6E1C6D" w14:textId="77777777" w:rsidR="00680390" w:rsidRPr="00680390" w:rsidRDefault="00680390" w:rsidP="00680390">
      <w:pPr>
        <w:rPr>
          <w:rFonts w:ascii="Times New Roman" w:hAnsi="Times New Roman" w:cs="Times New Roman"/>
        </w:rPr>
      </w:pPr>
    </w:p>
    <w:p w14:paraId="14FB2130" w14:textId="77777777" w:rsidR="00680390" w:rsidRDefault="00680390" w:rsidP="00680390">
      <w:pPr>
        <w:rPr>
          <w:rFonts w:ascii="Times New Roman" w:hAnsi="Times New Roman" w:cs="Times New Roman"/>
        </w:rPr>
      </w:pPr>
      <w:r w:rsidRPr="00680390">
        <w:rPr>
          <w:rFonts w:ascii="Times New Roman" w:hAnsi="Times New Roman" w:cs="Times New Roman"/>
        </w:rPr>
        <w:t xml:space="preserve">In parallel, in-licensing offers strategic upside. </w:t>
      </w:r>
      <w:proofErr w:type="spellStart"/>
      <w:r w:rsidRPr="00680390">
        <w:rPr>
          <w:rFonts w:ascii="Times New Roman" w:hAnsi="Times New Roman" w:cs="Times New Roman"/>
        </w:rPr>
        <w:t>Sirtris</w:t>
      </w:r>
      <w:proofErr w:type="spellEnd"/>
      <w:r w:rsidRPr="00680390">
        <w:rPr>
          <w:rFonts w:ascii="Times New Roman" w:hAnsi="Times New Roman" w:cs="Times New Roman"/>
        </w:rPr>
        <w:t xml:space="preserve"> can diversify its portfolio beyond a single bet on SIRT1. Internal discussions point to promising anti-diabetic compounds with more clearly characterized efficacy. Adding these could serve as “Plan B” options and attract investors who view the current pipeline as too narrow. It also positions </w:t>
      </w:r>
      <w:proofErr w:type="spellStart"/>
      <w:r w:rsidRPr="00680390">
        <w:rPr>
          <w:rFonts w:ascii="Times New Roman" w:hAnsi="Times New Roman" w:cs="Times New Roman"/>
        </w:rPr>
        <w:t>Sirtris</w:t>
      </w:r>
      <w:proofErr w:type="spellEnd"/>
      <w:r w:rsidRPr="00680390">
        <w:rPr>
          <w:rFonts w:ascii="Times New Roman" w:hAnsi="Times New Roman" w:cs="Times New Roman"/>
        </w:rPr>
        <w:t xml:space="preserve"> as a platform company, not a single-shot venture, increasing optionality and long-term value.</w:t>
      </w:r>
    </w:p>
    <w:p w14:paraId="2F4617BA" w14:textId="77777777" w:rsidR="00680390" w:rsidRPr="00680390" w:rsidRDefault="00680390" w:rsidP="00680390">
      <w:pPr>
        <w:rPr>
          <w:rFonts w:ascii="Times New Roman" w:hAnsi="Times New Roman" w:cs="Times New Roman"/>
        </w:rPr>
      </w:pPr>
    </w:p>
    <w:p w14:paraId="0134EE95" w14:textId="1F8A7D78" w:rsidR="00680390" w:rsidRDefault="00680390" w:rsidP="00680390">
      <w:pPr>
        <w:rPr>
          <w:rFonts w:ascii="Times New Roman" w:hAnsi="Times New Roman" w:cs="Times New Roman"/>
        </w:rPr>
      </w:pPr>
      <w:r w:rsidRPr="00680390">
        <w:rPr>
          <w:rFonts w:ascii="Times New Roman" w:hAnsi="Times New Roman" w:cs="Times New Roman"/>
        </w:rPr>
        <w:t xml:space="preserve">However, launching a nutraceutical business now would be a mistake. Despite offering faster market access and looser regulation, the risk to </w:t>
      </w:r>
      <w:proofErr w:type="spellStart"/>
      <w:r w:rsidRPr="00680390">
        <w:rPr>
          <w:rFonts w:ascii="Times New Roman" w:hAnsi="Times New Roman" w:cs="Times New Roman"/>
        </w:rPr>
        <w:t>Sirtris</w:t>
      </w:r>
      <w:r w:rsidR="007D324D">
        <w:rPr>
          <w:rFonts w:ascii="Times New Roman" w:hAnsi="Times New Roman" w:cs="Times New Roman"/>
        </w:rPr>
        <w:t>’</w:t>
      </w:r>
      <w:r w:rsidRPr="00680390">
        <w:rPr>
          <w:rFonts w:ascii="Times New Roman" w:hAnsi="Times New Roman" w:cs="Times New Roman"/>
        </w:rPr>
        <w:t>s</w:t>
      </w:r>
      <w:proofErr w:type="spellEnd"/>
      <w:r w:rsidRPr="00680390">
        <w:rPr>
          <w:rFonts w:ascii="Times New Roman" w:hAnsi="Times New Roman" w:cs="Times New Roman"/>
        </w:rPr>
        <w:t xml:space="preserve"> scientific reputation is too great. FDA </w:t>
      </w:r>
      <w:r w:rsidRPr="00680390">
        <w:rPr>
          <w:rFonts w:ascii="Times New Roman" w:hAnsi="Times New Roman" w:cs="Times New Roman"/>
        </w:rPr>
        <w:lastRenderedPageBreak/>
        <w:t>does not evaluate nutraceutical efficacy pre-market, and products vary widely in composition. Selling SRT501 as a supplement may undermine the firm</w:t>
      </w:r>
      <w:r w:rsidR="007D324D">
        <w:rPr>
          <w:rFonts w:ascii="Times New Roman" w:hAnsi="Times New Roman" w:cs="Times New Roman"/>
        </w:rPr>
        <w:t>’</w:t>
      </w:r>
      <w:r w:rsidRPr="00680390">
        <w:rPr>
          <w:rFonts w:ascii="Times New Roman" w:hAnsi="Times New Roman" w:cs="Times New Roman"/>
        </w:rPr>
        <w:t>s credibility with regulators, pharma partners, and institutional investors, who are interested in novel chemical entities (NCEs), not over-the-counter products. Westphal himself warned that this could “taint” the company</w:t>
      </w:r>
      <w:r w:rsidR="007D324D">
        <w:rPr>
          <w:rFonts w:ascii="Times New Roman" w:hAnsi="Times New Roman" w:cs="Times New Roman"/>
        </w:rPr>
        <w:t>’</w:t>
      </w:r>
      <w:r w:rsidRPr="00680390">
        <w:rPr>
          <w:rFonts w:ascii="Times New Roman" w:hAnsi="Times New Roman" w:cs="Times New Roman"/>
        </w:rPr>
        <w:t>s image, and I agree.</w:t>
      </w:r>
    </w:p>
    <w:p w14:paraId="06B1FC3D" w14:textId="77777777" w:rsidR="00680390" w:rsidRPr="00680390" w:rsidRDefault="00680390" w:rsidP="00680390">
      <w:pPr>
        <w:rPr>
          <w:rFonts w:ascii="Times New Roman" w:hAnsi="Times New Roman" w:cs="Times New Roman"/>
        </w:rPr>
      </w:pPr>
    </w:p>
    <w:p w14:paraId="24628226" w14:textId="092BA445" w:rsidR="00AA3EA8" w:rsidRDefault="00AA3EA8" w:rsidP="00680390">
      <w:pPr>
        <w:rPr>
          <w:rFonts w:ascii="Times New Roman" w:hAnsi="Times New Roman" w:cs="Times New Roman"/>
        </w:rPr>
      </w:pPr>
      <w:r>
        <w:rPr>
          <w:rFonts w:ascii="Times New Roman" w:hAnsi="Times New Roman" w:cs="Times New Roman" w:hint="eastAsia"/>
        </w:rPr>
        <w:t>Moreover</w:t>
      </w:r>
      <w:r w:rsidRPr="00AA3EA8">
        <w:rPr>
          <w:rFonts w:ascii="Times New Roman" w:hAnsi="Times New Roman" w:cs="Times New Roman"/>
        </w:rPr>
        <w:t xml:space="preserve">, managing a consumer-facing brand introduces distractions - marketing, packaging, retail strategies - that have nothing to do with </w:t>
      </w:r>
      <w:proofErr w:type="spellStart"/>
      <w:r w:rsidRPr="00AA3EA8">
        <w:rPr>
          <w:rFonts w:ascii="Times New Roman" w:hAnsi="Times New Roman" w:cs="Times New Roman"/>
        </w:rPr>
        <w:t>Sirtris</w:t>
      </w:r>
      <w:proofErr w:type="spellEnd"/>
      <w:r w:rsidR="007D324D">
        <w:rPr>
          <w:rFonts w:ascii="Times New Roman" w:hAnsi="Times New Roman" w:cs="Times New Roman"/>
        </w:rPr>
        <w:t>’</w:t>
      </w:r>
      <w:r w:rsidRPr="00AA3EA8">
        <w:rPr>
          <w:rFonts w:ascii="Times New Roman" w:hAnsi="Times New Roman" w:cs="Times New Roman"/>
        </w:rPr>
        <w:t xml:space="preserve"> core mission of FDA-approved drug development. These distractions, combined with potential safety allegations in unregulated markets, could negatively impact their core pharmaceutical strategies.</w:t>
      </w:r>
    </w:p>
    <w:p w14:paraId="76FC28F8" w14:textId="77777777" w:rsidR="00AA3EA8" w:rsidRDefault="00AA3EA8" w:rsidP="00680390">
      <w:pPr>
        <w:rPr>
          <w:rFonts w:ascii="Times New Roman" w:hAnsi="Times New Roman" w:cs="Times New Roman"/>
        </w:rPr>
      </w:pPr>
    </w:p>
    <w:p w14:paraId="3F359720" w14:textId="233A9B59" w:rsidR="00680390" w:rsidRPr="00680390" w:rsidRDefault="00680390" w:rsidP="00680390">
      <w:pPr>
        <w:rPr>
          <w:rFonts w:ascii="Times New Roman" w:hAnsi="Times New Roman" w:cs="Times New Roman"/>
        </w:rPr>
      </w:pPr>
      <w:r w:rsidRPr="00680390">
        <w:rPr>
          <w:rFonts w:ascii="Times New Roman" w:hAnsi="Times New Roman" w:cs="Times New Roman"/>
        </w:rPr>
        <w:t xml:space="preserve">In conclusion, </w:t>
      </w:r>
      <w:proofErr w:type="spellStart"/>
      <w:r w:rsidRPr="00680390">
        <w:rPr>
          <w:rFonts w:ascii="Times New Roman" w:hAnsi="Times New Roman" w:cs="Times New Roman"/>
        </w:rPr>
        <w:t>Sirtris</w:t>
      </w:r>
      <w:proofErr w:type="spellEnd"/>
      <w:r w:rsidRPr="00680390">
        <w:rPr>
          <w:rFonts w:ascii="Times New Roman" w:hAnsi="Times New Roman" w:cs="Times New Roman"/>
        </w:rPr>
        <w:t xml:space="preserve"> should seize the pharmaceutical deal to secure capital, validation, and expertise essential for its long-term success. Simultaneously, it should evaluate in-licensing opportunities to broaden its pipeline and hedge against platform risk. Pursuing nutraceuticals at this stage risks diluting the company</w:t>
      </w:r>
      <w:r w:rsidR="007D324D">
        <w:rPr>
          <w:rFonts w:ascii="Times New Roman" w:hAnsi="Times New Roman" w:cs="Times New Roman"/>
        </w:rPr>
        <w:t>’</w:t>
      </w:r>
      <w:r w:rsidRPr="00680390">
        <w:rPr>
          <w:rFonts w:ascii="Times New Roman" w:hAnsi="Times New Roman" w:cs="Times New Roman"/>
        </w:rPr>
        <w:t>s brand and undermining its scientific ambitions and should be deferred.</w:t>
      </w:r>
    </w:p>
    <w:p w14:paraId="76D5B055" w14:textId="5971B151" w:rsidR="001A39A0" w:rsidRPr="00680390" w:rsidRDefault="001A39A0" w:rsidP="00680390">
      <w:pPr>
        <w:rPr>
          <w:rFonts w:ascii="Times New Roman" w:hAnsi="Times New Roman" w:cs="Times New Roman"/>
        </w:rPr>
      </w:pPr>
    </w:p>
    <w:p w14:paraId="4702A1ED" w14:textId="77777777" w:rsidR="00861FE9" w:rsidRPr="00680390" w:rsidRDefault="00861FE9" w:rsidP="00861FE9">
      <w:pPr>
        <w:rPr>
          <w:rFonts w:ascii="Times New Roman" w:hAnsi="Times New Roman" w:cs="Times New Roman"/>
        </w:rPr>
      </w:pPr>
    </w:p>
    <w:sectPr w:rsidR="00861FE9" w:rsidRPr="006803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C5E"/>
    <w:multiLevelType w:val="multilevel"/>
    <w:tmpl w:val="E46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36D9E"/>
    <w:multiLevelType w:val="multilevel"/>
    <w:tmpl w:val="213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10B0A"/>
    <w:multiLevelType w:val="multilevel"/>
    <w:tmpl w:val="494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441318">
    <w:abstractNumId w:val="2"/>
  </w:num>
  <w:num w:numId="2" w16cid:durableId="2091147747">
    <w:abstractNumId w:val="1"/>
  </w:num>
  <w:num w:numId="3" w16cid:durableId="102891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F48"/>
    <w:rsid w:val="001A39A0"/>
    <w:rsid w:val="0025736B"/>
    <w:rsid w:val="003C3F48"/>
    <w:rsid w:val="00471506"/>
    <w:rsid w:val="00680390"/>
    <w:rsid w:val="006809E0"/>
    <w:rsid w:val="007155B0"/>
    <w:rsid w:val="00775CEE"/>
    <w:rsid w:val="007D324D"/>
    <w:rsid w:val="007F5337"/>
    <w:rsid w:val="00861FE9"/>
    <w:rsid w:val="00AA3EA8"/>
    <w:rsid w:val="00C305D7"/>
    <w:rsid w:val="00D54F1A"/>
    <w:rsid w:val="00FA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D203"/>
  <w15:chartTrackingRefBased/>
  <w15:docId w15:val="{8804FDB0-3693-41D1-A819-98061A26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3F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3F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3F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3F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3F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3F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3F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3F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3F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3F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3F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3F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3F48"/>
    <w:rPr>
      <w:rFonts w:cstheme="majorBidi"/>
      <w:color w:val="0F4761" w:themeColor="accent1" w:themeShade="BF"/>
      <w:sz w:val="28"/>
      <w:szCs w:val="28"/>
    </w:rPr>
  </w:style>
  <w:style w:type="character" w:customStyle="1" w:styleId="50">
    <w:name w:val="标题 5 字符"/>
    <w:basedOn w:val="a0"/>
    <w:link w:val="5"/>
    <w:uiPriority w:val="9"/>
    <w:semiHidden/>
    <w:rsid w:val="003C3F48"/>
    <w:rPr>
      <w:rFonts w:cstheme="majorBidi"/>
      <w:color w:val="0F4761" w:themeColor="accent1" w:themeShade="BF"/>
      <w:sz w:val="24"/>
      <w:szCs w:val="24"/>
    </w:rPr>
  </w:style>
  <w:style w:type="character" w:customStyle="1" w:styleId="60">
    <w:name w:val="标题 6 字符"/>
    <w:basedOn w:val="a0"/>
    <w:link w:val="6"/>
    <w:uiPriority w:val="9"/>
    <w:semiHidden/>
    <w:rsid w:val="003C3F48"/>
    <w:rPr>
      <w:rFonts w:cstheme="majorBidi"/>
      <w:b/>
      <w:bCs/>
      <w:color w:val="0F4761" w:themeColor="accent1" w:themeShade="BF"/>
    </w:rPr>
  </w:style>
  <w:style w:type="character" w:customStyle="1" w:styleId="70">
    <w:name w:val="标题 7 字符"/>
    <w:basedOn w:val="a0"/>
    <w:link w:val="7"/>
    <w:uiPriority w:val="9"/>
    <w:semiHidden/>
    <w:rsid w:val="003C3F48"/>
    <w:rPr>
      <w:rFonts w:cstheme="majorBidi"/>
      <w:b/>
      <w:bCs/>
      <w:color w:val="595959" w:themeColor="text1" w:themeTint="A6"/>
    </w:rPr>
  </w:style>
  <w:style w:type="character" w:customStyle="1" w:styleId="80">
    <w:name w:val="标题 8 字符"/>
    <w:basedOn w:val="a0"/>
    <w:link w:val="8"/>
    <w:uiPriority w:val="9"/>
    <w:semiHidden/>
    <w:rsid w:val="003C3F48"/>
    <w:rPr>
      <w:rFonts w:cstheme="majorBidi"/>
      <w:color w:val="595959" w:themeColor="text1" w:themeTint="A6"/>
    </w:rPr>
  </w:style>
  <w:style w:type="character" w:customStyle="1" w:styleId="90">
    <w:name w:val="标题 9 字符"/>
    <w:basedOn w:val="a0"/>
    <w:link w:val="9"/>
    <w:uiPriority w:val="9"/>
    <w:semiHidden/>
    <w:rsid w:val="003C3F48"/>
    <w:rPr>
      <w:rFonts w:eastAsiaTheme="majorEastAsia" w:cstheme="majorBidi"/>
      <w:color w:val="595959" w:themeColor="text1" w:themeTint="A6"/>
    </w:rPr>
  </w:style>
  <w:style w:type="paragraph" w:styleId="a3">
    <w:name w:val="Title"/>
    <w:basedOn w:val="a"/>
    <w:next w:val="a"/>
    <w:link w:val="a4"/>
    <w:uiPriority w:val="10"/>
    <w:qFormat/>
    <w:rsid w:val="003C3F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3F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F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3F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3F48"/>
    <w:pPr>
      <w:spacing w:before="160" w:after="160"/>
      <w:jc w:val="center"/>
    </w:pPr>
    <w:rPr>
      <w:i/>
      <w:iCs/>
      <w:color w:val="404040" w:themeColor="text1" w:themeTint="BF"/>
    </w:rPr>
  </w:style>
  <w:style w:type="character" w:customStyle="1" w:styleId="a8">
    <w:name w:val="引用 字符"/>
    <w:basedOn w:val="a0"/>
    <w:link w:val="a7"/>
    <w:uiPriority w:val="29"/>
    <w:rsid w:val="003C3F48"/>
    <w:rPr>
      <w:i/>
      <w:iCs/>
      <w:color w:val="404040" w:themeColor="text1" w:themeTint="BF"/>
    </w:rPr>
  </w:style>
  <w:style w:type="paragraph" w:styleId="a9">
    <w:name w:val="List Paragraph"/>
    <w:basedOn w:val="a"/>
    <w:uiPriority w:val="34"/>
    <w:qFormat/>
    <w:rsid w:val="003C3F48"/>
    <w:pPr>
      <w:ind w:left="720"/>
      <w:contextualSpacing/>
    </w:pPr>
  </w:style>
  <w:style w:type="character" w:styleId="aa">
    <w:name w:val="Intense Emphasis"/>
    <w:basedOn w:val="a0"/>
    <w:uiPriority w:val="21"/>
    <w:qFormat/>
    <w:rsid w:val="003C3F48"/>
    <w:rPr>
      <w:i/>
      <w:iCs/>
      <w:color w:val="0F4761" w:themeColor="accent1" w:themeShade="BF"/>
    </w:rPr>
  </w:style>
  <w:style w:type="paragraph" w:styleId="ab">
    <w:name w:val="Intense Quote"/>
    <w:basedOn w:val="a"/>
    <w:next w:val="a"/>
    <w:link w:val="ac"/>
    <w:uiPriority w:val="30"/>
    <w:qFormat/>
    <w:rsid w:val="003C3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3F48"/>
    <w:rPr>
      <w:i/>
      <w:iCs/>
      <w:color w:val="0F4761" w:themeColor="accent1" w:themeShade="BF"/>
    </w:rPr>
  </w:style>
  <w:style w:type="character" w:styleId="ad">
    <w:name w:val="Intense Reference"/>
    <w:basedOn w:val="a0"/>
    <w:uiPriority w:val="32"/>
    <w:qFormat/>
    <w:rsid w:val="003C3F48"/>
    <w:rPr>
      <w:b/>
      <w:bCs/>
      <w:smallCaps/>
      <w:color w:val="0F4761" w:themeColor="accent1" w:themeShade="BF"/>
      <w:spacing w:val="5"/>
    </w:rPr>
  </w:style>
  <w:style w:type="paragraph" w:styleId="ae">
    <w:name w:val="Date"/>
    <w:basedOn w:val="a"/>
    <w:next w:val="a"/>
    <w:link w:val="af"/>
    <w:uiPriority w:val="99"/>
    <w:semiHidden/>
    <w:unhideWhenUsed/>
    <w:rsid w:val="001A39A0"/>
    <w:pPr>
      <w:ind w:leftChars="2500" w:left="100"/>
    </w:pPr>
  </w:style>
  <w:style w:type="character" w:customStyle="1" w:styleId="af">
    <w:name w:val="日期 字符"/>
    <w:basedOn w:val="a0"/>
    <w:link w:val="ae"/>
    <w:uiPriority w:val="99"/>
    <w:semiHidden/>
    <w:rsid w:val="001A3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932628">
      <w:bodyDiv w:val="1"/>
      <w:marLeft w:val="0"/>
      <w:marRight w:val="0"/>
      <w:marTop w:val="0"/>
      <w:marBottom w:val="0"/>
      <w:divBdr>
        <w:top w:val="none" w:sz="0" w:space="0" w:color="auto"/>
        <w:left w:val="none" w:sz="0" w:space="0" w:color="auto"/>
        <w:bottom w:val="none" w:sz="0" w:space="0" w:color="auto"/>
        <w:right w:val="none" w:sz="0" w:space="0" w:color="auto"/>
      </w:divBdr>
    </w:div>
    <w:div w:id="665593516">
      <w:bodyDiv w:val="1"/>
      <w:marLeft w:val="0"/>
      <w:marRight w:val="0"/>
      <w:marTop w:val="0"/>
      <w:marBottom w:val="0"/>
      <w:divBdr>
        <w:top w:val="none" w:sz="0" w:space="0" w:color="auto"/>
        <w:left w:val="none" w:sz="0" w:space="0" w:color="auto"/>
        <w:bottom w:val="none" w:sz="0" w:space="0" w:color="auto"/>
        <w:right w:val="none" w:sz="0" w:space="0" w:color="auto"/>
      </w:divBdr>
    </w:div>
    <w:div w:id="1359310381">
      <w:bodyDiv w:val="1"/>
      <w:marLeft w:val="0"/>
      <w:marRight w:val="0"/>
      <w:marTop w:val="0"/>
      <w:marBottom w:val="0"/>
      <w:divBdr>
        <w:top w:val="none" w:sz="0" w:space="0" w:color="auto"/>
        <w:left w:val="none" w:sz="0" w:space="0" w:color="auto"/>
        <w:bottom w:val="none" w:sz="0" w:space="0" w:color="auto"/>
        <w:right w:val="none" w:sz="0" w:space="0" w:color="auto"/>
      </w:divBdr>
    </w:div>
    <w:div w:id="149202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8</cp:revision>
  <cp:lastPrinted>2025-04-08T04:58:00Z</cp:lastPrinted>
  <dcterms:created xsi:type="dcterms:W3CDTF">2025-04-06T20:07:00Z</dcterms:created>
  <dcterms:modified xsi:type="dcterms:W3CDTF">2025-04-08T05:00:00Z</dcterms:modified>
</cp:coreProperties>
</file>