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 对象之间的关系。TAO的核心就是在处理对象和对象之间的关联。所有的对象和关联都有一个唯一的ID标识，就是每一条数据的Primary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 called this service “Goldeta”, which was essentially a model that sat on top of the routing engines and made an adjustment to those original estimates using our own historical Uber Data of similar routes in time and space. This solution, which ultimately took into account hundreds of thousands of Uber trips, compared them to the initial routing engine ETA. Goldeta worked better than using any single ETA alone. However, one issue with this approach was the cold start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routing engine, Gurafu.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Before we launch into specifics, let’s discuss the essence of what you need in a routing engine. The whole road network is modeled as a graph. Nodes represent intersections, and edges represent road segments. The edge weights represent a metric of interest: often either the road segment distance or the time take it takes to travel through it. Concepts such as one-way streets, turn restrictions, turn costs, and speed limits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bookmarkStart w:id="0" w:name="_GoBack"/>
      <w:bookmarkEnd w:id="0"/>
      <w:r>
        <w:rPr>
          <w:rFonts w:hint="default" w:ascii="KaiTi" w:hAnsi="KaiTi" w:eastAsia="KaiTi" w:cs="KaiTi"/>
          <w:b w:val="0"/>
          <w:bCs w:val="0"/>
          <w:sz w:val="13"/>
          <w:szCs w:val="13"/>
          <w:lang w:val="en-US" w:eastAsia="zh-CN"/>
        </w:rPr>
        <w:t>)</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28616F"/>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2017-07-31T06:40:13Z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