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0CA" w:rsidRDefault="00F91096" w:rsidP="00A037C2">
      <w:pPr>
        <w:pStyle w:val="Title"/>
        <w:rPr>
          <w:rStyle w:val="Strong"/>
          <w:b w:val="0"/>
          <w:bCs w:val="0"/>
        </w:rPr>
      </w:pPr>
      <w:r>
        <w:rPr>
          <w:rStyle w:val="Strong"/>
        </w:rPr>
        <w:t xml:space="preserve">Connectathon-based Validation Testing for BHITS </w:t>
      </w:r>
      <w:r w:rsidR="00407469">
        <w:rPr>
          <w:rStyle w:val="Strong"/>
        </w:rPr>
        <w:t>Interoperability Components</w:t>
      </w:r>
    </w:p>
    <w:p w:rsidR="00D36D1F" w:rsidRPr="00D36D1F" w:rsidRDefault="00202010" w:rsidP="00D36D1F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A S</w:t>
      </w:r>
      <w:r w:rsidR="00D36D1F" w:rsidRPr="00D36D1F">
        <w:rPr>
          <w:color w:val="808080" w:themeColor="background1" w:themeShade="80"/>
        </w:rPr>
        <w:t xml:space="preserve">pringboard to </w:t>
      </w:r>
      <w:r>
        <w:rPr>
          <w:color w:val="808080" w:themeColor="background1" w:themeShade="80"/>
        </w:rPr>
        <w:t>S</w:t>
      </w:r>
      <w:r w:rsidR="00D36D1F" w:rsidRPr="00D36D1F">
        <w:rPr>
          <w:color w:val="808080" w:themeColor="background1" w:themeShade="80"/>
        </w:rPr>
        <w:t xml:space="preserve">uccessful </w:t>
      </w:r>
      <w:r>
        <w:rPr>
          <w:color w:val="808080" w:themeColor="background1" w:themeShade="80"/>
        </w:rPr>
        <w:t>Standards</w:t>
      </w:r>
      <w:r w:rsidR="00D36D1F" w:rsidRPr="00D36D1F">
        <w:rPr>
          <w:color w:val="808080" w:themeColor="background1" w:themeShade="80"/>
        </w:rPr>
        <w:t xml:space="preserve">-based </w:t>
      </w:r>
      <w:r>
        <w:rPr>
          <w:color w:val="808080" w:themeColor="background1" w:themeShade="80"/>
        </w:rPr>
        <w:t>I</w:t>
      </w:r>
      <w:r w:rsidR="00D36D1F" w:rsidRPr="00D36D1F">
        <w:rPr>
          <w:color w:val="808080" w:themeColor="background1" w:themeShade="80"/>
        </w:rPr>
        <w:t>nteroperability</w:t>
      </w:r>
      <w:r w:rsidR="00CD3F5F">
        <w:rPr>
          <w:color w:val="808080" w:themeColor="background1" w:themeShade="80"/>
        </w:rPr>
        <w:t xml:space="preserve"> and HIMSS Showcase Demonstration</w:t>
      </w:r>
      <w:bookmarkStart w:id="0" w:name="_GoBack"/>
      <w:bookmarkEnd w:id="0"/>
    </w:p>
    <w:p w:rsidR="00E717C8" w:rsidRDefault="00E717C8" w:rsidP="00A037C2">
      <w:pPr>
        <w:pStyle w:val="Heading1"/>
      </w:pPr>
      <w:r>
        <w:t>Background</w:t>
      </w:r>
    </w:p>
    <w:p w:rsidR="00427804" w:rsidRDefault="000E4FB7" w:rsidP="00796B8D">
      <w:r>
        <w:t xml:space="preserve">The </w:t>
      </w:r>
      <w:r w:rsidR="004D74BE" w:rsidRPr="00284378">
        <w:rPr>
          <w:i/>
        </w:rPr>
        <w:t>Healthcare Information and Management Systems Society</w:t>
      </w:r>
      <w:r>
        <w:t xml:space="preserve"> </w:t>
      </w:r>
      <w:r w:rsidR="00317F8C">
        <w:t>(</w:t>
      </w:r>
      <w:r>
        <w:t>HIMSS</w:t>
      </w:r>
      <w:r w:rsidR="00317F8C">
        <w:t>)</w:t>
      </w:r>
      <w:r>
        <w:t xml:space="preserve"> </w:t>
      </w:r>
      <w:r w:rsidR="004D74BE">
        <w:t>is</w:t>
      </w:r>
      <w:r w:rsidR="00AF37E8">
        <w:t xml:space="preserve"> a</w:t>
      </w:r>
      <w:r w:rsidR="004D74BE">
        <w:t xml:space="preserve"> global professional organization </w:t>
      </w:r>
      <w:r w:rsidR="00E92126">
        <w:t>that aims</w:t>
      </w:r>
      <w:r>
        <w:t xml:space="preserve"> to</w:t>
      </w:r>
      <w:r w:rsidR="004D74BE">
        <w:t xml:space="preserve"> </w:t>
      </w:r>
      <w:r w:rsidR="004D74BE" w:rsidRPr="004D74BE">
        <w:t>“optimize health engagements and care outcomes through information technology.</w:t>
      </w:r>
      <w:r w:rsidR="004D74BE">
        <w:t xml:space="preserve">” </w:t>
      </w:r>
      <w:r w:rsidR="00796B8D">
        <w:t xml:space="preserve">HIMSS </w:t>
      </w:r>
      <w:r w:rsidR="00E92126">
        <w:t xml:space="preserve">counts among its members </w:t>
      </w:r>
      <w:r>
        <w:t xml:space="preserve">electronic health record (EHR) </w:t>
      </w:r>
      <w:r w:rsidR="00E92126">
        <w:t>vendors, hospital</w:t>
      </w:r>
      <w:r>
        <w:t xml:space="preserve"> </w:t>
      </w:r>
      <w:r w:rsidR="00E92126">
        <w:t>information system vendors, healthcare provider</w:t>
      </w:r>
      <w:r>
        <w:t xml:space="preserve">s, and government agencies. </w:t>
      </w:r>
      <w:r w:rsidRPr="000E4FB7">
        <w:t xml:space="preserve">The </w:t>
      </w:r>
      <w:r w:rsidRPr="00284378">
        <w:rPr>
          <w:i/>
        </w:rPr>
        <w:t>Office of the National Coordinator for Health Information Technology</w:t>
      </w:r>
      <w:r w:rsidRPr="000E4FB7">
        <w:t xml:space="preserve"> (ONC)</w:t>
      </w:r>
      <w:r>
        <w:t xml:space="preserve"> at the </w:t>
      </w:r>
      <w:r w:rsidRPr="000E4FB7">
        <w:t>Departme</w:t>
      </w:r>
      <w:r>
        <w:t xml:space="preserve">nt of Health and Human Services (DHHS) and </w:t>
      </w:r>
      <w:r w:rsidR="00202010">
        <w:t xml:space="preserve">the ONC’s </w:t>
      </w:r>
      <w:r w:rsidR="00E92126" w:rsidRPr="00284378">
        <w:rPr>
          <w:i/>
        </w:rPr>
        <w:t>Federal Health Architecture</w:t>
      </w:r>
      <w:r w:rsidR="00E92126">
        <w:t xml:space="preserve"> </w:t>
      </w:r>
      <w:r w:rsidR="00202010">
        <w:t xml:space="preserve">initiative </w:t>
      </w:r>
      <w:r w:rsidR="00E92126">
        <w:t xml:space="preserve">are actively involved in HIMSS events. </w:t>
      </w:r>
      <w:r w:rsidR="00427804">
        <w:t>H</w:t>
      </w:r>
      <w:r w:rsidR="00E92126">
        <w:t xml:space="preserve">IMSS </w:t>
      </w:r>
      <w:r w:rsidR="00796B8D">
        <w:t xml:space="preserve">coordinates closely </w:t>
      </w:r>
      <w:r w:rsidR="00427804">
        <w:t xml:space="preserve">with </w:t>
      </w:r>
      <w:r w:rsidR="001F47C2">
        <w:t>health IT and vendor community and</w:t>
      </w:r>
      <w:r w:rsidR="00796B8D">
        <w:t xml:space="preserve"> provides support </w:t>
      </w:r>
      <w:r w:rsidR="00E717C8">
        <w:t xml:space="preserve">for </w:t>
      </w:r>
      <w:r w:rsidR="00427804">
        <w:t xml:space="preserve">the </w:t>
      </w:r>
      <w:r w:rsidR="00796B8D">
        <w:t>development of technical framework</w:t>
      </w:r>
      <w:r w:rsidR="00427804">
        <w:t>s, such as</w:t>
      </w:r>
      <w:r w:rsidR="00E717C8">
        <w:t xml:space="preserve"> Integration Profiles</w:t>
      </w:r>
      <w:r w:rsidR="00427804">
        <w:t>. Through such efforts, HIMSS guides</w:t>
      </w:r>
      <w:r w:rsidR="00E717C8">
        <w:t xml:space="preserve"> implementers towards </w:t>
      </w:r>
      <w:r w:rsidR="00796B8D">
        <w:t>adopt</w:t>
      </w:r>
      <w:r w:rsidR="00E717C8">
        <w:t>ion</w:t>
      </w:r>
      <w:r w:rsidR="00796B8D">
        <w:t xml:space="preserve"> </w:t>
      </w:r>
      <w:r w:rsidR="00E717C8">
        <w:t xml:space="preserve">of </w:t>
      </w:r>
      <w:r w:rsidR="00796B8D">
        <w:t>interoperability standards</w:t>
      </w:r>
      <w:r w:rsidR="00E717C8">
        <w:t xml:space="preserve"> to address specific business needs</w:t>
      </w:r>
      <w:r w:rsidR="00796B8D">
        <w:t>.</w:t>
      </w:r>
      <w:r w:rsidR="00DA7E1B">
        <w:t xml:space="preserve"> </w:t>
      </w:r>
    </w:p>
    <w:p w:rsidR="00427804" w:rsidRDefault="003D4EC6" w:rsidP="00796B8D">
      <w:r>
        <w:t xml:space="preserve">HIMSS works with the volunteer organization </w:t>
      </w:r>
      <w:proofErr w:type="gramStart"/>
      <w:r w:rsidR="00796B8D" w:rsidRPr="001C2E87">
        <w:rPr>
          <w:i/>
        </w:rPr>
        <w:t>Integrating</w:t>
      </w:r>
      <w:proofErr w:type="gramEnd"/>
      <w:r w:rsidR="00796B8D" w:rsidRPr="001C2E87">
        <w:rPr>
          <w:i/>
        </w:rPr>
        <w:t xml:space="preserve"> the Healthcare Enterprise</w:t>
      </w:r>
      <w:r w:rsidR="00E92126">
        <w:t xml:space="preserve"> </w:t>
      </w:r>
      <w:r w:rsidR="00796B8D">
        <w:t xml:space="preserve">(IHE) </w:t>
      </w:r>
      <w:r>
        <w:t>to enable</w:t>
      </w:r>
      <w:r w:rsidR="00796B8D">
        <w:t xml:space="preserve"> the development of Integration Profiles </w:t>
      </w:r>
      <w:r>
        <w:t xml:space="preserve">that are </w:t>
      </w:r>
      <w:r w:rsidR="00796B8D">
        <w:t>organized into domains</w:t>
      </w:r>
      <w:r w:rsidR="00DA7E1B">
        <w:t xml:space="preserve"> and</w:t>
      </w:r>
      <w:r w:rsidR="00E92126">
        <w:t xml:space="preserve"> </w:t>
      </w:r>
      <w:r w:rsidR="00DA7E1B">
        <w:t>promotes the resulting standard-based</w:t>
      </w:r>
      <w:r w:rsidR="00E717C8">
        <w:t xml:space="preserve"> frameworks </w:t>
      </w:r>
      <w:r w:rsidR="00D52319">
        <w:t xml:space="preserve">as </w:t>
      </w:r>
      <w:r w:rsidR="00E92126">
        <w:t>national and international standard</w:t>
      </w:r>
      <w:r w:rsidR="00DA7E1B">
        <w:t xml:space="preserve"> adoption</w:t>
      </w:r>
      <w:r w:rsidR="00E92126">
        <w:t xml:space="preserve"> </w:t>
      </w:r>
      <w:r w:rsidR="00D52319">
        <w:t>guidance</w:t>
      </w:r>
      <w:r w:rsidR="00E92126">
        <w:t xml:space="preserve">. </w:t>
      </w:r>
    </w:p>
    <w:p w:rsidR="00796B8D" w:rsidRDefault="003D4EC6" w:rsidP="00796B8D">
      <w:r>
        <w:t xml:space="preserve">These IHE Integration Profiles are </w:t>
      </w:r>
      <w:r w:rsidR="00D52319">
        <w:t xml:space="preserve">often </w:t>
      </w:r>
      <w:r w:rsidR="00796B8D">
        <w:t>referenced by</w:t>
      </w:r>
      <w:r w:rsidR="00D52319">
        <w:t xml:space="preserve"> regulation</w:t>
      </w:r>
      <w:r>
        <w:t>—for example, ONC</w:t>
      </w:r>
      <w:r w:rsidR="00D52319">
        <w:t xml:space="preserve"> Meaningful Use criteria related to Edge Protocols</w:t>
      </w:r>
      <w:r>
        <w:t xml:space="preserve">. IHE Integration Profiles are </w:t>
      </w:r>
      <w:r w:rsidR="00932416">
        <w:t xml:space="preserve">typically </w:t>
      </w:r>
      <w:r>
        <w:t>refined</w:t>
      </w:r>
      <w:r w:rsidR="00932416">
        <w:t xml:space="preserve"> further, as in the</w:t>
      </w:r>
      <w:r>
        <w:t xml:space="preserve"> Consolidated-Clinical Document Architecture (C-CDA) </w:t>
      </w:r>
      <w:r w:rsidR="00932416">
        <w:t xml:space="preserve">refinement effort of </w:t>
      </w:r>
      <w:r>
        <w:t xml:space="preserve">IHE document templates. They are also reused, </w:t>
      </w:r>
      <w:r w:rsidR="00467483">
        <w:t xml:space="preserve">as demonstrated by </w:t>
      </w:r>
      <w:r>
        <w:t>the</w:t>
      </w:r>
      <w:r w:rsidR="00D52319">
        <w:t xml:space="preserve"> </w:t>
      </w:r>
      <w:r w:rsidR="00CA7278" w:rsidRPr="001C2E87">
        <w:rPr>
          <w:i/>
        </w:rPr>
        <w:t>eHealth Initiative</w:t>
      </w:r>
      <w:r>
        <w:t xml:space="preserve">. Through such efforts, HIMSS and IHE Integration Profiles are helping to </w:t>
      </w:r>
      <w:r w:rsidR="00CA7278">
        <w:t xml:space="preserve">create a nationwide health information infrastructure. </w:t>
      </w:r>
      <w:r>
        <w:t xml:space="preserve">IHE Integration </w:t>
      </w:r>
      <w:r w:rsidR="00D52319">
        <w:t>Profiles</w:t>
      </w:r>
      <w:r w:rsidR="00796B8D">
        <w:t xml:space="preserve"> are the </w:t>
      </w:r>
      <w:r w:rsidR="00CA7278">
        <w:t>building block</w:t>
      </w:r>
      <w:r w:rsidR="00AF37E8">
        <w:t>s</w:t>
      </w:r>
      <w:r w:rsidR="00796B8D">
        <w:t xml:space="preserve"> </w:t>
      </w:r>
      <w:r w:rsidR="00CA7278">
        <w:t xml:space="preserve">of </w:t>
      </w:r>
      <w:r>
        <w:t xml:space="preserve">health information exchange (HIE) </w:t>
      </w:r>
      <w:r w:rsidR="00301759">
        <w:t>implementations deployed</w:t>
      </w:r>
      <w:r w:rsidR="00DA5D18">
        <w:t xml:space="preserve"> </w:t>
      </w:r>
      <w:r>
        <w:t xml:space="preserve">within several </w:t>
      </w:r>
      <w:r w:rsidR="00DA5D18">
        <w:t>states and counties</w:t>
      </w:r>
      <w:r>
        <w:t xml:space="preserve">. </w:t>
      </w:r>
      <w:r w:rsidR="00467483">
        <w:t xml:space="preserve">The profiles </w:t>
      </w:r>
      <w:r w:rsidR="00301759">
        <w:t>support collaboration</w:t>
      </w:r>
      <w:r w:rsidR="00D52319">
        <w:t xml:space="preserve"> across Accountable Care Organizations (ACOs)</w:t>
      </w:r>
      <w:r w:rsidR="00A1591E">
        <w:t xml:space="preserve">, </w:t>
      </w:r>
      <w:r w:rsidR="00DA5D18">
        <w:t>providers, and public agencies</w:t>
      </w:r>
      <w:r w:rsidR="00CA7278">
        <w:t>.</w:t>
      </w:r>
    </w:p>
    <w:p w:rsidR="00B9702E" w:rsidRDefault="00B23DA5" w:rsidP="00796B8D">
      <w:r>
        <w:t xml:space="preserve">As a result, </w:t>
      </w:r>
      <w:r w:rsidR="00852AD2">
        <w:t xml:space="preserve">any open-source software created by the </w:t>
      </w:r>
      <w:r>
        <w:t xml:space="preserve">Substance Abuse and Mental Health Administration (SAMHSA)-supported </w:t>
      </w:r>
      <w:r w:rsidR="00852AD2" w:rsidRPr="00852AD2">
        <w:t>Behavioral Health Information Technologies and Standards (BHITS)</w:t>
      </w:r>
      <w:r w:rsidR="00CB668B">
        <w:t xml:space="preserve"> </w:t>
      </w:r>
      <w:r>
        <w:t xml:space="preserve">project </w:t>
      </w:r>
      <w:r w:rsidR="00852AD2">
        <w:t xml:space="preserve">to enable </w:t>
      </w:r>
      <w:r>
        <w:t xml:space="preserve">the </w:t>
      </w:r>
      <w:r w:rsidR="00852AD2">
        <w:t xml:space="preserve">reuse of </w:t>
      </w:r>
      <w:r w:rsidR="00CB668B">
        <w:t xml:space="preserve">HIEs </w:t>
      </w:r>
      <w:r w:rsidR="00F91096">
        <w:t xml:space="preserve">must demonstrate conformance to </w:t>
      </w:r>
      <w:r w:rsidR="00CB668B">
        <w:t>the IHE Profiles suppor</w:t>
      </w:r>
      <w:r>
        <w:t xml:space="preserve">ted by </w:t>
      </w:r>
      <w:proofErr w:type="gramStart"/>
      <w:r>
        <w:t>these</w:t>
      </w:r>
      <w:proofErr w:type="gramEnd"/>
      <w:r>
        <w:t xml:space="preserve"> standard-based HIE</w:t>
      </w:r>
      <w:r w:rsidR="00287D21">
        <w:t>s</w:t>
      </w:r>
      <w:r>
        <w:t>.</w:t>
      </w:r>
    </w:p>
    <w:p w:rsidR="00474BDA" w:rsidRDefault="00B9702E" w:rsidP="00796B8D">
      <w:r>
        <w:t>T</w:t>
      </w:r>
      <w:r w:rsidR="00B23DA5">
        <w:t xml:space="preserve">he BHITS project </w:t>
      </w:r>
      <w:r>
        <w:t xml:space="preserve">is developing a patient portal called </w:t>
      </w:r>
      <w:proofErr w:type="spellStart"/>
      <w:r w:rsidRPr="001C2E87">
        <w:rPr>
          <w:i/>
        </w:rPr>
        <w:t>MyHealthCompass</w:t>
      </w:r>
      <w:proofErr w:type="spellEnd"/>
      <w:r>
        <w:t xml:space="preserve">. It is an integrated, open-source solution. </w:t>
      </w:r>
      <w:proofErr w:type="spellStart"/>
      <w:r w:rsidR="00CB668B">
        <w:t>MyHealthCompass</w:t>
      </w:r>
      <w:proofErr w:type="spellEnd"/>
      <w:r w:rsidR="00610388">
        <w:t xml:space="preserve"> includes an </w:t>
      </w:r>
      <w:r w:rsidR="00CB668B">
        <w:t xml:space="preserve">interoperability </w:t>
      </w:r>
      <w:r w:rsidR="00C5717D">
        <w:t xml:space="preserve">component </w:t>
      </w:r>
      <w:r>
        <w:t xml:space="preserve">called </w:t>
      </w:r>
      <w:r w:rsidR="00610388">
        <w:t xml:space="preserve">the Information Exchange Hub or </w:t>
      </w:r>
      <w:r w:rsidR="00CB668B" w:rsidRPr="001C2E87">
        <w:rPr>
          <w:i/>
        </w:rPr>
        <w:t>IExHub</w:t>
      </w:r>
      <w:r>
        <w:t>. To be successful, the system must implement specific IHE Integration Profiles and demonstrate conformance to ensure deployment with any standards-based HIE.</w:t>
      </w:r>
      <w:r w:rsidR="00287D21">
        <w:t xml:space="preserve"> Figure 1 illustrates the relationships between components.</w:t>
      </w:r>
    </w:p>
    <w:p w:rsidR="00474BDA" w:rsidRDefault="00474BDA" w:rsidP="00474BDA">
      <w:r>
        <w:br w:type="page"/>
      </w:r>
    </w:p>
    <w:p w:rsidR="003A5831" w:rsidRDefault="00C91DAA" w:rsidP="003A5831">
      <w:pPr>
        <w:keepNext/>
        <w:jc w:val="center"/>
      </w:pPr>
      <w:r>
        <w:object w:dxaOrig="6576" w:dyaOrig="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12pt" o:ole="">
            <v:imagedata r:id="rId9" o:title=""/>
          </v:shape>
          <o:OLEObject Type="Embed" ProgID="PowerPoint.Slide.12" ShapeID="_x0000_i1025" DrawAspect="Content" ObjectID="_1523436128" r:id="rId10"/>
        </w:object>
      </w:r>
    </w:p>
    <w:p w:rsidR="00CB668B" w:rsidRPr="00610388" w:rsidRDefault="003A5831" w:rsidP="00CB668B">
      <w:pPr>
        <w:pStyle w:val="Caption"/>
        <w:jc w:val="center"/>
        <w:rPr>
          <w:color w:val="auto"/>
        </w:rPr>
      </w:pPr>
      <w:r w:rsidRPr="00610388">
        <w:rPr>
          <w:color w:val="auto"/>
        </w:rPr>
        <w:t xml:space="preserve">Figure </w:t>
      </w:r>
      <w:r w:rsidR="00072D00" w:rsidRPr="00610388">
        <w:rPr>
          <w:color w:val="auto"/>
        </w:rPr>
        <w:fldChar w:fldCharType="begin"/>
      </w:r>
      <w:r w:rsidR="00072D00" w:rsidRPr="00610388">
        <w:rPr>
          <w:color w:val="auto"/>
        </w:rPr>
        <w:instrText xml:space="preserve"> SEQ Figure \* ARABIC </w:instrText>
      </w:r>
      <w:r w:rsidR="00072D00" w:rsidRPr="00610388">
        <w:rPr>
          <w:color w:val="auto"/>
        </w:rPr>
        <w:fldChar w:fldCharType="separate"/>
      </w:r>
      <w:r w:rsidR="00AD1FD8" w:rsidRPr="00610388">
        <w:rPr>
          <w:noProof/>
          <w:color w:val="auto"/>
        </w:rPr>
        <w:t>1</w:t>
      </w:r>
      <w:r w:rsidR="00072D00" w:rsidRPr="00610388">
        <w:rPr>
          <w:noProof/>
          <w:color w:val="auto"/>
        </w:rPr>
        <w:fldChar w:fldCharType="end"/>
      </w:r>
      <w:r w:rsidRPr="00610388">
        <w:rPr>
          <w:color w:val="auto"/>
        </w:rPr>
        <w:t xml:space="preserve">: </w:t>
      </w:r>
      <w:proofErr w:type="spellStart"/>
      <w:r w:rsidRPr="00610388">
        <w:rPr>
          <w:color w:val="auto"/>
        </w:rPr>
        <w:t>MyHealthCompass</w:t>
      </w:r>
      <w:proofErr w:type="spellEnd"/>
      <w:r w:rsidRPr="00610388">
        <w:rPr>
          <w:color w:val="auto"/>
        </w:rPr>
        <w:t xml:space="preserve"> </w:t>
      </w:r>
      <w:r w:rsidR="00610388">
        <w:rPr>
          <w:color w:val="auto"/>
        </w:rPr>
        <w:t>C</w:t>
      </w:r>
      <w:r w:rsidRPr="00610388">
        <w:rPr>
          <w:color w:val="auto"/>
        </w:rPr>
        <w:t xml:space="preserve">onnects to a </w:t>
      </w:r>
      <w:r w:rsidR="00610388">
        <w:rPr>
          <w:color w:val="auto"/>
        </w:rPr>
        <w:t>S</w:t>
      </w:r>
      <w:r w:rsidRPr="00610388">
        <w:rPr>
          <w:color w:val="auto"/>
        </w:rPr>
        <w:t>tandard-based HIE using IExHub</w:t>
      </w:r>
    </w:p>
    <w:p w:rsidR="004D74BE" w:rsidRDefault="00E717C8" w:rsidP="00A037C2">
      <w:pPr>
        <w:pStyle w:val="Heading1"/>
      </w:pPr>
      <w:r>
        <w:t>The Benefits</w:t>
      </w:r>
      <w:r w:rsidR="00782C19">
        <w:t xml:space="preserve"> of </w:t>
      </w:r>
      <w:r w:rsidR="00796B8D">
        <w:t>Connectathon</w:t>
      </w:r>
      <w:r w:rsidR="00782C19">
        <w:t xml:space="preserve"> Testing</w:t>
      </w:r>
    </w:p>
    <w:p w:rsidR="00BB7281" w:rsidRPr="00BB7281" w:rsidRDefault="00BB7281" w:rsidP="00BB7281">
      <w:r>
        <w:t xml:space="preserve">A </w:t>
      </w:r>
      <w:r w:rsidR="00C5717D">
        <w:t>C</w:t>
      </w:r>
      <w:r>
        <w:t xml:space="preserve">onnectathon is a forum for testing conformance </w:t>
      </w:r>
      <w:r w:rsidR="00AF37E8">
        <w:t>that goes</w:t>
      </w:r>
      <w:r>
        <w:t xml:space="preserve"> b</w:t>
      </w:r>
      <w:r w:rsidR="00610388">
        <w:t xml:space="preserve">eyond one-to-one system testing. It is a </w:t>
      </w:r>
      <w:r>
        <w:t xml:space="preserve">cost-effective and objective demonstration of standards conformance and interoperability. </w:t>
      </w:r>
    </w:p>
    <w:p w:rsidR="00610388" w:rsidRDefault="00852AD2" w:rsidP="004D74BE">
      <w:r>
        <w:t xml:space="preserve">Specifically, </w:t>
      </w:r>
      <w:r w:rsidR="00BB7281">
        <w:t>the</w:t>
      </w:r>
      <w:hyperlink r:id="rId11" w:history="1">
        <w:r w:rsidR="000D60CA" w:rsidRPr="004D74BE">
          <w:rPr>
            <w:rStyle w:val="Hyperlink"/>
          </w:rPr>
          <w:t> IHE N</w:t>
        </w:r>
        <w:r w:rsidR="00796B8D">
          <w:rPr>
            <w:rStyle w:val="Hyperlink"/>
          </w:rPr>
          <w:t xml:space="preserve">orth </w:t>
        </w:r>
        <w:r w:rsidR="000D60CA" w:rsidRPr="004D74BE">
          <w:rPr>
            <w:rStyle w:val="Hyperlink"/>
          </w:rPr>
          <w:t>A</w:t>
        </w:r>
        <w:r w:rsidR="00796B8D">
          <w:rPr>
            <w:rStyle w:val="Hyperlink"/>
          </w:rPr>
          <w:t>merican</w:t>
        </w:r>
        <w:r w:rsidR="000D60CA" w:rsidRPr="004D74BE">
          <w:rPr>
            <w:rStyle w:val="Hyperlink"/>
          </w:rPr>
          <w:t xml:space="preserve"> Connectathon</w:t>
        </w:r>
      </w:hyperlink>
      <w:r w:rsidR="00F91096">
        <w:t xml:space="preserve"> </w:t>
      </w:r>
      <w:r w:rsidR="00CA7C94">
        <w:t>is</w:t>
      </w:r>
      <w:r w:rsidR="000D60CA" w:rsidRPr="004D74BE">
        <w:t xml:space="preserve"> a cross-vendor, live, supe</w:t>
      </w:r>
      <w:r w:rsidR="00B9702E">
        <w:t xml:space="preserve">rvised, structured testing event. It involves </w:t>
      </w:r>
      <w:r w:rsidR="00610388">
        <w:t xml:space="preserve">more than </w:t>
      </w:r>
      <w:r w:rsidR="000D60CA" w:rsidRPr="004D74BE">
        <w:t>100 participating vendors</w:t>
      </w:r>
      <w:r w:rsidR="00B9702E">
        <w:t>,</w:t>
      </w:r>
      <w:r w:rsidR="000D60CA" w:rsidRPr="004D74BE">
        <w:t xml:space="preserve"> and </w:t>
      </w:r>
      <w:r w:rsidR="00610388">
        <w:t xml:space="preserve">more than </w:t>
      </w:r>
      <w:r w:rsidR="000D60CA" w:rsidRPr="004D74BE">
        <w:t xml:space="preserve">500 engineers and </w:t>
      </w:r>
      <w:r w:rsidR="00610388">
        <w:t>information technology (</w:t>
      </w:r>
      <w:r w:rsidR="000D60CA" w:rsidRPr="004D74BE">
        <w:t>IT</w:t>
      </w:r>
      <w:r w:rsidR="00610388">
        <w:t xml:space="preserve">) </w:t>
      </w:r>
      <w:r w:rsidR="000D60CA" w:rsidRPr="004D74BE">
        <w:t>architects</w:t>
      </w:r>
      <w:r w:rsidR="00610388">
        <w:t xml:space="preserve">. The Connectathon employs more than </w:t>
      </w:r>
      <w:r w:rsidR="000D60CA" w:rsidRPr="004D74BE">
        <w:t>140 test systems to complete over 4,570 successful tests</w:t>
      </w:r>
      <w:r w:rsidR="00610388">
        <w:t xml:space="preserve">, </w:t>
      </w:r>
      <w:r w:rsidR="00CA7C94">
        <w:t>facilitated by HIMSS and IHE</w:t>
      </w:r>
      <w:r w:rsidR="000D60CA" w:rsidRPr="004D74BE">
        <w:t xml:space="preserve">. </w:t>
      </w:r>
      <w:r w:rsidR="00CA7C94">
        <w:t>The Connectathon is</w:t>
      </w:r>
      <w:r w:rsidR="00782C19">
        <w:t xml:space="preserve"> a</w:t>
      </w:r>
      <w:r w:rsidR="000D60CA" w:rsidRPr="004D74BE">
        <w:t xml:space="preserve"> full week of interoperability testing and problem resolution</w:t>
      </w:r>
      <w:r w:rsidR="00CA7C94">
        <w:t xml:space="preserve"> involving standard-based solutions</w:t>
      </w:r>
      <w:r w:rsidR="000D60CA" w:rsidRPr="004D74BE">
        <w:t xml:space="preserve">. </w:t>
      </w:r>
    </w:p>
    <w:p w:rsidR="00E717C8" w:rsidRDefault="000D60CA" w:rsidP="004D74BE">
      <w:r w:rsidRPr="004D74BE">
        <w:t>Participants test their products</w:t>
      </w:r>
      <w:r w:rsidR="00CA7C94">
        <w:t xml:space="preserve"> or solutions</w:t>
      </w:r>
      <w:r w:rsidRPr="004D74BE">
        <w:t xml:space="preserve"> against multiple vendors</w:t>
      </w:r>
      <w:r w:rsidR="00CA7C94">
        <w:t xml:space="preserve"> (including open-source projects)</w:t>
      </w:r>
      <w:r w:rsidRPr="004D74BE">
        <w:t xml:space="preserve"> using real-world clinical scenarios contained in IHE's Integration Profiles. The IHE </w:t>
      </w:r>
      <w:r w:rsidR="00330357">
        <w:t xml:space="preserve">North American Connectathon </w:t>
      </w:r>
      <w:r w:rsidRPr="004D74BE">
        <w:t xml:space="preserve">works in partnership with the </w:t>
      </w:r>
      <w:r w:rsidR="00CA7C94">
        <w:t xml:space="preserve">HIMSS </w:t>
      </w:r>
      <w:r w:rsidRPr="004D74BE">
        <w:t>Interoperability Showcase</w:t>
      </w:r>
      <w:r w:rsidR="00610388">
        <w:t xml:space="preserve">. However, it </w:t>
      </w:r>
      <w:r w:rsidRPr="004D74BE">
        <w:t xml:space="preserve">is considered an independent event, </w:t>
      </w:r>
      <w:r w:rsidR="00610388">
        <w:t xml:space="preserve">requiring </w:t>
      </w:r>
      <w:r w:rsidRPr="004D74BE">
        <w:t>a separate registration.</w:t>
      </w:r>
      <w:r w:rsidR="00F91096">
        <w:t xml:space="preserve"> </w:t>
      </w:r>
      <w:r w:rsidR="00F56C4B">
        <w:t xml:space="preserve">The </w:t>
      </w:r>
      <w:r w:rsidR="00610C74">
        <w:t xml:space="preserve">SAMHSA and the </w:t>
      </w:r>
      <w:r w:rsidR="00F56C4B">
        <w:t xml:space="preserve">BHITS </w:t>
      </w:r>
      <w:r w:rsidR="00F91096">
        <w:t>team participated in the 2016</w:t>
      </w:r>
      <w:r w:rsidR="00796B8D">
        <w:t xml:space="preserve"> Connectathon</w:t>
      </w:r>
      <w:r w:rsidR="00F91096">
        <w:t xml:space="preserve"> </w:t>
      </w:r>
      <w:r w:rsidR="00DF4B59">
        <w:t xml:space="preserve">on </w:t>
      </w:r>
      <w:r w:rsidR="00F91096">
        <w:t xml:space="preserve">January 25 </w:t>
      </w:r>
      <w:r w:rsidR="00DF4B59">
        <w:t>through</w:t>
      </w:r>
      <w:r w:rsidR="00F91096">
        <w:t xml:space="preserve"> 29, 2016</w:t>
      </w:r>
      <w:r w:rsidR="00DF4B59">
        <w:t xml:space="preserve">, </w:t>
      </w:r>
      <w:r w:rsidR="00610388">
        <w:t xml:space="preserve">and </w:t>
      </w:r>
      <w:r w:rsidR="00F56C4B">
        <w:t xml:space="preserve">participated </w:t>
      </w:r>
      <w:r w:rsidR="00796B8D">
        <w:t xml:space="preserve">in the HIMSS </w:t>
      </w:r>
      <w:r w:rsidR="00DF4B59">
        <w:t xml:space="preserve">Interoperability </w:t>
      </w:r>
      <w:r w:rsidR="00796B8D">
        <w:t xml:space="preserve">Showcase </w:t>
      </w:r>
      <w:r w:rsidR="00DF4B59">
        <w:t xml:space="preserve">on March 1 through 3, 2016, </w:t>
      </w:r>
      <w:r w:rsidR="00796B8D">
        <w:t xml:space="preserve">under the Federal Health Architecture </w:t>
      </w:r>
      <w:r w:rsidR="00782C19">
        <w:t>banner</w:t>
      </w:r>
      <w:r w:rsidR="00DF4B59">
        <w:t>.</w:t>
      </w:r>
    </w:p>
    <w:p w:rsidR="000D60CA" w:rsidRDefault="00195B5F" w:rsidP="004D74BE">
      <w:r>
        <w:t xml:space="preserve">Prior to the Connectathon, </w:t>
      </w:r>
      <w:r w:rsidR="00A13165">
        <w:t xml:space="preserve">our </w:t>
      </w:r>
      <w:r w:rsidR="00BB7281">
        <w:t>team</w:t>
      </w:r>
      <w:r>
        <w:t xml:space="preserve"> tested the components using </w:t>
      </w:r>
      <w:r w:rsidR="00A13165">
        <w:t xml:space="preserve">several </w:t>
      </w:r>
      <w:r>
        <w:t>test environment</w:t>
      </w:r>
      <w:r w:rsidR="00A13165">
        <w:t>s</w:t>
      </w:r>
      <w:r>
        <w:t xml:space="preserve"> created by the </w:t>
      </w:r>
      <w:r w:rsidRPr="001C2E87">
        <w:rPr>
          <w:i/>
        </w:rPr>
        <w:t xml:space="preserve">National Institute </w:t>
      </w:r>
      <w:r w:rsidR="00A13165" w:rsidRPr="001C2E87">
        <w:rPr>
          <w:i/>
        </w:rPr>
        <w:t xml:space="preserve">of </w:t>
      </w:r>
      <w:r w:rsidRPr="001C2E87">
        <w:rPr>
          <w:i/>
        </w:rPr>
        <w:t xml:space="preserve">Standards and </w:t>
      </w:r>
      <w:r w:rsidR="00A13165" w:rsidRPr="001C2E87">
        <w:rPr>
          <w:i/>
        </w:rPr>
        <w:t>Technology</w:t>
      </w:r>
      <w:r w:rsidR="00A13165">
        <w:t xml:space="preserve"> </w:t>
      </w:r>
      <w:r>
        <w:t>(NIST)</w:t>
      </w:r>
      <w:r w:rsidR="00A13165">
        <w:t xml:space="preserve">. This initial round of testing </w:t>
      </w:r>
      <w:r>
        <w:t>prepare</w:t>
      </w:r>
      <w:r w:rsidR="00E717C8">
        <w:t>d</w:t>
      </w:r>
      <w:r>
        <w:t xml:space="preserve"> </w:t>
      </w:r>
      <w:r w:rsidR="00A13165">
        <w:t xml:space="preserve">the team well </w:t>
      </w:r>
      <w:r w:rsidR="00E717C8">
        <w:t>for</w:t>
      </w:r>
      <w:r>
        <w:t xml:space="preserve"> the live</w:t>
      </w:r>
      <w:r w:rsidR="00330357">
        <w:t xml:space="preserve"> and </w:t>
      </w:r>
      <w:r>
        <w:t>interactive testing at the Connectathon</w:t>
      </w:r>
      <w:r w:rsidR="00CA7C94">
        <w:t xml:space="preserve">. </w:t>
      </w:r>
      <w:r w:rsidR="00D12593">
        <w:t xml:space="preserve">By providing these test environments </w:t>
      </w:r>
      <w:r w:rsidR="00D12593">
        <w:lastRenderedPageBreak/>
        <w:t xml:space="preserve">for all vendors to use, </w:t>
      </w:r>
      <w:r w:rsidR="00CA7C94">
        <w:t>NIST plays an important role in pre-Connectathon testing and Meaningful Use certification</w:t>
      </w:r>
      <w:r w:rsidR="00330357">
        <w:t xml:space="preserve">. Our </w:t>
      </w:r>
      <w:r w:rsidR="003A5831">
        <w:t>team will continue to use these tools to ensure conformance.</w:t>
      </w:r>
    </w:p>
    <w:p w:rsidR="000A6E1C" w:rsidRDefault="00B575C0" w:rsidP="004D74BE">
      <w:r>
        <w:t xml:space="preserve">Besides serving as </w:t>
      </w:r>
      <w:r w:rsidR="00796B8D">
        <w:t xml:space="preserve">a springboard to the </w:t>
      </w:r>
      <w:hyperlink r:id="rId12" w:history="1">
        <w:r w:rsidR="00796B8D" w:rsidRPr="004D74BE">
          <w:rPr>
            <w:rStyle w:val="Hyperlink"/>
          </w:rPr>
          <w:t>HIMSS Interoperability Showcase</w:t>
        </w:r>
      </w:hyperlink>
      <w:r w:rsidR="00330357">
        <w:t xml:space="preserve">, </w:t>
      </w:r>
      <w:r w:rsidR="00AF37E8">
        <w:t>the</w:t>
      </w:r>
      <w:r w:rsidR="003A5831">
        <w:t xml:space="preserve"> </w:t>
      </w:r>
      <w:r w:rsidR="000A6E1C">
        <w:t xml:space="preserve">IHE </w:t>
      </w:r>
      <w:r w:rsidR="00796B8D">
        <w:t>Conn</w:t>
      </w:r>
      <w:r w:rsidR="00E92126">
        <w:t xml:space="preserve">ectathon </w:t>
      </w:r>
      <w:r w:rsidR="003A5831">
        <w:t>was</w:t>
      </w:r>
      <w:r w:rsidR="00796B8D">
        <w:t xml:space="preserve"> </w:t>
      </w:r>
      <w:r>
        <w:t xml:space="preserve">also an </w:t>
      </w:r>
      <w:r w:rsidR="00796B8D">
        <w:t xml:space="preserve">opportunity </w:t>
      </w:r>
      <w:r w:rsidR="000A6E1C">
        <w:t>to test two key issues</w:t>
      </w:r>
      <w:r w:rsidR="00157E6F">
        <w:t xml:space="preserve">: (1) to verify if the IExHub </w:t>
      </w:r>
      <w:r w:rsidR="007D7D66">
        <w:t>retrieve CDA-encoded document and they can be displayed correctly by</w:t>
      </w:r>
      <w:r w:rsidR="00157E6F">
        <w:t xml:space="preserve"> </w:t>
      </w:r>
      <w:proofErr w:type="spellStart"/>
      <w:r w:rsidR="00157E6F">
        <w:t>MyHealthCompass</w:t>
      </w:r>
      <w:proofErr w:type="spellEnd"/>
      <w:r w:rsidR="00157E6F">
        <w:t xml:space="preserve"> application display of documents</w:t>
      </w:r>
      <w:r w:rsidR="00737E16">
        <w:t xml:space="preserve"> </w:t>
      </w:r>
      <w:r w:rsidR="00157E6F">
        <w:t xml:space="preserve">and (2) </w:t>
      </w:r>
      <w:r w:rsidR="00330357">
        <w:t xml:space="preserve">to </w:t>
      </w:r>
      <w:r w:rsidR="00796B8D">
        <w:t xml:space="preserve">ensure interoperability with various </w:t>
      </w:r>
      <w:r w:rsidR="00737E16">
        <w:t xml:space="preserve">PIX, PDQ, and </w:t>
      </w:r>
      <w:r w:rsidR="00344ED6">
        <w:t>XDS.b-</w:t>
      </w:r>
      <w:r w:rsidR="00737E16">
        <w:t xml:space="preserve">related </w:t>
      </w:r>
      <w:r w:rsidR="00796B8D">
        <w:t>vendor products</w:t>
      </w:r>
      <w:r w:rsidR="00CA7C94">
        <w:t xml:space="preserve"> that may be deployed by HIEs or used by </w:t>
      </w:r>
      <w:r w:rsidR="00330357">
        <w:t>b</w:t>
      </w:r>
      <w:r w:rsidR="00CA7C94">
        <w:t xml:space="preserve">ehavioral </w:t>
      </w:r>
      <w:r w:rsidR="00330357">
        <w:t>h</w:t>
      </w:r>
      <w:r w:rsidR="00CA7C94">
        <w:t xml:space="preserve">ealth </w:t>
      </w:r>
      <w:r w:rsidR="00782C19">
        <w:t>providers</w:t>
      </w:r>
      <w:r w:rsidR="00796B8D">
        <w:t xml:space="preserve">. </w:t>
      </w:r>
    </w:p>
    <w:p w:rsidR="00F91096" w:rsidRDefault="00737E16" w:rsidP="004D74BE">
      <w:r>
        <w:t xml:space="preserve">The Connectathon </w:t>
      </w:r>
      <w:r w:rsidR="00796B8D">
        <w:t xml:space="preserve">experience </w:t>
      </w:r>
      <w:r w:rsidR="00157E6F">
        <w:t xml:space="preserve">was </w:t>
      </w:r>
      <w:r w:rsidR="00796B8D">
        <w:t>excellent preparation</w:t>
      </w:r>
      <w:r w:rsidR="00195B5F">
        <w:t xml:space="preserve"> </w:t>
      </w:r>
      <w:r w:rsidR="00796B8D">
        <w:t>f</w:t>
      </w:r>
      <w:r w:rsidR="00E92126">
        <w:t>o</w:t>
      </w:r>
      <w:r w:rsidR="00796B8D">
        <w:t xml:space="preserve">r real-life </w:t>
      </w:r>
      <w:r w:rsidR="00330357">
        <w:t xml:space="preserve">deployment. It </w:t>
      </w:r>
      <w:r w:rsidR="00157E6F">
        <w:t xml:space="preserve">ensured </w:t>
      </w:r>
      <w:r w:rsidR="00195B5F">
        <w:t xml:space="preserve">that any software developed </w:t>
      </w:r>
      <w:r w:rsidR="00330357">
        <w:t xml:space="preserve">through </w:t>
      </w:r>
      <w:r w:rsidR="00195B5F">
        <w:t>the BHITS contracts makes effective use of standards to facilitate and lower the cost of integrating behavioral health</w:t>
      </w:r>
      <w:r w:rsidR="00782C19">
        <w:t xml:space="preserve"> providers</w:t>
      </w:r>
      <w:r w:rsidR="00195B5F">
        <w:t xml:space="preserve">, opioid treatment, prescription drug monitoring </w:t>
      </w:r>
      <w:r w:rsidR="00782C19">
        <w:t>programs, and other high-priority SAMHSA initiatives</w:t>
      </w:r>
      <w:r w:rsidR="004E3867">
        <w:t xml:space="preserve">. This effort proves that </w:t>
      </w:r>
      <w:r w:rsidR="00852AD2">
        <w:t>standard-based open-sources solutions provided by SAMHSA are interoperable s</w:t>
      </w:r>
      <w:r w:rsidR="00F91096">
        <w:t>tandard-based HIE</w:t>
      </w:r>
      <w:r w:rsidR="00852AD2">
        <w:t xml:space="preserve"> solutions</w:t>
      </w:r>
      <w:r w:rsidR="00334365">
        <w:t xml:space="preserve">, such as </w:t>
      </w:r>
      <w:r w:rsidR="00AF37E8">
        <w:t xml:space="preserve">Tiani </w:t>
      </w:r>
      <w:r w:rsidR="00F91096">
        <w:t>Spirit</w:t>
      </w:r>
      <w:r w:rsidR="00A018DE">
        <w:t>, OpenHIE, Philips HSDP</w:t>
      </w:r>
      <w:r w:rsidR="00AF37E8">
        <w:t xml:space="preserve">, </w:t>
      </w:r>
      <w:r w:rsidR="00334365">
        <w:t xml:space="preserve">and </w:t>
      </w:r>
      <w:r w:rsidR="00AF37E8">
        <w:t>icoServe</w:t>
      </w:r>
      <w:r w:rsidR="00334365">
        <w:t>.</w:t>
      </w:r>
    </w:p>
    <w:p w:rsidR="004E3867" w:rsidRDefault="004E3867" w:rsidP="00A037C2">
      <w:pPr>
        <w:pStyle w:val="Heading1"/>
      </w:pPr>
      <w:r>
        <w:t>Outreach to Industry Leaders</w:t>
      </w:r>
    </w:p>
    <w:p w:rsidR="00D525A5" w:rsidRDefault="00D525A5" w:rsidP="004E3867">
      <w:r>
        <w:t xml:space="preserve">The </w:t>
      </w:r>
      <w:r w:rsidR="004E3867">
        <w:t xml:space="preserve">Connectathon is </w:t>
      </w:r>
      <w:r>
        <w:t xml:space="preserve">also </w:t>
      </w:r>
      <w:r w:rsidR="004E3867">
        <w:t xml:space="preserve">an opportunity </w:t>
      </w:r>
      <w:r>
        <w:t xml:space="preserve">for </w:t>
      </w:r>
      <w:r w:rsidR="004E3867">
        <w:t xml:space="preserve">SAMSHSA </w:t>
      </w:r>
      <w:r>
        <w:t xml:space="preserve">and </w:t>
      </w:r>
      <w:r w:rsidR="004E3867" w:rsidRPr="004E3867">
        <w:t xml:space="preserve">other industry players to </w:t>
      </w:r>
      <w:r w:rsidR="00496C19">
        <w:t xml:space="preserve">promote and </w:t>
      </w:r>
      <w:r w:rsidR="004E3867" w:rsidRPr="004E3867">
        <w:t>adopt standard-base</w:t>
      </w:r>
      <w:r>
        <w:t>d</w:t>
      </w:r>
      <w:r w:rsidR="004E3867" w:rsidRPr="004E3867">
        <w:t xml:space="preserve">, secure systems </w:t>
      </w:r>
      <w:r>
        <w:t xml:space="preserve">that are </w:t>
      </w:r>
      <w:r w:rsidR="004E3867" w:rsidRPr="004E3867">
        <w:t xml:space="preserve">capable of addressing </w:t>
      </w:r>
      <w:r w:rsidR="00496C19">
        <w:t xml:space="preserve">patients’ </w:t>
      </w:r>
      <w:r w:rsidR="004E3867" w:rsidRPr="004E3867">
        <w:t>privacy concerns.</w:t>
      </w:r>
      <w:r w:rsidR="004E3867">
        <w:t xml:space="preserve"> </w:t>
      </w:r>
      <w:r w:rsidR="00CC2A87">
        <w:t>S</w:t>
      </w:r>
      <w:r w:rsidR="00496C19">
        <w:t xml:space="preserve">AMHSA can use the Connectathon </w:t>
      </w:r>
      <w:r w:rsidR="004E3867">
        <w:t>to validate that HIEs are capable of leveraging IHE Profiles to protect the privacy of restricted patient records using the criteria outlined in the Data Segmentation for Privacy (DS4</w:t>
      </w:r>
      <w:r w:rsidR="00496C19">
        <w:t>P</w:t>
      </w:r>
      <w:r w:rsidR="004E3867">
        <w:t xml:space="preserve">) certification criteria specified by ONC for Meaningful Use 2015. </w:t>
      </w:r>
    </w:p>
    <w:p w:rsidR="004E3867" w:rsidRPr="004E3867" w:rsidRDefault="00A1591E" w:rsidP="004E3867">
      <w:r>
        <w:t>Privacy</w:t>
      </w:r>
      <w:r w:rsidR="00AA0517">
        <w:t>-</w:t>
      </w:r>
      <w:r>
        <w:t>secure</w:t>
      </w:r>
      <w:r w:rsidR="00CC2A87">
        <w:t xml:space="preserve"> </w:t>
      </w:r>
      <w:r w:rsidR="00AA0517">
        <w:t xml:space="preserve">systems </w:t>
      </w:r>
      <w:r>
        <w:t>are becoming a greater</w:t>
      </w:r>
      <w:r w:rsidR="00CC2A87">
        <w:t xml:space="preserve"> priority worldwide. </w:t>
      </w:r>
      <w:r w:rsidR="00B56202">
        <w:t>We learned at the Connectathon that i</w:t>
      </w:r>
      <w:r w:rsidR="00CC2A87">
        <w:t xml:space="preserve">mplementers in </w:t>
      </w:r>
      <w:r w:rsidR="004E3867" w:rsidRPr="004E3867">
        <w:t xml:space="preserve">Germany are </w:t>
      </w:r>
      <w:r w:rsidR="00CC2A87">
        <w:t xml:space="preserve">aware of SAMHSA’s efforts </w:t>
      </w:r>
      <w:r w:rsidR="00B56202">
        <w:t>pertaining to</w:t>
      </w:r>
      <w:r w:rsidR="00B56202" w:rsidRPr="004E3867">
        <w:t xml:space="preserve"> </w:t>
      </w:r>
      <w:r w:rsidR="004E3867" w:rsidRPr="004E3867">
        <w:t xml:space="preserve">42 CFR Part 2 </w:t>
      </w:r>
      <w:r w:rsidR="00B56202">
        <w:t xml:space="preserve">and have adopted </w:t>
      </w:r>
      <w:r w:rsidR="004E3867">
        <w:t>existing IHE Profiles and HL7 Specific</w:t>
      </w:r>
      <w:r w:rsidR="00CC2A87">
        <w:t>ation</w:t>
      </w:r>
      <w:r w:rsidR="00B56202">
        <w:t>s</w:t>
      </w:r>
      <w:r w:rsidR="00CC2A87">
        <w:t>. For instance, they are using a</w:t>
      </w:r>
      <w:r w:rsidR="004E3867">
        <w:t xml:space="preserve"> </w:t>
      </w:r>
      <w:r w:rsidR="004E3867" w:rsidRPr="001C2E87">
        <w:rPr>
          <w:i/>
        </w:rPr>
        <w:t>Privacy Consent CDA Implementation Guide</w:t>
      </w:r>
      <w:r>
        <w:t xml:space="preserve"> instead of </w:t>
      </w:r>
      <w:r w:rsidR="00B56202">
        <w:t xml:space="preserve">the </w:t>
      </w:r>
      <w:r w:rsidRPr="001C2E87">
        <w:rPr>
          <w:i/>
        </w:rPr>
        <w:t>IHE Basic Patient Privacy Consent</w:t>
      </w:r>
      <w:r w:rsidR="00CC2A87">
        <w:t>.</w:t>
      </w:r>
      <w:r>
        <w:t xml:space="preserve"> These </w:t>
      </w:r>
      <w:r w:rsidR="00646FA1">
        <w:t xml:space="preserve">efforts </w:t>
      </w:r>
      <w:r>
        <w:t>support US policies because</w:t>
      </w:r>
      <w:r w:rsidR="004E3867" w:rsidRPr="004E3867">
        <w:t xml:space="preserve"> SAMHSA helped </w:t>
      </w:r>
      <w:r w:rsidR="00CC2A87">
        <w:t xml:space="preserve">to </w:t>
      </w:r>
      <w:r w:rsidR="004E3867" w:rsidRPr="004E3867">
        <w:t>develop</w:t>
      </w:r>
      <w:r>
        <w:t xml:space="preserve"> </w:t>
      </w:r>
      <w:r w:rsidR="00646FA1">
        <w:t xml:space="preserve">the </w:t>
      </w:r>
      <w:r>
        <w:t>standards</w:t>
      </w:r>
      <w:r w:rsidR="004E3867">
        <w:t xml:space="preserve">. </w:t>
      </w:r>
      <w:r w:rsidR="00B56202">
        <w:t>This is one example how t</w:t>
      </w:r>
      <w:r w:rsidR="004E3867">
        <w:t>he Connectathon and other c</w:t>
      </w:r>
      <w:r w:rsidR="00BB7281">
        <w:t>ertification effort</w:t>
      </w:r>
      <w:r w:rsidR="00CC2A87">
        <w:t>s</w:t>
      </w:r>
      <w:r w:rsidR="00BB7281">
        <w:t xml:space="preserve"> bring together</w:t>
      </w:r>
      <w:r w:rsidR="004E3867">
        <w:t xml:space="preserve"> like-minded industry participants interested in combining behavioral health information into the continuum of care</w:t>
      </w:r>
      <w:r w:rsidR="00BB7281">
        <w:t xml:space="preserve"> including</w:t>
      </w:r>
      <w:r w:rsidR="004E3867">
        <w:t>:</w:t>
      </w:r>
    </w:p>
    <w:p w:rsidR="004E3867" w:rsidRPr="004E3867" w:rsidRDefault="00CC2A87" w:rsidP="004E3867">
      <w:pPr>
        <w:pStyle w:val="ListParagraph"/>
        <w:numPr>
          <w:ilvl w:val="0"/>
          <w:numId w:val="2"/>
        </w:numPr>
      </w:pPr>
      <w:r>
        <w:t>P</w:t>
      </w:r>
      <w:r w:rsidR="004E3867" w:rsidRPr="004E3867">
        <w:t xml:space="preserve">rivate sector </w:t>
      </w:r>
      <w:r>
        <w:t xml:space="preserve">stakeholders—such as </w:t>
      </w:r>
      <w:r w:rsidR="00DA7E1B">
        <w:t xml:space="preserve">HIE and </w:t>
      </w:r>
      <w:r w:rsidR="003209E7">
        <w:t xml:space="preserve">EHR, </w:t>
      </w:r>
      <w:r w:rsidR="00DA7E1B">
        <w:t xml:space="preserve">medical device, and clinical </w:t>
      </w:r>
      <w:r>
        <w:t>application vendors</w:t>
      </w:r>
    </w:p>
    <w:p w:rsidR="004E3867" w:rsidRDefault="00646FA1" w:rsidP="004E3867">
      <w:pPr>
        <w:pStyle w:val="ListParagraph"/>
        <w:numPr>
          <w:ilvl w:val="0"/>
          <w:numId w:val="2"/>
        </w:numPr>
      </w:pPr>
      <w:r>
        <w:t>P</w:t>
      </w:r>
      <w:r w:rsidR="004E3867" w:rsidRPr="004E3867">
        <w:t xml:space="preserve">ublic sector </w:t>
      </w:r>
      <w:r>
        <w:t xml:space="preserve">stakeholders—such as </w:t>
      </w:r>
      <w:r w:rsidR="004E3867" w:rsidRPr="004E3867">
        <w:t xml:space="preserve">state health departments, </w:t>
      </w:r>
      <w:r>
        <w:t xml:space="preserve">opioid treatment programs, the </w:t>
      </w:r>
      <w:r w:rsidR="004E3867" w:rsidRPr="004E3867">
        <w:t xml:space="preserve">NIST IT Laboratory, </w:t>
      </w:r>
      <w:r w:rsidR="003209E7">
        <w:t xml:space="preserve">the </w:t>
      </w:r>
      <w:r w:rsidR="004E3867" w:rsidRPr="004E3867">
        <w:t xml:space="preserve">Sequoia </w:t>
      </w:r>
      <w:r w:rsidR="004E3867">
        <w:t>Project</w:t>
      </w:r>
      <w:r w:rsidR="003209E7">
        <w:t xml:space="preserve"> </w:t>
      </w:r>
      <w:r w:rsidR="004E3867">
        <w:t xml:space="preserve">eHealth </w:t>
      </w:r>
      <w:r w:rsidR="003209E7">
        <w:t>Exchange</w:t>
      </w:r>
      <w:r w:rsidR="004E3867">
        <w:t xml:space="preserve"> </w:t>
      </w:r>
      <w:r w:rsidR="004E3867" w:rsidRPr="004E3867">
        <w:t> </w:t>
      </w:r>
    </w:p>
    <w:p w:rsidR="004E3867" w:rsidRPr="004E3867" w:rsidRDefault="003209E7" w:rsidP="00072D00">
      <w:pPr>
        <w:pStyle w:val="ListParagraph"/>
        <w:numPr>
          <w:ilvl w:val="0"/>
          <w:numId w:val="2"/>
        </w:numPr>
      </w:pPr>
      <w:r>
        <w:t>Open</w:t>
      </w:r>
      <w:r w:rsidR="004E3867" w:rsidRPr="004E3867">
        <w:t>-source</w:t>
      </w:r>
      <w:r w:rsidR="00BB7281">
        <w:t xml:space="preserve"> project</w:t>
      </w:r>
      <w:r>
        <w:t xml:space="preserve">s—such as </w:t>
      </w:r>
      <w:proofErr w:type="spellStart"/>
      <w:r w:rsidR="004E3867" w:rsidRPr="004E3867">
        <w:t>openH</w:t>
      </w:r>
      <w:r w:rsidR="004E3867">
        <w:t>IE</w:t>
      </w:r>
      <w:proofErr w:type="spellEnd"/>
      <w:r>
        <w:t xml:space="preserve">  and </w:t>
      </w:r>
      <w:r w:rsidR="004E3867" w:rsidRPr="004E3867">
        <w:t>SMART</w:t>
      </w:r>
      <w:r>
        <w:t>—</w:t>
      </w:r>
      <w:r w:rsidR="004E3867">
        <w:t>to accelerate the adoption of emerging standards</w:t>
      </w:r>
    </w:p>
    <w:p w:rsidR="000E1FD4" w:rsidRDefault="00BB7281" w:rsidP="004D74BE">
      <w:r>
        <w:t>Together, these stakeholder groups have the ability to push the envelope and advance patient privacy protection</w:t>
      </w:r>
      <w:r w:rsidR="00A343C6">
        <w:t xml:space="preserve"> of electronic records</w:t>
      </w:r>
      <w:r>
        <w:t xml:space="preserve"> to benefit all patients, not only those protected by specific</w:t>
      </w:r>
      <w:r w:rsidR="00A343C6">
        <w:t xml:space="preserve"> policies. Therefore a trusted, learning EHR system can </w:t>
      </w:r>
      <w:r w:rsidR="00AA0517">
        <w:t xml:space="preserve">be </w:t>
      </w:r>
      <w:r w:rsidR="00A343C6">
        <w:t>developed to address multiple objectives of improved treatment quality, patient safety, and effic</w:t>
      </w:r>
      <w:r w:rsidR="00AD1FD8">
        <w:t>iency.</w:t>
      </w:r>
    </w:p>
    <w:p w:rsidR="00081B39" w:rsidRDefault="00AD1FD8" w:rsidP="00AD1FD8">
      <w:pPr>
        <w:pStyle w:val="Heading2"/>
      </w:pPr>
      <w:r>
        <w:t>HIMSS Interoperability Showcase</w:t>
      </w:r>
    </w:p>
    <w:p w:rsidR="00081B39" w:rsidRDefault="00081B39" w:rsidP="00081B39">
      <w:r>
        <w:t xml:space="preserve">The </w:t>
      </w:r>
      <w:r w:rsidR="003209E7">
        <w:t xml:space="preserve">HIMSS Interoperability </w:t>
      </w:r>
      <w:r>
        <w:t xml:space="preserve">Showcase </w:t>
      </w:r>
      <w:r w:rsidR="009C5BFB">
        <w:t xml:space="preserve">was </w:t>
      </w:r>
      <w:r>
        <w:t xml:space="preserve">an </w:t>
      </w:r>
      <w:r w:rsidR="00052319">
        <w:t xml:space="preserve">opportunity to demonstrate how patients can be empowered to track and use their healthcare provider </w:t>
      </w:r>
      <w:r w:rsidR="003209E7">
        <w:t xml:space="preserve">and </w:t>
      </w:r>
      <w:r w:rsidR="009C5BFB">
        <w:t xml:space="preserve">illustrate </w:t>
      </w:r>
      <w:r w:rsidR="003209E7">
        <w:t xml:space="preserve">the </w:t>
      </w:r>
      <w:r w:rsidR="00052319">
        <w:t xml:space="preserve">continuity of care. The </w:t>
      </w:r>
      <w:r w:rsidR="003209E7">
        <w:lastRenderedPageBreak/>
        <w:t xml:space="preserve">demonstration </w:t>
      </w:r>
      <w:r w:rsidR="00052319">
        <w:t xml:space="preserve">scenario </w:t>
      </w:r>
      <w:r w:rsidR="00CA7278">
        <w:t>(Fig</w:t>
      </w:r>
      <w:r w:rsidR="00400D2D">
        <w:t xml:space="preserve">ure </w:t>
      </w:r>
      <w:r w:rsidR="00CA7278">
        <w:t xml:space="preserve">2) focuses on Sally Share, who receives treatment for </w:t>
      </w:r>
      <w:r w:rsidR="00AD1FD8">
        <w:t>opioid abuse, asthma, and depression</w:t>
      </w:r>
      <w:r w:rsidR="00CA7278">
        <w:t xml:space="preserve">. </w:t>
      </w:r>
      <w:r w:rsidR="00AD1FD8">
        <w:t xml:space="preserve">Her providers submit Sally’s visit summaries to the </w:t>
      </w:r>
      <w:r w:rsidR="003209E7">
        <w:t>health information organization</w:t>
      </w:r>
      <w:r w:rsidR="00400D2D">
        <w:t xml:space="preserve"> (1)</w:t>
      </w:r>
      <w:r w:rsidR="003209E7">
        <w:t xml:space="preserve"> </w:t>
      </w:r>
      <w:r w:rsidR="00AD1FD8">
        <w:t xml:space="preserve">using </w:t>
      </w:r>
      <w:r w:rsidR="003209E7">
        <w:t xml:space="preserve">the </w:t>
      </w:r>
      <w:r w:rsidR="00AD1FD8">
        <w:t xml:space="preserve">IHE XDS Registry/Repository. Using </w:t>
      </w:r>
      <w:r w:rsidR="009C5BFB">
        <w:t xml:space="preserve">the </w:t>
      </w:r>
      <w:proofErr w:type="spellStart"/>
      <w:r w:rsidR="00AD1FD8">
        <w:t>MyHealthCompass</w:t>
      </w:r>
      <w:proofErr w:type="spellEnd"/>
      <w:r w:rsidR="00AD1FD8">
        <w:t xml:space="preserve"> </w:t>
      </w:r>
      <w:r w:rsidR="009C5BFB">
        <w:t>application</w:t>
      </w:r>
      <w:r w:rsidR="00400D2D">
        <w:t xml:space="preserve"> (2)</w:t>
      </w:r>
      <w:r w:rsidR="009C5BFB">
        <w:t xml:space="preserve">, </w:t>
      </w:r>
      <w:r w:rsidR="00AD1FD8">
        <w:t xml:space="preserve">Sally is able </w:t>
      </w:r>
      <w:r w:rsidR="00400D2D">
        <w:t xml:space="preserve">access and </w:t>
      </w:r>
      <w:r w:rsidR="00AD1FD8">
        <w:t xml:space="preserve">retrieve her health information from the HIE </w:t>
      </w:r>
      <w:r w:rsidR="00400D2D">
        <w:t xml:space="preserve">and </w:t>
      </w:r>
      <w:r w:rsidR="00AD1FD8">
        <w:t xml:space="preserve">to track her </w:t>
      </w:r>
      <w:r w:rsidR="009C5BFB">
        <w:t xml:space="preserve">methadone </w:t>
      </w:r>
      <w:r w:rsidR="00CA7278">
        <w:t xml:space="preserve">dosage, manage her depression, and </w:t>
      </w:r>
      <w:r w:rsidR="009C5BFB">
        <w:t xml:space="preserve">manage </w:t>
      </w:r>
      <w:r w:rsidR="00AD1FD8">
        <w:t xml:space="preserve">her asthma. </w:t>
      </w:r>
    </w:p>
    <w:p w:rsidR="00AD1FD8" w:rsidRDefault="00805A0B" w:rsidP="00081B39">
      <w:r>
        <w:t xml:space="preserve">When Sally </w:t>
      </w:r>
      <w:r w:rsidR="00CA7278">
        <w:t>must</w:t>
      </w:r>
      <w:r>
        <w:t xml:space="preserve"> travel</w:t>
      </w:r>
      <w:r w:rsidR="00CA7278">
        <w:t xml:space="preserve"> out</w:t>
      </w:r>
      <w:r w:rsidR="00FC7326">
        <w:t>side</w:t>
      </w:r>
      <w:r w:rsidR="00CA7278">
        <w:t xml:space="preserve"> of her area and </w:t>
      </w:r>
      <w:r>
        <w:t>is unable see her local</w:t>
      </w:r>
      <w:r w:rsidR="00CA7278">
        <w:t xml:space="preserve"> opioid</w:t>
      </w:r>
      <w:r>
        <w:t xml:space="preserve"> treatment provider, she creates a consent authorization</w:t>
      </w:r>
      <w:r w:rsidR="00CA7278">
        <w:t xml:space="preserve"> (3)</w:t>
      </w:r>
      <w:r>
        <w:t xml:space="preserve"> to allow the HIE to share her information with an alternative provider who will assist Sally </w:t>
      </w:r>
      <w:r w:rsidR="00FC7326">
        <w:t xml:space="preserve">in the </w:t>
      </w:r>
      <w:r>
        <w:t>continu</w:t>
      </w:r>
      <w:r w:rsidR="00FC7326">
        <w:t>ation of</w:t>
      </w:r>
      <w:r>
        <w:t xml:space="preserve"> her treatment </w:t>
      </w:r>
      <w:r w:rsidR="00CA7278">
        <w:t xml:space="preserve">while away. The electronic consent allows her alternative provider to access her opioid dosage information </w:t>
      </w:r>
      <w:r w:rsidR="003D5B2D">
        <w:t>(4)</w:t>
      </w:r>
      <w:r w:rsidR="00B96D66">
        <w:t>, thereby</w:t>
      </w:r>
      <w:r w:rsidR="003D5B2D">
        <w:t xml:space="preserve"> </w:t>
      </w:r>
      <w:r w:rsidR="00CA7278">
        <w:t>continu</w:t>
      </w:r>
      <w:r w:rsidR="00B96D66">
        <w:t>ing</w:t>
      </w:r>
      <w:r w:rsidR="00CA7278">
        <w:t xml:space="preserve"> her recovery.</w:t>
      </w:r>
    </w:p>
    <w:p w:rsidR="00AD1FD8" w:rsidRDefault="009C5BFB" w:rsidP="009C5BFB">
      <w:r w:rsidRPr="009C5BFB">
        <w:rPr>
          <w:noProof/>
        </w:rPr>
        <w:drawing>
          <wp:inline distT="0" distB="0" distL="0" distR="0" wp14:anchorId="3C6F1D6A" wp14:editId="0DC83863">
            <wp:extent cx="5943600" cy="334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clrChange>
                        <a:clrFrom>
                          <a:srgbClr val="F9F3DD"/>
                        </a:clrFrom>
                        <a:clrTo>
                          <a:srgbClr val="F9F3D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2A" w:rsidRDefault="00AD1FD8" w:rsidP="00344ED6">
      <w:pPr>
        <w:pStyle w:val="Caption"/>
        <w:jc w:val="center"/>
      </w:pPr>
      <w:r>
        <w:t xml:space="preserve">Figure </w:t>
      </w:r>
      <w:r w:rsidR="00CB5117">
        <w:fldChar w:fldCharType="begin"/>
      </w:r>
      <w:r w:rsidR="00CB5117">
        <w:instrText xml:space="preserve"> SEQ Figure \* ARABIC </w:instrText>
      </w:r>
      <w:r w:rsidR="00CB5117">
        <w:fldChar w:fldCharType="separate"/>
      </w:r>
      <w:r>
        <w:rPr>
          <w:noProof/>
        </w:rPr>
        <w:t>2</w:t>
      </w:r>
      <w:r w:rsidR="00CB5117">
        <w:rPr>
          <w:noProof/>
        </w:rPr>
        <w:fldChar w:fldCharType="end"/>
      </w:r>
      <w:r>
        <w:t>: HIMSS Interoperability Showcase Demonstration Scenario</w:t>
      </w:r>
    </w:p>
    <w:p w:rsidR="00A1591E" w:rsidRDefault="00532308" w:rsidP="00A037C2">
      <w:pPr>
        <w:pStyle w:val="Heading1"/>
      </w:pPr>
      <w:r>
        <w:t>Next Steps: FHIR Based Services</w:t>
      </w:r>
      <w:r w:rsidR="00A037C2">
        <w:t xml:space="preserve"> as an Abstraction Layer for Application Development</w:t>
      </w:r>
    </w:p>
    <w:p w:rsidR="00DA5D18" w:rsidRPr="008040DD" w:rsidRDefault="008040DD" w:rsidP="008040DD">
      <w:r>
        <w:t>IHE-based integration profiles</w:t>
      </w:r>
      <w:r w:rsidR="00A91A6F">
        <w:t xml:space="preserve"> are</w:t>
      </w:r>
      <w:r>
        <w:t xml:space="preserve"> based </w:t>
      </w:r>
      <w:r w:rsidR="00400D2D">
        <w:t xml:space="preserve">on </w:t>
      </w:r>
      <w:r w:rsidR="003831FD">
        <w:t xml:space="preserve">the </w:t>
      </w:r>
      <w:r w:rsidR="00A91A6F">
        <w:t>Simple Objects Access Protocol</w:t>
      </w:r>
      <w:r w:rsidR="00400D2D">
        <w:t xml:space="preserve"> (SOAP)</w:t>
      </w:r>
      <w:r w:rsidR="00A91A6F">
        <w:t xml:space="preserve">, a proven solution for XML-based messaging. </w:t>
      </w:r>
      <w:r w:rsidR="00AF37E8">
        <w:t>However</w:t>
      </w:r>
      <w:r w:rsidR="003831FD">
        <w:t>, services-</w:t>
      </w:r>
      <w:r w:rsidR="00AF37E8">
        <w:t>based Representational State Transfer</w:t>
      </w:r>
      <w:r w:rsidR="003831FD">
        <w:t xml:space="preserve"> (REST</w:t>
      </w:r>
      <w:r w:rsidR="00AF37E8">
        <w:t>)</w:t>
      </w:r>
      <w:r w:rsidR="003831FD">
        <w:t xml:space="preserve">, </w:t>
      </w:r>
      <w:r w:rsidR="00AF37E8">
        <w:t>using Hypertext Transfer Protocol</w:t>
      </w:r>
      <w:r w:rsidR="003831FD">
        <w:t xml:space="preserve"> (HTTP</w:t>
      </w:r>
      <w:r w:rsidR="00AF37E8">
        <w:t>) has reduced the complexity of messaging protocols</w:t>
      </w:r>
      <w:r w:rsidR="003831FD">
        <w:t xml:space="preserve">, such as </w:t>
      </w:r>
      <w:r w:rsidR="00AF37E8">
        <w:t xml:space="preserve">ebXML used by IHE ITI XDS.b. </w:t>
      </w:r>
      <w:r w:rsidR="000E1FD4">
        <w:t>This simplification</w:t>
      </w:r>
      <w:r w:rsidR="00A91A6F">
        <w:t xml:space="preserve"> can accelerate </w:t>
      </w:r>
      <w:r w:rsidR="00E06A0C">
        <w:t xml:space="preserve">the </w:t>
      </w:r>
      <w:r w:rsidR="00A91A6F">
        <w:t>development</w:t>
      </w:r>
      <w:r w:rsidR="00E06A0C">
        <w:t xml:space="preserve"> and </w:t>
      </w:r>
      <w:r w:rsidR="00A91A6F">
        <w:t>deployment</w:t>
      </w:r>
      <w:r w:rsidR="00E06A0C">
        <w:t xml:space="preserve"> of </w:t>
      </w:r>
      <w:r w:rsidR="000E1FD4">
        <w:t>new services</w:t>
      </w:r>
      <w:r w:rsidR="00A91A6F">
        <w:t>.</w:t>
      </w:r>
      <w:r w:rsidR="003831FD">
        <w:t xml:space="preserve"> </w:t>
      </w:r>
      <w:r w:rsidR="000E1FD4">
        <w:t xml:space="preserve">RESTful services are easily implemented by applications and provide an efficient way </w:t>
      </w:r>
      <w:r w:rsidR="003831FD">
        <w:t xml:space="preserve">to deliver </w:t>
      </w:r>
      <w:r w:rsidR="000E1FD4">
        <w:t>business capabilities or resources to application users. For example, Patient Registration as a capability may be provided by a RESTful service</w:t>
      </w:r>
      <w:r w:rsidR="00805A0B">
        <w:t>. The application can use the Patient service to s</w:t>
      </w:r>
      <w:r w:rsidR="000E1FD4">
        <w:t xml:space="preserve">earch, create, or update a </w:t>
      </w:r>
      <w:r w:rsidR="006F6112">
        <w:t>P</w:t>
      </w:r>
      <w:r w:rsidR="00805A0B">
        <w:t xml:space="preserve">atient </w:t>
      </w:r>
      <w:r w:rsidR="006F6112">
        <w:t>R</w:t>
      </w:r>
      <w:r w:rsidR="00805A0B">
        <w:t>egistration. The IExHub invokes the relevant IHE-conformant SOAP services provided by the IHE. HL7 Fast Healthcare Interoperability Resources (FHIR) specification</w:t>
      </w:r>
      <w:r w:rsidR="009861CE">
        <w:t xml:space="preserve"> (initially Draft </w:t>
      </w:r>
      <w:r w:rsidR="009861CE">
        <w:lastRenderedPageBreak/>
        <w:t>Standard for Trial Use Version 2- DSTU2)</w:t>
      </w:r>
      <w:r w:rsidR="00805A0B">
        <w:t xml:space="preserve"> defines a set of healthcare-specific RESTful services that are easily implemented by application developers. The semantic consistency between the HIE and application is maintained by the IExHub using a set of standard</w:t>
      </w:r>
      <w:r w:rsidR="00A51DDA">
        <w:t>s</w:t>
      </w:r>
      <w:r w:rsidR="00805A0B">
        <w:t>-base</w:t>
      </w:r>
      <w:r w:rsidR="00A51DDA">
        <w:t>d</w:t>
      </w:r>
      <w:r w:rsidR="00805A0B">
        <w:t xml:space="preserve"> semantic maps </w:t>
      </w:r>
      <w:r w:rsidR="00151073">
        <w:t xml:space="preserve">based on the concepts in the </w:t>
      </w:r>
      <w:r w:rsidR="00805A0B">
        <w:t>OMG</w:t>
      </w:r>
      <w:r w:rsidR="00151073">
        <w:t>’s</w:t>
      </w:r>
      <w:r w:rsidR="00805A0B">
        <w:t xml:space="preserve"> Model-Driven Message Interoperability</w:t>
      </w:r>
      <w:r w:rsidR="00151073">
        <w:t xml:space="preserve"> specification</w:t>
      </w:r>
      <w:r w:rsidR="00805A0B">
        <w:t>.</w:t>
      </w:r>
    </w:p>
    <w:p w:rsidR="00532308" w:rsidRDefault="00532308" w:rsidP="003C7306">
      <w:pPr>
        <w:jc w:val="center"/>
      </w:pPr>
    </w:p>
    <w:p w:rsidR="000E1FD4" w:rsidRDefault="001C2E87" w:rsidP="000E1FD4">
      <w:pPr>
        <w:keepNext/>
        <w:jc w:val="center"/>
      </w:pPr>
      <w:r>
        <w:rPr>
          <w:noProof/>
        </w:rPr>
        <w:drawing>
          <wp:inline distT="0" distB="0" distL="0" distR="0" wp14:anchorId="448BF714" wp14:editId="48928305">
            <wp:extent cx="5943600" cy="5674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xHub Component Architec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08" w:rsidRPr="00532308" w:rsidRDefault="000E1FD4" w:rsidP="000E1FD4">
      <w:pPr>
        <w:pStyle w:val="Caption"/>
        <w:jc w:val="center"/>
      </w:pPr>
      <w:r>
        <w:t xml:space="preserve">Figure </w:t>
      </w:r>
      <w:r w:rsidR="00CB5117">
        <w:fldChar w:fldCharType="begin"/>
      </w:r>
      <w:r w:rsidR="00CB5117">
        <w:instrText xml:space="preserve"> SEQ Figure \* ARABIC </w:instrText>
      </w:r>
      <w:r w:rsidR="00CB5117">
        <w:fldChar w:fldCharType="separate"/>
      </w:r>
      <w:r w:rsidR="00AD1FD8">
        <w:rPr>
          <w:noProof/>
        </w:rPr>
        <w:t>3</w:t>
      </w:r>
      <w:r w:rsidR="00CB5117">
        <w:rPr>
          <w:noProof/>
        </w:rPr>
        <w:fldChar w:fldCharType="end"/>
      </w:r>
      <w:r>
        <w:t xml:space="preserve">: FHIR REST </w:t>
      </w:r>
      <w:r w:rsidR="006F6112">
        <w:t>S</w:t>
      </w:r>
      <w:r>
        <w:t xml:space="preserve">ervices can </w:t>
      </w:r>
      <w:r w:rsidR="006F6112">
        <w:t>P</w:t>
      </w:r>
      <w:r>
        <w:t xml:space="preserve">rovide </w:t>
      </w:r>
      <w:r w:rsidR="006F6112">
        <w:t>S</w:t>
      </w:r>
      <w:r>
        <w:t>imple</w:t>
      </w:r>
      <w:r w:rsidR="00866BDF">
        <w:t xml:space="preserve"> </w:t>
      </w:r>
      <w:r w:rsidR="006F6112">
        <w:t>A</w:t>
      </w:r>
      <w:r w:rsidR="00866BDF">
        <w:t>pplication</w:t>
      </w:r>
      <w:r>
        <w:t xml:space="preserve"> </w:t>
      </w:r>
      <w:r w:rsidR="006F6112">
        <w:t>I</w:t>
      </w:r>
      <w:r>
        <w:t xml:space="preserve">nterfaces to </w:t>
      </w:r>
      <w:r w:rsidR="006F6112">
        <w:t>A</w:t>
      </w:r>
      <w:r>
        <w:t>ccess an HIE</w:t>
      </w:r>
    </w:p>
    <w:p w:rsidR="00D80AD7" w:rsidRPr="00D80AD7" w:rsidRDefault="00D80AD7">
      <w:r>
        <w:t>The IExHub supports a set of FHIR resources</w:t>
      </w:r>
      <w:r w:rsidR="006E5AF3">
        <w:t xml:space="preserve"> to enable applications to access HIE functionality:</w:t>
      </w:r>
    </w:p>
    <w:p w:rsidR="00366A4A" w:rsidRDefault="00366A4A">
      <w:r w:rsidRPr="00366A4A">
        <w:rPr>
          <w:b/>
        </w:rPr>
        <w:t>Patient Registration</w:t>
      </w:r>
      <w:r w:rsidR="00D80AD7">
        <w:rPr>
          <w:b/>
        </w:rPr>
        <w:t xml:space="preserve"> uses FHIR Patient</w:t>
      </w:r>
      <w:r w:rsidRPr="00366A4A">
        <w:rPr>
          <w:b/>
        </w:rPr>
        <w:t>:</w:t>
      </w:r>
      <w:r>
        <w:t xml:space="preserve"> allows the application to search for existing patients or add patients to the HIE.</w:t>
      </w:r>
    </w:p>
    <w:p w:rsidR="00366A4A" w:rsidRDefault="00366A4A">
      <w:r w:rsidRPr="00366A4A">
        <w:rPr>
          <w:b/>
        </w:rPr>
        <w:lastRenderedPageBreak/>
        <w:t>Consent Management</w:t>
      </w:r>
      <w:r w:rsidR="00D80AD7">
        <w:rPr>
          <w:b/>
        </w:rPr>
        <w:t xml:space="preserve"> uses FHIR Contract</w:t>
      </w:r>
      <w:r w:rsidRPr="00366A4A">
        <w:rPr>
          <w:b/>
        </w:rPr>
        <w:t>:</w:t>
      </w:r>
      <w:r>
        <w:t xml:space="preserve"> allows the application to create privacy consents and submit them to the HIE as CDA document or other formats as requested.</w:t>
      </w:r>
    </w:p>
    <w:p w:rsidR="009861CE" w:rsidRDefault="009861CE">
      <w:r>
        <w:t>Next option year:</w:t>
      </w:r>
    </w:p>
    <w:p w:rsidR="00D80AD7" w:rsidRDefault="00D80AD7">
      <w:r w:rsidRPr="00C46A70">
        <w:rPr>
          <w:b/>
        </w:rPr>
        <w:t>Document Submission and Retrieval</w:t>
      </w:r>
      <w:r w:rsidR="00C46A70" w:rsidRPr="00C46A70">
        <w:rPr>
          <w:b/>
        </w:rPr>
        <w:t xml:space="preserve"> uses FHIR Bundle and FHIR Composition:</w:t>
      </w:r>
      <w:r w:rsidR="00C46A70">
        <w:t xml:space="preserve"> allows the application to both create and retrieve documents using FHIR resources to populate and decode CDA documents.</w:t>
      </w:r>
    </w:p>
    <w:p w:rsidR="009861CE" w:rsidRDefault="009861CE">
      <w:r w:rsidRPr="009861CE">
        <w:rPr>
          <w:b/>
        </w:rPr>
        <w:t>Accounting for Disclosures:</w:t>
      </w:r>
      <w:r>
        <w:t xml:space="preserve"> allows the application to log events related to the disclosure of patient identifiable health information.</w:t>
      </w:r>
    </w:p>
    <w:p w:rsidR="00A037C2" w:rsidRDefault="00A037C2">
      <w:r>
        <w:t xml:space="preserve">FHIR services provide a simple representation of the information exchange by an application with the IExHub. The following structure used to “create” a patient is translated into a PIX “add” payload and exchange using SOAP transaction with an HIE:  </w:t>
      </w:r>
    </w:p>
    <w:p w:rsidR="00A037C2" w:rsidRDefault="00A037C2" w:rsidP="007C6B47">
      <w:pPr>
        <w:pStyle w:val="Caption"/>
        <w:keepNext/>
        <w:jc w:val="center"/>
      </w:pPr>
      <w:r>
        <w:t xml:space="preserve">Table </w:t>
      </w:r>
      <w:fldSimple w:instr=" SEQ Table \* ARABIC ">
        <w:r w:rsidR="00484105">
          <w:rPr>
            <w:noProof/>
          </w:rPr>
          <w:t>1</w:t>
        </w:r>
      </w:fldSimple>
      <w:r>
        <w:t>: FHIR Patient resource example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7221"/>
      </w:tblGrid>
      <w:tr w:rsidR="00A037C2" w:rsidTr="007C6B47">
        <w:trPr>
          <w:trHeight w:val="7658"/>
        </w:trPr>
        <w:tc>
          <w:tcPr>
            <w:tcW w:w="7221" w:type="dxa"/>
          </w:tcPr>
          <w:p w:rsidR="00A037C2" w:rsidRDefault="007C6B47" w:rsidP="007C6B47">
            <w:r>
              <w:object w:dxaOrig="7005" w:dyaOrig="7980">
                <v:shape id="_x0000_i1027" type="#_x0000_t75" style="width:350.25pt;height:399pt" o:ole="">
                  <v:imagedata r:id="rId15" o:title=""/>
                </v:shape>
                <o:OLEObject Type="Embed" ProgID="PBrush" ShapeID="_x0000_i1027" DrawAspect="Content" ObjectID="_1523436129" r:id="rId16"/>
              </w:object>
            </w:r>
          </w:p>
        </w:tc>
      </w:tr>
    </w:tbl>
    <w:p w:rsidR="00A037C2" w:rsidRDefault="00A037C2"/>
    <w:p w:rsidR="00A037C2" w:rsidRDefault="00A037C2">
      <w:r>
        <w:lastRenderedPageBreak/>
        <w:t xml:space="preserve">Similarly, the patient’s consent can be created by an application as FHIR Contract resource (both eXtensible Markup Language – XML and </w:t>
      </w:r>
      <w:proofErr w:type="spellStart"/>
      <w:r>
        <w:t>Javascript</w:t>
      </w:r>
      <w:proofErr w:type="spellEnd"/>
      <w:r>
        <w:t xml:space="preserve"> Object Notation – JSON are supported). IExHub leverages the latest/current FHIR specification (DSTU2) and the HAPI FHIR Java library that implements this specification. The HAPI FHIR application programming  interface (API) allows application developers to </w:t>
      </w:r>
      <w:r w:rsidR="007C6B47">
        <w:t>instantiate</w:t>
      </w:r>
      <w:r>
        <w:t xml:space="preserve"> object and invoke the FHIR RESTful services supported </w:t>
      </w:r>
      <w:proofErr w:type="spellStart"/>
      <w:r>
        <w:t>y</w:t>
      </w:r>
      <w:proofErr w:type="spellEnd"/>
      <w:r>
        <w:t xml:space="preserve"> the IExHub (i.e. FHIR Patient, FHIR Contract, and – in OY2- FHIR Bundle/Composition and FHIR Audit Event) </w:t>
      </w:r>
    </w:p>
    <w:p w:rsidR="00484105" w:rsidRDefault="00484105" w:rsidP="00484105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FHIR Contract resource used to represent a basic Privacy Consent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B47" w:rsidTr="007C6B47">
        <w:tc>
          <w:tcPr>
            <w:tcW w:w="9576" w:type="dxa"/>
          </w:tcPr>
          <w:p w:rsidR="007C6B47" w:rsidRDefault="00484105">
            <w:r>
              <w:object w:dxaOrig="8025" w:dyaOrig="11235">
                <v:shape id="_x0000_i1026" type="#_x0000_t75" style="width:366pt;height:512.25pt" o:ole="">
                  <v:imagedata r:id="rId17" o:title=""/>
                </v:shape>
                <o:OLEObject Type="Embed" ProgID="PBrush" ShapeID="_x0000_i1026" DrawAspect="Content" ObjectID="_1523436130" r:id="rId18"/>
              </w:object>
            </w:r>
          </w:p>
        </w:tc>
      </w:tr>
    </w:tbl>
    <w:p w:rsidR="00FC0350" w:rsidRDefault="00FC0350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DA7E1B" w:rsidRDefault="00DA7E1B" w:rsidP="00DA7E1B">
      <w:pPr>
        <w:pStyle w:val="Heading2"/>
      </w:pPr>
      <w:r>
        <w:lastRenderedPageBreak/>
        <w:t>References</w:t>
      </w:r>
    </w:p>
    <w:p w:rsidR="00DA7E1B" w:rsidRDefault="00DA7E1B" w:rsidP="00DA7E1B"/>
    <w:p w:rsidR="00DA7E1B" w:rsidRDefault="00A343C6" w:rsidP="00DA7E1B">
      <w:pPr>
        <w:pStyle w:val="Heading3"/>
      </w:pPr>
      <w:r>
        <w:t xml:space="preserve">IHE NA 2016 </w:t>
      </w:r>
      <w:r w:rsidR="00DA7E1B">
        <w:t>Connectathon Results</w:t>
      </w:r>
    </w:p>
    <w:p w:rsidR="00DA7E1B" w:rsidRDefault="006F6112" w:rsidP="00DA7E1B">
      <w:r>
        <w:t>Table 1 below summarizes the IExHub business requirements and the corresponding IHE Integration Profiles.</w:t>
      </w:r>
    </w:p>
    <w:p w:rsidR="00DA7E1B" w:rsidRDefault="00DA7E1B" w:rsidP="00DA7E1B">
      <w:pPr>
        <w:pStyle w:val="Caption"/>
        <w:keepNext/>
      </w:pPr>
      <w:r>
        <w:t xml:space="preserve">Table </w:t>
      </w:r>
      <w:r w:rsidR="00CB5117">
        <w:fldChar w:fldCharType="begin"/>
      </w:r>
      <w:r w:rsidR="00CB5117">
        <w:instrText xml:space="preserve"> SEQ Table \* ARABIC </w:instrText>
      </w:r>
      <w:r w:rsidR="00CB5117">
        <w:fldChar w:fldCharType="separate"/>
      </w:r>
      <w:r w:rsidR="00484105">
        <w:rPr>
          <w:noProof/>
        </w:rPr>
        <w:t>3</w:t>
      </w:r>
      <w:r w:rsidR="00CB5117">
        <w:rPr>
          <w:noProof/>
        </w:rPr>
        <w:fldChar w:fldCharType="end"/>
      </w:r>
      <w:r>
        <w:t xml:space="preserve">: IExHub Business Requirements and </w:t>
      </w:r>
      <w:r w:rsidR="006F6112">
        <w:t>C</w:t>
      </w:r>
      <w:r>
        <w:t>orresponding IHE Integration Profiles</w:t>
      </w:r>
    </w:p>
    <w:tbl>
      <w:tblPr>
        <w:tblW w:w="9480" w:type="dxa"/>
        <w:tblInd w:w="-52" w:type="dxa"/>
        <w:tblBorders>
          <w:top w:val="single" w:sz="6" w:space="0" w:color="D6D6D6"/>
          <w:lef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8"/>
        <w:gridCol w:w="3966"/>
        <w:gridCol w:w="2416"/>
      </w:tblGrid>
      <w:tr w:rsidR="00DA7E1B" w:rsidRPr="00017AAB" w:rsidTr="006F6112">
        <w:trPr>
          <w:tblHeader/>
        </w:trPr>
        <w:tc>
          <w:tcPr>
            <w:tcW w:w="3098" w:type="dxa"/>
            <w:tcBorders>
              <w:right w:val="single" w:sz="6" w:space="0" w:color="D6D6D6"/>
            </w:tcBorders>
            <w:shd w:val="clear" w:color="auto" w:fill="E9F0FA"/>
          </w:tcPr>
          <w:p w:rsidR="00DA7E1B" w:rsidRPr="00DC039B" w:rsidRDefault="00DA7E1B" w:rsidP="00072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DC03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Requirement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s Met</w:t>
            </w:r>
            <w:r w:rsidRPr="00DC03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 </w:t>
            </w:r>
          </w:p>
        </w:tc>
        <w:tc>
          <w:tcPr>
            <w:tcW w:w="3966" w:type="dxa"/>
            <w:tcBorders>
              <w:right w:val="single" w:sz="6" w:space="0" w:color="D6D6D6"/>
            </w:tcBorders>
            <w:shd w:val="clear" w:color="auto" w:fill="E9F0F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7E1B" w:rsidRPr="00DC039B" w:rsidRDefault="00DA7E1B" w:rsidP="00072D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IHE </w:t>
            </w:r>
            <w:r w:rsidRPr="00DC03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Integration Profiles</w:t>
            </w:r>
          </w:p>
        </w:tc>
        <w:tc>
          <w:tcPr>
            <w:tcW w:w="2416" w:type="dxa"/>
            <w:tcBorders>
              <w:right w:val="single" w:sz="6" w:space="0" w:color="D6D6D6"/>
            </w:tcBorders>
            <w:shd w:val="clear" w:color="auto" w:fill="E9F0FA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7E1B" w:rsidRPr="00DC039B" w:rsidRDefault="00DA7E1B" w:rsidP="006F61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DC03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System Role (</w:t>
            </w:r>
            <w:r w:rsidR="006F611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A</w:t>
            </w:r>
            <w:r w:rsidRPr="00DC03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ctor)</w:t>
            </w:r>
          </w:p>
        </w:tc>
      </w:tr>
      <w:tr w:rsidR="00DA7E1B" w:rsidRPr="00017AAB" w:rsidTr="006F6112">
        <w:tc>
          <w:tcPr>
            <w:tcW w:w="3098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:rsidR="00DA7E1B" w:rsidRPr="00036763" w:rsidRDefault="00DA7E1B" w:rsidP="00072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6"/>
              </w:rPr>
            </w:pPr>
            <w:r w:rsidRPr="00036763">
              <w:rPr>
                <w:rFonts w:ascii="Arial" w:hAnsi="Arial" w:cs="Arial"/>
                <w:sz w:val="16"/>
              </w:rPr>
              <w:t>Account of  Disclosure (audit event</w:t>
            </w:r>
            <w:r>
              <w:rPr>
                <w:rFonts w:ascii="Arial" w:hAnsi="Arial" w:cs="Arial"/>
                <w:sz w:val="16"/>
              </w:rPr>
              <w:t>s logging</w:t>
            </w:r>
            <w:r w:rsidRPr="00036763">
              <w:rPr>
                <w:rFonts w:ascii="Arial" w:hAnsi="Arial" w:cs="Arial"/>
                <w:sz w:val="16"/>
              </w:rPr>
              <w:t>)</w:t>
            </w:r>
          </w:p>
          <w:p w:rsidR="00DA7E1B" w:rsidRDefault="00DA7E1B" w:rsidP="00072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Node Authentication</w:t>
            </w:r>
          </w:p>
          <w:p w:rsidR="00DA7E1B" w:rsidRPr="00036763" w:rsidRDefault="00DA7E1B" w:rsidP="00072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6"/>
              </w:rPr>
            </w:pPr>
            <w:r w:rsidRPr="00036763">
              <w:rPr>
                <w:rFonts w:ascii="Arial" w:hAnsi="Arial" w:cs="Arial"/>
                <w:sz w:val="16"/>
              </w:rPr>
              <w:t xml:space="preserve">Transport Level Security </w:t>
            </w:r>
            <w:r>
              <w:rPr>
                <w:rFonts w:ascii="Arial" w:hAnsi="Arial" w:cs="Arial"/>
                <w:sz w:val="16"/>
              </w:rPr>
              <w:t xml:space="preserve"> (TLS)</w:t>
            </w:r>
          </w:p>
        </w:tc>
        <w:tc>
          <w:tcPr>
            <w:tcW w:w="3966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7E1B" w:rsidRPr="00017AAB" w:rsidRDefault="00CB5117" w:rsidP="00072D0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9" w:history="1">
              <w:r w:rsidR="00DA7E1B" w:rsidRPr="00017AAB">
                <w:rPr>
                  <w:rFonts w:ascii="Arial" w:eastAsia="Times New Roman" w:hAnsi="Arial" w:cs="Arial"/>
                  <w:sz w:val="17"/>
                  <w:szCs w:val="17"/>
                </w:rPr>
                <w:t>ATNA - Audit Trail and Node Authentication</w:t>
              </w:r>
            </w:hyperlink>
          </w:p>
        </w:tc>
        <w:tc>
          <w:tcPr>
            <w:tcW w:w="2416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7E1B" w:rsidRPr="00017AAB" w:rsidRDefault="00CB5117" w:rsidP="00072D0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0" w:history="1">
              <w:r w:rsidR="00DA7E1B" w:rsidRPr="00017AAB">
                <w:rPr>
                  <w:rFonts w:ascii="Arial" w:eastAsia="Times New Roman" w:hAnsi="Arial" w:cs="Arial"/>
                  <w:sz w:val="17"/>
                  <w:szCs w:val="17"/>
                </w:rPr>
                <w:t>Secure Node</w:t>
              </w:r>
            </w:hyperlink>
          </w:p>
        </w:tc>
      </w:tr>
      <w:tr w:rsidR="00DA7E1B" w:rsidRPr="00017AAB" w:rsidTr="006F6112">
        <w:tc>
          <w:tcPr>
            <w:tcW w:w="3098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:rsidR="00DA7E1B" w:rsidRDefault="00DA7E1B" w:rsidP="00072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Updates the time across systems</w:t>
            </w:r>
          </w:p>
          <w:p w:rsidR="00DA7E1B" w:rsidRPr="00A229B1" w:rsidRDefault="00DA7E1B" w:rsidP="00072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NTP Time Synchronization</w:t>
            </w:r>
          </w:p>
        </w:tc>
        <w:tc>
          <w:tcPr>
            <w:tcW w:w="3966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7E1B" w:rsidRPr="00017AAB" w:rsidRDefault="00CB5117" w:rsidP="00072D0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1" w:history="1">
              <w:r w:rsidR="00DA7E1B" w:rsidRPr="00017AAB">
                <w:rPr>
                  <w:rFonts w:ascii="Arial" w:eastAsia="Times New Roman" w:hAnsi="Arial" w:cs="Arial"/>
                  <w:sz w:val="17"/>
                  <w:szCs w:val="17"/>
                </w:rPr>
                <w:t>CT - Consistent Time</w:t>
              </w:r>
            </w:hyperlink>
          </w:p>
        </w:tc>
        <w:tc>
          <w:tcPr>
            <w:tcW w:w="2416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7E1B" w:rsidRPr="00017AAB" w:rsidRDefault="00CB5117" w:rsidP="00072D0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2" w:history="1">
              <w:r w:rsidR="00DA7E1B" w:rsidRPr="00017AAB">
                <w:rPr>
                  <w:rFonts w:ascii="Arial" w:eastAsia="Times New Roman" w:hAnsi="Arial" w:cs="Arial"/>
                  <w:sz w:val="17"/>
                  <w:szCs w:val="17"/>
                </w:rPr>
                <w:t xml:space="preserve"> Time Client</w:t>
              </w:r>
            </w:hyperlink>
          </w:p>
        </w:tc>
      </w:tr>
      <w:tr w:rsidR="00DA7E1B" w:rsidRPr="00017AAB" w:rsidTr="006F6112">
        <w:tc>
          <w:tcPr>
            <w:tcW w:w="3098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:rsidR="00DA7E1B" w:rsidRDefault="00DA7E1B" w:rsidP="00072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Search patients by demographic traits</w:t>
            </w:r>
          </w:p>
          <w:p w:rsidR="00DA7E1B" w:rsidRPr="00036763" w:rsidRDefault="00DA7E1B" w:rsidP="00072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Support query continuation</w:t>
            </w:r>
          </w:p>
        </w:tc>
        <w:tc>
          <w:tcPr>
            <w:tcW w:w="3966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7E1B" w:rsidRPr="00017AAB" w:rsidRDefault="00CB5117" w:rsidP="00072D0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3" w:history="1">
              <w:r w:rsidR="00DA7E1B" w:rsidRPr="00017AAB">
                <w:rPr>
                  <w:rFonts w:ascii="Arial" w:eastAsia="Times New Roman" w:hAnsi="Arial" w:cs="Arial"/>
                  <w:sz w:val="17"/>
                  <w:szCs w:val="17"/>
                </w:rPr>
                <w:t>PDQV3 - Patient Demographic Query HL7 V3</w:t>
              </w:r>
            </w:hyperlink>
          </w:p>
        </w:tc>
        <w:tc>
          <w:tcPr>
            <w:tcW w:w="2416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7E1B" w:rsidRDefault="00CB5117" w:rsidP="00072D0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4" w:history="1">
              <w:r w:rsidR="00DA7E1B" w:rsidRPr="00017AAB">
                <w:rPr>
                  <w:rFonts w:ascii="Arial" w:eastAsia="Times New Roman" w:hAnsi="Arial" w:cs="Arial"/>
                  <w:sz w:val="17"/>
                  <w:szCs w:val="17"/>
                </w:rPr>
                <w:t>PDC - Patient Demographics Consumer</w:t>
              </w:r>
            </w:hyperlink>
          </w:p>
          <w:p w:rsidR="00DA7E1B" w:rsidRPr="006F6112" w:rsidRDefault="00DA7E1B" w:rsidP="006F611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6F6112">
              <w:rPr>
                <w:rFonts w:ascii="Arial" w:eastAsia="Times New Roman" w:hAnsi="Arial" w:cs="Arial"/>
                <w:sz w:val="17"/>
                <w:szCs w:val="17"/>
              </w:rPr>
              <w:t xml:space="preserve">Query Continuation </w:t>
            </w:r>
          </w:p>
        </w:tc>
      </w:tr>
      <w:tr w:rsidR="00DA7E1B" w:rsidRPr="00017AAB" w:rsidTr="006F6112">
        <w:tc>
          <w:tcPr>
            <w:tcW w:w="3098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:rsidR="00DA7E1B" w:rsidRPr="00036763" w:rsidRDefault="00DA7E1B" w:rsidP="00072D0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Tested </w:t>
            </w:r>
            <w:r w:rsidRPr="00036763">
              <w:rPr>
                <w:rFonts w:ascii="Arial" w:hAnsi="Arial" w:cs="Arial"/>
                <w:sz w:val="16"/>
              </w:rPr>
              <w:t>“Add”</w:t>
            </w:r>
            <w:r>
              <w:rPr>
                <w:rFonts w:ascii="Arial" w:hAnsi="Arial" w:cs="Arial"/>
                <w:sz w:val="16"/>
              </w:rPr>
              <w:t xml:space="preserve"> a local patient id to</w:t>
            </w:r>
            <w:r w:rsidRPr="00036763">
              <w:rPr>
                <w:rFonts w:ascii="Arial" w:hAnsi="Arial" w:cs="Arial"/>
                <w:sz w:val="16"/>
              </w:rPr>
              <w:t xml:space="preserve"> link it into the </w:t>
            </w:r>
            <w:r>
              <w:rPr>
                <w:rFonts w:ascii="Arial" w:hAnsi="Arial" w:cs="Arial"/>
                <w:sz w:val="16"/>
              </w:rPr>
              <w:t>affinity domain (HIE)</w:t>
            </w:r>
          </w:p>
          <w:p w:rsidR="00DA7E1B" w:rsidRPr="00036763" w:rsidRDefault="00DA7E1B" w:rsidP="00072D0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6"/>
              </w:rPr>
            </w:pPr>
            <w:r w:rsidRPr="00036763">
              <w:rPr>
                <w:rFonts w:ascii="Arial" w:hAnsi="Arial" w:cs="Arial"/>
                <w:sz w:val="16"/>
              </w:rPr>
              <w:t>“Update” and “Merge” operations initiated by patient are not supported</w:t>
            </w:r>
          </w:p>
        </w:tc>
        <w:tc>
          <w:tcPr>
            <w:tcW w:w="3966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A7E1B" w:rsidRPr="00017AAB" w:rsidRDefault="00CB5117" w:rsidP="00072D0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5" w:history="1">
              <w:r w:rsidR="00DA7E1B" w:rsidRPr="00017AAB">
                <w:rPr>
                  <w:rFonts w:ascii="Arial" w:eastAsia="Times New Roman" w:hAnsi="Arial" w:cs="Arial"/>
                  <w:sz w:val="17"/>
                  <w:szCs w:val="17"/>
                </w:rPr>
                <w:t>PIXV3 - Patient Identifier Cross-Reference HL7 V3</w:t>
              </w:r>
            </w:hyperlink>
          </w:p>
        </w:tc>
        <w:tc>
          <w:tcPr>
            <w:tcW w:w="2416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A7E1B" w:rsidRDefault="00CB5117" w:rsidP="00072D0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6" w:history="1">
              <w:r w:rsidR="00DA7E1B">
                <w:rPr>
                  <w:rFonts w:ascii="Arial" w:eastAsia="Times New Roman" w:hAnsi="Arial" w:cs="Arial"/>
                  <w:sz w:val="17"/>
                  <w:szCs w:val="17"/>
                </w:rPr>
                <w:t xml:space="preserve"> </w:t>
              </w:r>
              <w:r w:rsidR="00DA7E1B" w:rsidRPr="00017AAB">
                <w:rPr>
                  <w:rFonts w:ascii="Arial" w:eastAsia="Times New Roman" w:hAnsi="Arial" w:cs="Arial"/>
                  <w:sz w:val="17"/>
                  <w:szCs w:val="17"/>
                </w:rPr>
                <w:t>Patient Identity Source</w:t>
              </w:r>
            </w:hyperlink>
          </w:p>
          <w:p w:rsidR="00DA7E1B" w:rsidRPr="008B2C6C" w:rsidRDefault="00DA7E1B" w:rsidP="00DA7E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8B2C6C">
              <w:rPr>
                <w:rFonts w:ascii="Arial" w:eastAsia="Times New Roman" w:hAnsi="Arial" w:cs="Arial"/>
                <w:sz w:val="17"/>
                <w:szCs w:val="17"/>
              </w:rPr>
              <w:t>Patient Registry Record Added (PRPA_IN201301UV02)</w:t>
            </w:r>
          </w:p>
        </w:tc>
      </w:tr>
      <w:tr w:rsidR="00DA7E1B" w:rsidRPr="00017AAB" w:rsidTr="006F6112">
        <w:tc>
          <w:tcPr>
            <w:tcW w:w="3098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:rsidR="00DA7E1B" w:rsidRDefault="00DA7E1B" w:rsidP="00072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Search/query patient using a local patient id  and retrieve</w:t>
            </w:r>
          </w:p>
          <w:p w:rsidR="00DA7E1B" w:rsidRDefault="00DA7E1B" w:rsidP="00072D00">
            <w:pPr>
              <w:pStyle w:val="ListParagraph"/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affinity domain identifier</w:t>
            </w:r>
          </w:p>
          <w:p w:rsidR="00DA7E1B" w:rsidRPr="00E61E05" w:rsidRDefault="00DA7E1B" w:rsidP="00072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Confirm local identify matching by retrieving additional identifiers</w:t>
            </w:r>
          </w:p>
        </w:tc>
        <w:tc>
          <w:tcPr>
            <w:tcW w:w="3966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7E1B" w:rsidRPr="00017AAB" w:rsidRDefault="00CB5117" w:rsidP="00072D0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7" w:history="1">
              <w:r w:rsidR="00DA7E1B" w:rsidRPr="00017AAB">
                <w:rPr>
                  <w:rFonts w:ascii="Arial" w:eastAsia="Times New Roman" w:hAnsi="Arial" w:cs="Arial"/>
                  <w:sz w:val="17"/>
                  <w:szCs w:val="17"/>
                </w:rPr>
                <w:t>PIXV3 - Patient Identifier Cross-Reference HL7 V3</w:t>
              </w:r>
            </w:hyperlink>
          </w:p>
        </w:tc>
        <w:tc>
          <w:tcPr>
            <w:tcW w:w="2416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7E1B" w:rsidRPr="00017AAB" w:rsidRDefault="00CB5117" w:rsidP="00072D0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8" w:history="1">
              <w:r w:rsidR="00DA7E1B" w:rsidRPr="00017AAB">
                <w:rPr>
                  <w:rFonts w:ascii="Arial" w:eastAsia="Times New Roman" w:hAnsi="Arial" w:cs="Arial"/>
                  <w:sz w:val="17"/>
                  <w:szCs w:val="17"/>
                </w:rPr>
                <w:t>Patient Identifier Cross-reference Consumer</w:t>
              </w:r>
            </w:hyperlink>
          </w:p>
        </w:tc>
      </w:tr>
      <w:tr w:rsidR="00DA7E1B" w:rsidRPr="00017AAB" w:rsidTr="006F6112">
        <w:tc>
          <w:tcPr>
            <w:tcW w:w="3098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:rsidR="00DA7E1B" w:rsidRDefault="00DA7E1B" w:rsidP="006F611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ascii="Arial" w:hAnsi="Arial" w:cs="Arial"/>
                <w:sz w:val="16"/>
              </w:rPr>
              <w:t>Retrieve documents (CDA</w:t>
            </w:r>
            <w:r w:rsidR="00CA7278">
              <w:rPr>
                <w:rFonts w:ascii="Arial" w:hAnsi="Arial" w:cs="Arial"/>
                <w:sz w:val="16"/>
              </w:rPr>
              <w:t>,</w:t>
            </w:r>
            <w:r w:rsidR="006F6112">
              <w:rPr>
                <w:rFonts w:ascii="Arial" w:hAnsi="Arial" w:cs="Arial"/>
                <w:sz w:val="16"/>
              </w:rPr>
              <w:t xml:space="preserve"> C-CDA, PDF, etc.),</w:t>
            </w:r>
            <w:r>
              <w:rPr>
                <w:rFonts w:ascii="Arial" w:hAnsi="Arial" w:cs="Arial"/>
                <w:sz w:val="16"/>
              </w:rPr>
              <w:t xml:space="preserve"> using the local patient identity</w:t>
            </w:r>
          </w:p>
        </w:tc>
        <w:tc>
          <w:tcPr>
            <w:tcW w:w="3966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7E1B" w:rsidRPr="00017AAB" w:rsidRDefault="00CB5117" w:rsidP="00072D0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9" w:history="1">
              <w:r w:rsidR="00DA7E1B" w:rsidRPr="00017AAB">
                <w:rPr>
                  <w:rFonts w:ascii="Arial" w:eastAsia="Times New Roman" w:hAnsi="Arial" w:cs="Arial"/>
                  <w:sz w:val="17"/>
                  <w:szCs w:val="17"/>
                </w:rPr>
                <w:t>XDS.b - Cross-Enterprise Document Sharing</w:t>
              </w:r>
            </w:hyperlink>
          </w:p>
        </w:tc>
        <w:tc>
          <w:tcPr>
            <w:tcW w:w="2416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7E1B" w:rsidRPr="00017AAB" w:rsidRDefault="00CB5117" w:rsidP="00072D0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0" w:history="1">
              <w:r w:rsidR="00DA7E1B" w:rsidRPr="00017AAB">
                <w:rPr>
                  <w:rFonts w:ascii="Arial" w:eastAsia="Times New Roman" w:hAnsi="Arial" w:cs="Arial"/>
                  <w:sz w:val="17"/>
                  <w:szCs w:val="17"/>
                </w:rPr>
                <w:t xml:space="preserve"> Document Consumer</w:t>
              </w:r>
            </w:hyperlink>
          </w:p>
        </w:tc>
      </w:tr>
      <w:tr w:rsidR="00DA7E1B" w:rsidRPr="00017AAB" w:rsidTr="006F6112">
        <w:tc>
          <w:tcPr>
            <w:tcW w:w="3098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:rsidR="00DA7E1B" w:rsidRPr="00E61E05" w:rsidRDefault="00DA7E1B" w:rsidP="00072D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61E05">
              <w:rPr>
                <w:rFonts w:ascii="Arial" w:hAnsi="Arial" w:cs="Arial"/>
                <w:sz w:val="16"/>
                <w:szCs w:val="16"/>
              </w:rPr>
              <w:t xml:space="preserve">Submit/add documents </w:t>
            </w:r>
            <w:r>
              <w:rPr>
                <w:rFonts w:ascii="Arial" w:hAnsi="Arial" w:cs="Arial"/>
                <w:sz w:val="16"/>
                <w:szCs w:val="16"/>
              </w:rPr>
              <w:t>using a local patient identity</w:t>
            </w:r>
          </w:p>
          <w:p w:rsidR="00DA7E1B" w:rsidRPr="00E61E05" w:rsidRDefault="00DA7E1B" w:rsidP="00072D0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61E05">
              <w:rPr>
                <w:rFonts w:ascii="Arial" w:hAnsi="Arial" w:cs="Arial"/>
                <w:sz w:val="16"/>
                <w:szCs w:val="16"/>
              </w:rPr>
              <w:t>Privacy Consent</w:t>
            </w:r>
          </w:p>
        </w:tc>
        <w:tc>
          <w:tcPr>
            <w:tcW w:w="3966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7E1B" w:rsidRPr="00017AAB" w:rsidRDefault="00CB5117" w:rsidP="00072D0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1" w:history="1">
              <w:r w:rsidR="00DA7E1B" w:rsidRPr="00017AAB">
                <w:rPr>
                  <w:rFonts w:ascii="Arial" w:eastAsia="Times New Roman" w:hAnsi="Arial" w:cs="Arial"/>
                  <w:sz w:val="17"/>
                  <w:szCs w:val="17"/>
                </w:rPr>
                <w:t>XDS.b - Cross-Enterprise Document Sharing</w:t>
              </w:r>
            </w:hyperlink>
          </w:p>
        </w:tc>
        <w:tc>
          <w:tcPr>
            <w:tcW w:w="2416" w:type="dxa"/>
            <w:tcBorders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7E1B" w:rsidRPr="00017AAB" w:rsidRDefault="00CB5117" w:rsidP="00072D0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2" w:history="1">
              <w:r w:rsidR="00DA7E1B" w:rsidRPr="00017AAB">
                <w:rPr>
                  <w:rFonts w:ascii="Arial" w:eastAsia="Times New Roman" w:hAnsi="Arial" w:cs="Arial"/>
                  <w:sz w:val="17"/>
                  <w:szCs w:val="17"/>
                </w:rPr>
                <w:t xml:space="preserve"> Document Source</w:t>
              </w:r>
            </w:hyperlink>
          </w:p>
        </w:tc>
      </w:tr>
    </w:tbl>
    <w:p w:rsidR="00DA7E1B" w:rsidRDefault="00DA7E1B" w:rsidP="00DA7E1B">
      <w:pPr>
        <w:rPr>
          <w:rFonts w:ascii="Arial" w:eastAsia="Times New Roman" w:hAnsi="Arial" w:cs="Arial"/>
          <w:bCs/>
          <w:color w:val="000000"/>
          <w:sz w:val="18"/>
          <w:szCs w:val="17"/>
        </w:rPr>
      </w:pPr>
      <w:r w:rsidRPr="00DC039B">
        <w:rPr>
          <w:b/>
        </w:rPr>
        <w:t xml:space="preserve">System name: </w:t>
      </w:r>
      <w:proofErr w:type="spellStart"/>
      <w:r w:rsidRPr="00DC039B">
        <w:rPr>
          <w:rFonts w:ascii="Arial" w:eastAsia="Times New Roman" w:hAnsi="Arial" w:cs="Arial"/>
          <w:bCs/>
          <w:color w:val="000000"/>
          <w:sz w:val="18"/>
          <w:szCs w:val="17"/>
        </w:rPr>
        <w:t>GATEWAY_FEI_IExHub_PatientPortal</w:t>
      </w:r>
      <w:proofErr w:type="spellEnd"/>
    </w:p>
    <w:p w:rsidR="00DA7E1B" w:rsidRPr="00DA7E1B" w:rsidRDefault="00DA7E1B" w:rsidP="00DA7E1B"/>
    <w:p w:rsidR="00FC0350" w:rsidRDefault="00FC0350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DA7E1B" w:rsidRDefault="00DA7E1B" w:rsidP="00DA7E1B">
      <w:pPr>
        <w:pStyle w:val="Heading3"/>
      </w:pPr>
      <w:r>
        <w:lastRenderedPageBreak/>
        <w:t>IHE USA Page</w:t>
      </w:r>
    </w:p>
    <w:p w:rsidR="00DA7E1B" w:rsidRPr="00DA7E1B" w:rsidRDefault="00DA7E1B" w:rsidP="00DA7E1B"/>
    <w:p w:rsidR="004E3867" w:rsidRPr="00DA7E1B" w:rsidRDefault="00CB5117" w:rsidP="00DA7E1B">
      <w:hyperlink r:id="rId33" w:history="1">
        <w:r w:rsidR="00DA7E1B" w:rsidRPr="00DA7E1B">
          <w:rPr>
            <w:rStyle w:val="Hyperlink"/>
          </w:rPr>
          <w:t>http://iheusa.org/connectathon.aspx</w:t>
        </w:r>
      </w:hyperlink>
    </w:p>
    <w:p w:rsidR="00F91096" w:rsidRDefault="00F91096" w:rsidP="000D60CA">
      <w:pPr>
        <w:pStyle w:val="NormalWeb"/>
        <w:keepNext/>
        <w:shd w:val="clear" w:color="auto" w:fill="FFFFFF"/>
        <w:spacing w:before="150" w:beforeAutospacing="0" w:line="300" w:lineRule="atLeast"/>
        <w:jc w:val="center"/>
        <w:rPr>
          <w:rStyle w:val="Strong"/>
          <w:rFonts w:ascii="Helvetica" w:hAnsi="Helvetica" w:cs="Helvetica"/>
          <w:color w:val="666666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20"/>
          <w:szCs w:val="20"/>
          <w:shd w:val="clear" w:color="auto" w:fill="FFFFFF"/>
        </w:rPr>
        <w:t>Congratulations to our IHE NA Connectathon 2016 testing participants</w:t>
      </w:r>
    </w:p>
    <w:p w:rsidR="000D60CA" w:rsidRDefault="000D60CA" w:rsidP="000D60CA">
      <w:pPr>
        <w:pStyle w:val="NormalWeb"/>
        <w:keepNext/>
        <w:shd w:val="clear" w:color="auto" w:fill="FFFFFF"/>
        <w:spacing w:before="150" w:beforeAutospacing="0" w:line="300" w:lineRule="atLeast"/>
        <w:jc w:val="center"/>
      </w:pPr>
      <w:r>
        <w:rPr>
          <w:rFonts w:ascii="Helvetica" w:hAnsi="Helvetica" w:cs="Helvetica"/>
          <w:noProof/>
          <w:color w:val="666666"/>
          <w:sz w:val="20"/>
          <w:szCs w:val="20"/>
        </w:rPr>
        <w:drawing>
          <wp:inline distT="0" distB="0" distL="0" distR="0" wp14:anchorId="37B93EF8" wp14:editId="58B17600">
            <wp:extent cx="6189980" cy="4879975"/>
            <wp:effectExtent l="0" t="0" r="1270" b="0"/>
            <wp:docPr id="1" name="Picture 1" descr="http://iheusa.org/images/CAT16Orgs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heusa.org/images/CAT16OrgsLis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0CA" w:rsidRDefault="00F91096" w:rsidP="000D60CA">
      <w:pPr>
        <w:pStyle w:val="Caption"/>
        <w:jc w:val="center"/>
        <w:rPr>
          <w:rFonts w:ascii="Helvetica" w:hAnsi="Helvetica" w:cs="Helvetica"/>
          <w:color w:val="666666"/>
          <w:sz w:val="20"/>
          <w:szCs w:val="20"/>
        </w:rPr>
      </w:pPr>
      <w:r w:rsidRPr="00F91096">
        <w:t>Figure</w:t>
      </w:r>
      <w:r w:rsidR="00CB5117">
        <w:fldChar w:fldCharType="begin"/>
      </w:r>
      <w:r w:rsidR="00CB5117">
        <w:instrText xml:space="preserve"> SEQ Figure \* ARABIC </w:instrText>
      </w:r>
      <w:r w:rsidR="00CB5117">
        <w:fldChar w:fldCharType="separate"/>
      </w:r>
      <w:r w:rsidR="00AD1FD8">
        <w:rPr>
          <w:noProof/>
        </w:rPr>
        <w:t>4</w:t>
      </w:r>
      <w:r w:rsidR="00CB5117">
        <w:rPr>
          <w:noProof/>
        </w:rPr>
        <w:fldChar w:fldCharType="end"/>
      </w:r>
      <w:r w:rsidR="000D60CA" w:rsidRPr="00F91096">
        <w:t>: Eversolve</w:t>
      </w:r>
      <w:r w:rsidR="000D60CA">
        <w:t xml:space="preserve"> </w:t>
      </w:r>
      <w:r w:rsidR="00E92126">
        <w:t>participated on behalf of SAMHSA/FEi</w:t>
      </w:r>
    </w:p>
    <w:p w:rsidR="00FE1EEA" w:rsidRDefault="00FE1EEA"/>
    <w:sectPr w:rsidR="00FE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117" w:rsidRDefault="00CB5117" w:rsidP="00805A0B">
      <w:pPr>
        <w:spacing w:after="0" w:line="240" w:lineRule="auto"/>
      </w:pPr>
      <w:r>
        <w:separator/>
      </w:r>
    </w:p>
  </w:endnote>
  <w:endnote w:type="continuationSeparator" w:id="0">
    <w:p w:rsidR="00CB5117" w:rsidRDefault="00CB5117" w:rsidP="00805A0B">
      <w:pPr>
        <w:spacing w:after="0" w:line="240" w:lineRule="auto"/>
      </w:pPr>
      <w:r>
        <w:continuationSeparator/>
      </w:r>
    </w:p>
  </w:endnote>
  <w:endnote w:type="continuationNotice" w:id="1">
    <w:p w:rsidR="00CB5117" w:rsidRDefault="00CB51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117" w:rsidRDefault="00CB5117" w:rsidP="00805A0B">
      <w:pPr>
        <w:spacing w:after="0" w:line="240" w:lineRule="auto"/>
      </w:pPr>
      <w:r>
        <w:separator/>
      </w:r>
    </w:p>
  </w:footnote>
  <w:footnote w:type="continuationSeparator" w:id="0">
    <w:p w:rsidR="00CB5117" w:rsidRDefault="00CB5117" w:rsidP="00805A0B">
      <w:pPr>
        <w:spacing w:after="0" w:line="240" w:lineRule="auto"/>
      </w:pPr>
      <w:r>
        <w:continuationSeparator/>
      </w:r>
    </w:p>
  </w:footnote>
  <w:footnote w:type="continuationNotice" w:id="1">
    <w:p w:rsidR="00CB5117" w:rsidRDefault="00CB511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1EB8"/>
    <w:multiLevelType w:val="hybridMultilevel"/>
    <w:tmpl w:val="E2BA886A"/>
    <w:lvl w:ilvl="0" w:tplc="E1DAEB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A212C"/>
    <w:multiLevelType w:val="hybridMultilevel"/>
    <w:tmpl w:val="0CB83430"/>
    <w:lvl w:ilvl="0" w:tplc="E1DAEB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660CB"/>
    <w:multiLevelType w:val="hybridMultilevel"/>
    <w:tmpl w:val="F45C0760"/>
    <w:lvl w:ilvl="0" w:tplc="E1DAEB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434D77"/>
    <w:multiLevelType w:val="multilevel"/>
    <w:tmpl w:val="3D90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7A794D"/>
    <w:multiLevelType w:val="hybridMultilevel"/>
    <w:tmpl w:val="9AF08926"/>
    <w:lvl w:ilvl="0" w:tplc="BD0CECA0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F47A94"/>
    <w:multiLevelType w:val="hybridMultilevel"/>
    <w:tmpl w:val="2002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60BA8"/>
    <w:multiLevelType w:val="hybridMultilevel"/>
    <w:tmpl w:val="DDF4563C"/>
    <w:lvl w:ilvl="0" w:tplc="E1DAEB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40A7C"/>
    <w:multiLevelType w:val="hybridMultilevel"/>
    <w:tmpl w:val="F24CD910"/>
    <w:lvl w:ilvl="0" w:tplc="E1DAEB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te">
    <w15:presenceInfo w15:providerId="None" w15:userId="asu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0CA"/>
    <w:rsid w:val="00014655"/>
    <w:rsid w:val="00036D26"/>
    <w:rsid w:val="00052319"/>
    <w:rsid w:val="00072D00"/>
    <w:rsid w:val="00081B39"/>
    <w:rsid w:val="000960B7"/>
    <w:rsid w:val="000A6E1C"/>
    <w:rsid w:val="000D4DD9"/>
    <w:rsid w:val="000D60CA"/>
    <w:rsid w:val="000E1529"/>
    <w:rsid w:val="000E1FD4"/>
    <w:rsid w:val="000E4FB7"/>
    <w:rsid w:val="00151073"/>
    <w:rsid w:val="00157E6F"/>
    <w:rsid w:val="00195B5F"/>
    <w:rsid w:val="001C02E9"/>
    <w:rsid w:val="001C2E87"/>
    <w:rsid w:val="001F47C2"/>
    <w:rsid w:val="00202010"/>
    <w:rsid w:val="00244C24"/>
    <w:rsid w:val="0026667D"/>
    <w:rsid w:val="00284378"/>
    <w:rsid w:val="00287D21"/>
    <w:rsid w:val="002A5377"/>
    <w:rsid w:val="002B21AB"/>
    <w:rsid w:val="002D2C2C"/>
    <w:rsid w:val="00301759"/>
    <w:rsid w:val="00317F8C"/>
    <w:rsid w:val="003209E7"/>
    <w:rsid w:val="00330357"/>
    <w:rsid w:val="00334365"/>
    <w:rsid w:val="00344ED6"/>
    <w:rsid w:val="00366A4A"/>
    <w:rsid w:val="003716AF"/>
    <w:rsid w:val="003831FD"/>
    <w:rsid w:val="003A5831"/>
    <w:rsid w:val="003B740E"/>
    <w:rsid w:val="003C7306"/>
    <w:rsid w:val="003D4EC6"/>
    <w:rsid w:val="003D5B2D"/>
    <w:rsid w:val="00400D2D"/>
    <w:rsid w:val="00407469"/>
    <w:rsid w:val="00410CA2"/>
    <w:rsid w:val="00427804"/>
    <w:rsid w:val="00467483"/>
    <w:rsid w:val="00474BDA"/>
    <w:rsid w:val="00484105"/>
    <w:rsid w:val="00496C19"/>
    <w:rsid w:val="004B7989"/>
    <w:rsid w:val="004D74BE"/>
    <w:rsid w:val="004E3867"/>
    <w:rsid w:val="00532308"/>
    <w:rsid w:val="00564919"/>
    <w:rsid w:val="005C64CD"/>
    <w:rsid w:val="00610388"/>
    <w:rsid w:val="00610C74"/>
    <w:rsid w:val="00646FA1"/>
    <w:rsid w:val="0066396A"/>
    <w:rsid w:val="006D01FF"/>
    <w:rsid w:val="006E5AF3"/>
    <w:rsid w:val="006F6112"/>
    <w:rsid w:val="007125BF"/>
    <w:rsid w:val="00737E16"/>
    <w:rsid w:val="00782C19"/>
    <w:rsid w:val="00796B8D"/>
    <w:rsid w:val="007A6EBF"/>
    <w:rsid w:val="007C6B47"/>
    <w:rsid w:val="007D7D66"/>
    <w:rsid w:val="008040DD"/>
    <w:rsid w:val="00805A0B"/>
    <w:rsid w:val="0084782A"/>
    <w:rsid w:val="00850CDD"/>
    <w:rsid w:val="00852AD2"/>
    <w:rsid w:val="00866BDF"/>
    <w:rsid w:val="00876A5E"/>
    <w:rsid w:val="008B3146"/>
    <w:rsid w:val="008C2B81"/>
    <w:rsid w:val="00924181"/>
    <w:rsid w:val="00932416"/>
    <w:rsid w:val="00964264"/>
    <w:rsid w:val="009861CE"/>
    <w:rsid w:val="009C5BFB"/>
    <w:rsid w:val="009E5F2C"/>
    <w:rsid w:val="00A018DE"/>
    <w:rsid w:val="00A037C2"/>
    <w:rsid w:val="00A13165"/>
    <w:rsid w:val="00A1591E"/>
    <w:rsid w:val="00A343C6"/>
    <w:rsid w:val="00A51DDA"/>
    <w:rsid w:val="00A82D54"/>
    <w:rsid w:val="00A865E0"/>
    <w:rsid w:val="00A91A6F"/>
    <w:rsid w:val="00A96A83"/>
    <w:rsid w:val="00AA0517"/>
    <w:rsid w:val="00AA2F44"/>
    <w:rsid w:val="00AC24DA"/>
    <w:rsid w:val="00AD1FD8"/>
    <w:rsid w:val="00AE7D9B"/>
    <w:rsid w:val="00AF37E8"/>
    <w:rsid w:val="00B23DA5"/>
    <w:rsid w:val="00B54803"/>
    <w:rsid w:val="00B56202"/>
    <w:rsid w:val="00B575C0"/>
    <w:rsid w:val="00B96D66"/>
    <w:rsid w:val="00B9702E"/>
    <w:rsid w:val="00BB7281"/>
    <w:rsid w:val="00BE196F"/>
    <w:rsid w:val="00C46A70"/>
    <w:rsid w:val="00C5717D"/>
    <w:rsid w:val="00C633D1"/>
    <w:rsid w:val="00C91DAA"/>
    <w:rsid w:val="00CA510D"/>
    <w:rsid w:val="00CA7278"/>
    <w:rsid w:val="00CA7C94"/>
    <w:rsid w:val="00CB5117"/>
    <w:rsid w:val="00CB668B"/>
    <w:rsid w:val="00CC2A87"/>
    <w:rsid w:val="00CD3F5F"/>
    <w:rsid w:val="00D12593"/>
    <w:rsid w:val="00D36D1F"/>
    <w:rsid w:val="00D449A1"/>
    <w:rsid w:val="00D52319"/>
    <w:rsid w:val="00D525A5"/>
    <w:rsid w:val="00D80AD7"/>
    <w:rsid w:val="00DA5D18"/>
    <w:rsid w:val="00DA7E1B"/>
    <w:rsid w:val="00DE2AA6"/>
    <w:rsid w:val="00DF4B59"/>
    <w:rsid w:val="00E06A0C"/>
    <w:rsid w:val="00E1405B"/>
    <w:rsid w:val="00E42B2C"/>
    <w:rsid w:val="00E717C8"/>
    <w:rsid w:val="00E92126"/>
    <w:rsid w:val="00EA6CFA"/>
    <w:rsid w:val="00F1454A"/>
    <w:rsid w:val="00F56C4B"/>
    <w:rsid w:val="00F91096"/>
    <w:rsid w:val="00FB5EC4"/>
    <w:rsid w:val="00FC0350"/>
    <w:rsid w:val="00FC7326"/>
    <w:rsid w:val="00FE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0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E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0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0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60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D60C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D60C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D60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D60CA"/>
  </w:style>
  <w:style w:type="paragraph" w:styleId="ListParagraph">
    <w:name w:val="List Paragraph"/>
    <w:basedOn w:val="Normal"/>
    <w:uiPriority w:val="34"/>
    <w:qFormat/>
    <w:rsid w:val="004E38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7E1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05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0B"/>
  </w:style>
  <w:style w:type="paragraph" w:styleId="Footer">
    <w:name w:val="footer"/>
    <w:basedOn w:val="Normal"/>
    <w:link w:val="FooterChar"/>
    <w:uiPriority w:val="99"/>
    <w:unhideWhenUsed/>
    <w:rsid w:val="00805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0B"/>
  </w:style>
  <w:style w:type="paragraph" w:styleId="Title">
    <w:name w:val="Title"/>
    <w:basedOn w:val="Normal"/>
    <w:next w:val="Normal"/>
    <w:link w:val="TitleChar"/>
    <w:uiPriority w:val="10"/>
    <w:qFormat/>
    <w:rsid w:val="00A037C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7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0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0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E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0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0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60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D60C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D60C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D60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D60CA"/>
  </w:style>
  <w:style w:type="paragraph" w:styleId="ListParagraph">
    <w:name w:val="List Paragraph"/>
    <w:basedOn w:val="Normal"/>
    <w:uiPriority w:val="34"/>
    <w:qFormat/>
    <w:rsid w:val="004E38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7E1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05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0B"/>
  </w:style>
  <w:style w:type="paragraph" w:styleId="Footer">
    <w:name w:val="footer"/>
    <w:basedOn w:val="Normal"/>
    <w:link w:val="FooterChar"/>
    <w:uiPriority w:val="99"/>
    <w:unhideWhenUsed/>
    <w:rsid w:val="00805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0B"/>
  </w:style>
  <w:style w:type="paragraph" w:styleId="Title">
    <w:name w:val="Title"/>
    <w:basedOn w:val="Normal"/>
    <w:next w:val="Normal"/>
    <w:link w:val="TitleChar"/>
    <w:uiPriority w:val="10"/>
    <w:qFormat/>
    <w:rsid w:val="00A037C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7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0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2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oleObject" Target="embeddings/oleObject2.bin"/><Relationship Id="rId26" Type="http://schemas.openxmlformats.org/officeDocument/2006/relationships/hyperlink" Target="http://192.171.20.11/gazelle-na/actor.seam?keyword=PAT_IDENTITY_SRC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71.20.11/gazelle-na/profile.seam?keyword=CT" TargetMode="External"/><Relationship Id="rId34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://www.interoperabilityshowcase.org/about.aspx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192.171.20.11/gazelle-na/profile.seam?keyword=PIXV3" TargetMode="External"/><Relationship Id="rId33" Type="http://schemas.openxmlformats.org/officeDocument/2006/relationships/hyperlink" Target="http://iheusa.org/connectathon.aspx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yperlink" Target="http://192.171.20.11/gazelle-na/actor.seam?keyword=SN" TargetMode="External"/><Relationship Id="rId29" Type="http://schemas.openxmlformats.org/officeDocument/2006/relationships/hyperlink" Target="http://192.171.20.11/gazelle-na/profile.seam?keyword=XDS.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heusa.org/connectathon.aspx" TargetMode="External"/><Relationship Id="rId24" Type="http://schemas.openxmlformats.org/officeDocument/2006/relationships/hyperlink" Target="http://192.171.20.11/gazelle-na/actor.seam?keyword=PDC" TargetMode="External"/><Relationship Id="rId32" Type="http://schemas.openxmlformats.org/officeDocument/2006/relationships/hyperlink" Target="http://192.171.20.11/gazelle-na/actor.seam?keyword=DOC_SOURCE" TargetMode="External"/><Relationship Id="rId37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192.171.20.11/gazelle-na/profile.seam?keyword=PDQV3" TargetMode="External"/><Relationship Id="rId28" Type="http://schemas.openxmlformats.org/officeDocument/2006/relationships/hyperlink" Target="http://192.171.20.11/gazelle-na/actor.seam?keyword=PAT_IDENTITY_CONSUMER" TargetMode="External"/><Relationship Id="rId36" Type="http://schemas.openxmlformats.org/officeDocument/2006/relationships/theme" Target="theme/theme1.xml"/><Relationship Id="rId10" Type="http://schemas.openxmlformats.org/officeDocument/2006/relationships/package" Target="embeddings/Microsoft_PowerPoint_Slide1.sldx"/><Relationship Id="rId19" Type="http://schemas.openxmlformats.org/officeDocument/2006/relationships/hyperlink" Target="http://192.171.20.11/gazelle-na/profile.seam?keyword=ATNA" TargetMode="External"/><Relationship Id="rId31" Type="http://schemas.openxmlformats.org/officeDocument/2006/relationships/hyperlink" Target="http://192.171.20.11/gazelle-na/profile.seam?keyword=XDS.b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Relationship Id="rId22" Type="http://schemas.openxmlformats.org/officeDocument/2006/relationships/hyperlink" Target="http://192.171.20.11/gazelle-na/actor.seam?keyword=TIME_CLIENT" TargetMode="External"/><Relationship Id="rId27" Type="http://schemas.openxmlformats.org/officeDocument/2006/relationships/hyperlink" Target="http://192.171.20.11/gazelle-na/profile.seam?keyword=PIXV3" TargetMode="External"/><Relationship Id="rId30" Type="http://schemas.openxmlformats.org/officeDocument/2006/relationships/hyperlink" Target="http://192.171.20.11/gazelle-na/actor.seam?keyword=DOC_CONSUME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5BB90-91D5-4E07-9AC5-CDF494545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2243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Ioana</cp:lastModifiedBy>
  <cp:revision>12</cp:revision>
  <dcterms:created xsi:type="dcterms:W3CDTF">2016-04-26T13:29:00Z</dcterms:created>
  <dcterms:modified xsi:type="dcterms:W3CDTF">2016-04-29T15:56:00Z</dcterms:modified>
</cp:coreProperties>
</file>