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sz w:val="39.99989191691081"/>
          <w:szCs w:val="39.99989191691081"/>
          <w:vertAlign w:val="superscript"/>
        </w:rPr>
      </w:pPr>
      <w:r w:rsidDel="00000000" w:rsidR="00000000" w:rsidRPr="00000000">
        <w:rPr>
          <w:sz w:val="39.99989191691081"/>
          <w:szCs w:val="39.99989191691081"/>
          <w:vertAlign w:val="superscript"/>
          <w:rtl w:val="0"/>
        </w:rPr>
        <w:t xml:space="preserve">                                   </w:t>
      </w:r>
      <w:r w:rsidDel="00000000" w:rsidR="00000000" w:rsidRPr="00000000">
        <w:rPr>
          <w:b w:val="1"/>
          <w:sz w:val="39.99989191691081"/>
          <w:szCs w:val="39.99989191691081"/>
          <w:vertAlign w:val="superscript"/>
          <w:rtl w:val="0"/>
        </w:rPr>
        <w:t xml:space="preserve">  Everton Fernandes Abrantes – 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b w:val="1"/>
          <w:sz w:val="39.99989191691081"/>
          <w:szCs w:val="39.99989191691081"/>
          <w:vertAlign w:val="superscript"/>
        </w:rPr>
      </w:pPr>
      <w:r w:rsidDel="00000000" w:rsidR="00000000" w:rsidRPr="00000000">
        <w:rPr>
          <w:b w:val="1"/>
          <w:sz w:val="39.99989191691081"/>
          <w:szCs w:val="39.99989191691081"/>
          <w:vertAlign w:val="superscript"/>
          <w:rtl w:val="0"/>
        </w:rPr>
        <w:t xml:space="preserve">                                 Exercícios propostos da Apostila de Poo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9.99989191691081"/>
          <w:szCs w:val="39.9998919169108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b w:val="1"/>
          <w:sz w:val="39.99989191691081"/>
          <w:szCs w:val="39.99989191691081"/>
          <w:vertAlign w:val="superscript"/>
        </w:rPr>
      </w:pPr>
      <w:r w:rsidDel="00000000" w:rsidR="00000000" w:rsidRPr="00000000">
        <w:rPr>
          <w:b w:val="1"/>
          <w:sz w:val="39.99989191691081"/>
          <w:szCs w:val="39.99989191691081"/>
          <w:vertAlign w:val="superscript"/>
          <w:rtl w:val="0"/>
        </w:rPr>
        <w:t xml:space="preserve">Apostila(01)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Questão 1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: Qual a diferença entre Polimorfismo, Herança, Encapsulamento e Abstração?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Polimorfismo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– significa “várias formas” que é um termo designado a objetos de Classes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distintas, que podem reagir de uma maneira diferente ao fazerem o uso de um mesmo método.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Portanto o polimorfismo é um dos responsáveis pela especialização de classes em uma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aplicação OO.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Herança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– É um termo que se refere a uma classe nova, que pode ser criada a partir de outra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existente. Ela pode “herdar atributos e comportamentos da classe a ser estendida”.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Encapsulamento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– É um mecanismo que trata de dar segurança aos objetos, mantendo-os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controlados em relação ao seu nível de acesso. É o processo de ocultar ou esconder 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membros de uma classe do acesso exterior usando modificadores de acesso. Desta maneira 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Encapsulamento contribui fundamentalmente para diminuir os malefícios causados pela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interferência externa sobre os dados, pois isola partes do código.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Abstração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– Nada mais que a habilidade de modelar características do mundo real.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Questão 2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: O que é Associação, Agregação, Composição e Generalização?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Associação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– A associação representa a relação existente entre objetos. Ela descreve 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vínculo entre duas classes e geralmente determina que as instâncias de uma classe estão 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alguma forma ligadas às instâncias de outra classe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Agregação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 Representa uma relação todo-parte entre o agregado e suas partes. Demonstra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que as informações de um objeto precisaram ser complementadas por um objeto de outras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classes.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Composição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– Também representa uma relação todo-parte entre o agregado e suas partes.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Representa um vínculo mais forte entre os objetos-todo e objetos-parte.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  <w:sectPr>
          <w:pgSz w:h="16820" w:w="11900" w:orient="portrait"/>
          <w:pgMar w:bottom="1869.500732421875" w:top="1440" w:left="1701.6000366210938" w:right="212.926025390625" w:header="0" w:footer="720"/>
          <w:pgNumType w:start="1"/>
        </w:sectPr>
      </w:pP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Generalização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– Representa a relação existente entre classes. Este relacionamento também é conhecido na orientação a objetos como herança. É identificar superclasse (geral) e subclasses (especializadas). É quando existe a necessidade de criar uma classe que herde as propriedades 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  <w:sectPr>
          <w:type w:val="continuous"/>
          <w:pgSz w:h="16820" w:w="11900" w:orient="portrait"/>
          <w:pgMar w:bottom="1869.500732421875" w:top="1440" w:left="1701.6000366210938" w:right="212.92602539062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9.99989191691081"/>
          <w:szCs w:val="39.99989191691081"/>
          <w:vertAlign w:val="superscript"/>
        </w:rPr>
      </w:pPr>
      <w:r w:rsidDel="00000000" w:rsidR="00000000" w:rsidRPr="00000000">
        <w:rPr>
          <w:sz w:val="39.99989191691081"/>
          <w:szCs w:val="39.99989191691081"/>
          <w:vertAlign w:val="superscript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9.99989191691081"/>
          <w:szCs w:val="39.9998919169108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rPr>
          <w:sz w:val="39.99989191691081"/>
          <w:szCs w:val="39.9998919169108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sz w:val="39.99989191691081"/>
          <w:szCs w:val="39.99989191691081"/>
          <w:vertAlign w:val="superscript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1869.500732421875" w:top="1440" w:left="1701.6000366210938" w:right="212.9260253906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