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ind w:firstLine="420"/>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313-1533385420834" w:id="471"/>
      <w:bookmarkEnd w:id="471"/>
      <w:r>
        <w:rPr>
          <w:rFonts w:ascii="SimSun" w:hAnsi="SimSun" w:cs="SimSun" w:eastAsia="SimSun"/>
          <w:b w:val="true"/>
          <w:sz w:val="28"/>
        </w:rPr>
        <w:t>74.谨慎的实现Serializable接口</w:t>
      </w:r>
    </w:p>
    <w:p>
      <w:pPr>
        <w:ind w:firstLine="420"/>
      </w:pPr>
      <w:bookmarkStart w:name="2613-1533455136447" w:id="472"/>
      <w:bookmarkEnd w:id="472"/>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473"/>
      <w:bookmarkEnd w:id="473"/>
      <w:r>
        <w:rPr>
          <w:rFonts w:ascii="SimSun" w:hAnsi="SimSun" w:cs="SimSun" w:eastAsia="SimSun"/>
          <w:sz w:val="28"/>
        </w:rPr>
        <w:t>要想使一个类的实例可被序列化，只要在它的声明中加入“implements Serializable”即可。</w:t>
      </w:r>
    </w:p>
    <w:p>
      <w:pPr>
        <w:ind w:firstLine="420"/>
      </w:pPr>
      <w:bookmarkStart w:name="4726-1533455362252" w:id="474"/>
      <w:bookmarkEnd w:id="474"/>
      <w:r>
        <w:rPr>
          <w:rFonts w:ascii="SimSun" w:hAnsi="SimSun" w:cs="SimSun" w:eastAsia="SimSun"/>
          <w:sz w:val="28"/>
        </w:rPr>
        <w:t>实现Serializable接口的代价：</w:t>
      </w:r>
    </w:p>
    <w:p>
      <w:pPr>
        <w:ind w:firstLine="420"/>
      </w:pPr>
      <w:bookmarkStart w:name="4239-1533455375738" w:id="475"/>
      <w:bookmarkEnd w:id="475"/>
      <w:r>
        <w:rPr>
          <w:rFonts w:ascii="SimSun" w:hAnsi="SimSun" w:cs="SimSun" w:eastAsia="SimSun"/>
          <w:sz w:val="28"/>
        </w:rPr>
        <w:t>1）、一旦一个类被发布，就大大降低了“改变这个类的实现”的灵活性。</w:t>
      </w:r>
    </w:p>
    <w:p>
      <w:pPr>
        <w:ind w:firstLine="840"/>
      </w:pPr>
      <w:bookmarkStart w:name="5021-1533455500890" w:id="476"/>
      <w:bookmarkEnd w:id="476"/>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477"/>
      <w:bookmarkEnd w:id="477"/>
      <w:r>
        <w:rPr>
          <w:rFonts w:ascii="SimSun" w:hAnsi="SimSun" w:cs="SimSun" w:eastAsia="SimSun"/>
          <w:sz w:val="28"/>
        </w:rPr>
        <w:t>2）、增加了出现BUG和安全漏洞的可能性。</w:t>
      </w:r>
    </w:p>
    <w:p>
      <w:pPr>
        <w:ind w:firstLine="840"/>
      </w:pPr>
      <w:bookmarkStart w:name="5231-1533455830942" w:id="478"/>
      <w:bookmarkEnd w:id="478"/>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479"/>
      <w:bookmarkEnd w:id="479"/>
      <w:r>
        <w:rPr>
          <w:rFonts w:ascii="SimSun" w:hAnsi="SimSun" w:cs="SimSun" w:eastAsia="SimSun"/>
          <w:sz w:val="28"/>
        </w:rPr>
        <w:t>3）、随着类发行新的版本，相关的测试负担也增加了。</w:t>
      </w:r>
    </w:p>
    <w:p>
      <w:pPr>
        <w:ind w:firstLine="420"/>
      </w:pPr>
      <w:bookmarkStart w:name="3578-1533456136342" w:id="480"/>
      <w:bookmarkEnd w:id="480"/>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481"/>
      <w:bookmarkEnd w:id="481"/>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482"/>
      <w:bookmarkEnd w:id="482"/>
      <w:r>
        <w:rPr>
          <w:rFonts w:ascii="SimSun" w:hAnsi="SimSun" w:cs="SimSun" w:eastAsia="SimSun"/>
          <w:b w:val="true"/>
          <w:sz w:val="28"/>
        </w:rPr>
        <w:t>线程安全状态机：</w:t>
      </w:r>
    </w:p>
    <w:p>
      <w:pPr/>
      <w:bookmarkStart w:name="5700-1533456400567" w:id="483"/>
      <w:bookmarkEnd w:id="483"/>
      <w:r>
        <w:drawing>
          <wp:inline distT="0" distR="0" distB="0" distL="0">
            <wp:extent cx="5267325" cy="3088755"/>
            <wp:docPr id="41" name="Drawing 41" descr="CC76D34E7B334C86804B15D8C53143F7.jpg"/>
            <a:graphic xmlns:a="http://schemas.openxmlformats.org/drawingml/2006/main">
              <a:graphicData uri="http://schemas.openxmlformats.org/drawingml/2006/picture">
                <pic:pic xmlns:pic="http://schemas.openxmlformats.org/drawingml/2006/picture">
                  <pic:nvPicPr>
                    <pic:cNvPr id="0" name="Picture 41" descr="CC76D34E7B334C86804B15D8C53143F7.jpg"/>
                    <pic:cNvPicPr>
                      <a:picLocks noChangeAspect="true"/>
                    </pic:cNvPicPr>
                  </pic:nvPicPr>
                  <pic:blipFill>
                    <a:blip r:embed="rId44"/>
                    <a:stretch>
                      <a:fillRect/>
                    </a:stretch>
                  </pic:blipFill>
                  <pic:spPr>
                    <a:xfrm>
                      <a:off x="0" y="0"/>
                      <a:ext cx="5267325" cy="3088755"/>
                    </a:xfrm>
                    <a:prstGeom prst="rect">
                      <a:avLst/>
                    </a:prstGeom>
                  </pic:spPr>
                </pic:pic>
              </a:graphicData>
            </a:graphic>
          </wp:inline>
        </w:drawing>
      </w:r>
    </w:p>
    <w:p>
      <w:pPr>
        <w:ind w:firstLine="420"/>
      </w:pPr>
      <w:bookmarkStart w:name="1339-1533456410070" w:id="484"/>
      <w:bookmarkEnd w:id="484"/>
    </w:p>
    <w:p>
      <w:pPr/>
      <w:bookmarkStart w:name="6518-1533456410070" w:id="485"/>
      <w:bookmarkEnd w:id="485"/>
      <w:r>
        <w:drawing>
          <wp:inline distT="0" distR="0" distB="0" distL="0">
            <wp:extent cx="5267325" cy="2686037"/>
            <wp:docPr id="42" name="Drawing 42" descr="C651EC0CE2E94B1CB1B1BDAF04C7E9B6.jpg"/>
            <a:graphic xmlns:a="http://schemas.openxmlformats.org/drawingml/2006/main">
              <a:graphicData uri="http://schemas.openxmlformats.org/drawingml/2006/picture">
                <pic:pic xmlns:pic="http://schemas.openxmlformats.org/drawingml/2006/picture">
                  <pic:nvPicPr>
                    <pic:cNvPr id="0" name="Picture 42" descr="C651EC0CE2E94B1CB1B1BDAF04C7E9B6.jpg"/>
                    <pic:cNvPicPr>
                      <a:picLocks noChangeAspect="true"/>
                    </pic:cNvPicPr>
                  </pic:nvPicPr>
                  <pic:blipFill>
                    <a:blip r:embed="rId45"/>
                    <a:stretch>
                      <a:fillRect/>
                    </a:stretch>
                  </pic:blipFill>
                  <pic:spPr>
                    <a:xfrm>
                      <a:off x="0" y="0"/>
                      <a:ext cx="5267325" cy="2686037"/>
                    </a:xfrm>
                    <a:prstGeom prst="rect">
                      <a:avLst/>
                    </a:prstGeom>
                  </pic:spPr>
                </pic:pic>
              </a:graphicData>
            </a:graphic>
          </wp:inline>
        </w:drawing>
      </w:r>
    </w:p>
    <w:p>
      <w:pPr/>
      <w:bookmarkStart w:name="8213-1533456410070" w:id="486"/>
      <w:bookmarkEnd w:id="486"/>
      <w:r>
        <w:rPr>
          <w:rFonts w:ascii="SimSun" w:hAnsi="SimSun" w:cs="SimSun" w:eastAsia="SimSun"/>
          <w:b w:val="true"/>
          <w:sz w:val="28"/>
        </w:rPr>
        <w:t>75.考虑使用自定义的序列化形式</w:t>
      </w:r>
    </w:p>
    <w:p>
      <w:pPr>
        <w:ind w:firstLine="420"/>
      </w:pPr>
      <w:bookmarkStart w:name="6768-1533460962890" w:id="487"/>
      <w:bookmarkEnd w:id="487"/>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488"/>
      <w:bookmarkEnd w:id="488"/>
      <w:r>
        <w:rPr>
          <w:rFonts w:ascii="SimSun" w:hAnsi="SimSun" w:cs="SimSun" w:eastAsia="SimSun"/>
          <w:sz w:val="28"/>
        </w:rPr>
        <w:t>1）、它使这个类的导出API永远地束缚在该类的内部表示法上。</w:t>
      </w:r>
    </w:p>
    <w:p>
      <w:pPr>
        <w:ind w:firstLine="420"/>
      </w:pPr>
      <w:bookmarkStart w:name="2085-1533461295885" w:id="489"/>
      <w:bookmarkEnd w:id="489"/>
      <w:r>
        <w:rPr>
          <w:rFonts w:ascii="SimSun" w:hAnsi="SimSun" w:cs="SimSun" w:eastAsia="SimSun"/>
          <w:sz w:val="28"/>
        </w:rPr>
        <w:t>2）、会消耗过多的空间。</w:t>
      </w:r>
    </w:p>
    <w:p>
      <w:pPr>
        <w:ind w:firstLine="420"/>
      </w:pPr>
      <w:bookmarkStart w:name="5090-1533461297268" w:id="490"/>
      <w:bookmarkEnd w:id="490"/>
      <w:r>
        <w:rPr>
          <w:rFonts w:ascii="SimSun" w:hAnsi="SimSun" w:cs="SimSun" w:eastAsia="SimSun"/>
          <w:sz w:val="28"/>
        </w:rPr>
        <w:t>3）、会消耗过多的时间。</w:t>
      </w:r>
    </w:p>
    <w:p>
      <w:pPr>
        <w:ind w:firstLine="420"/>
      </w:pPr>
      <w:bookmarkStart w:name="6825-1533461298533" w:id="491"/>
      <w:bookmarkEnd w:id="491"/>
      <w:r>
        <w:rPr>
          <w:rFonts w:ascii="SimSun" w:hAnsi="SimSun" w:cs="SimSun" w:eastAsia="SimSun"/>
          <w:sz w:val="28"/>
        </w:rPr>
        <w:t>4）、会引起堆栈溢出。</w:t>
      </w:r>
    </w:p>
    <w:p>
      <w:pPr>
        <w:ind w:firstLine="420"/>
      </w:pPr>
      <w:bookmarkStart w:name="2814-1533461353208" w:id="492"/>
      <w:bookmarkEnd w:id="492"/>
      <w:r>
        <w:rPr>
          <w:rFonts w:ascii="SimSun" w:hAnsi="SimSun" w:cs="SimSun" w:eastAsia="SimSun"/>
          <w:sz w:val="28"/>
        </w:rPr>
        <w:t>transient修饰符表明实例域将从一个类的默认序列化形式省略掉。</w:t>
      </w:r>
    </w:p>
    <w:p>
      <w:pPr>
        <w:ind w:firstLine="420"/>
      </w:pPr>
      <w:bookmarkStart w:name="3290-1533461385561" w:id="493"/>
      <w:bookmarkEnd w:id="493"/>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494"/>
      <w:bookmarkEnd w:id="494"/>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495"/>
      <w:bookmarkEnd w:id="495"/>
      <w:r>
        <w:rPr>
          <w:rFonts w:ascii="SimSun" w:hAnsi="SimSun" w:cs="SimSun" w:eastAsia="SimSun"/>
          <w:b w:val="true"/>
          <w:sz w:val="28"/>
        </w:rPr>
        <w:t>75.保护性的编写readObject方法</w:t>
      </w:r>
    </w:p>
    <w:p>
      <w:pPr>
        <w:ind w:firstLine="420"/>
      </w:pPr>
      <w:bookmarkStart w:name="3649-1533461559029" w:id="496"/>
      <w:bookmarkEnd w:id="496"/>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497"/>
      <w:bookmarkEnd w:id="497"/>
      <w:r>
        <w:rPr>
          <w:rFonts w:ascii="SimSun" w:hAnsi="SimSun" w:cs="SimSun" w:eastAsia="SimSun"/>
          <w:sz w:val="28"/>
        </w:rPr>
        <w:t>有助于编写健壮的readObject方法的指导方针：</w:t>
      </w:r>
    </w:p>
    <w:p>
      <w:pPr>
        <w:ind w:firstLine="420"/>
      </w:pPr>
      <w:bookmarkStart w:name="7394-1533463107632" w:id="498"/>
      <w:bookmarkEnd w:id="498"/>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499"/>
      <w:bookmarkEnd w:id="499"/>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00"/>
      <w:bookmarkEnd w:id="500"/>
      <w:r>
        <w:rPr>
          <w:rFonts w:ascii="SimSun" w:hAnsi="SimSun" w:cs="SimSun" w:eastAsia="SimSun"/>
          <w:sz w:val="28"/>
        </w:rPr>
        <w:t>3）、如果整个对象图在被反序列化之后必须进行验证，就应该使用ObjectInputValidation接口。</w:t>
      </w:r>
    </w:p>
    <w:p>
      <w:pPr>
        <w:ind w:firstLine="420"/>
      </w:pPr>
      <w:bookmarkStart w:name="1292-1533463113349" w:id="501"/>
      <w:bookmarkEnd w:id="501"/>
      <w:r>
        <w:rPr>
          <w:rFonts w:ascii="SimSun" w:hAnsi="SimSun" w:cs="SimSun" w:eastAsia="SimSun"/>
          <w:sz w:val="28"/>
        </w:rPr>
        <w:t>4）、无论是直接方式还是间接方式，都不要调用类中任何可被覆盖的方法。</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jpeg" Type="http://schemas.openxmlformats.org/officeDocument/2006/relationships/image"/>
<Relationship Id="rId45" Target="media/image43.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2018-08-05T10:45:30Z</dcterms:created>
  <dc:creator>Apache POI</dc:creator>
</cp:coreProperties>
</file>