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color w:val="528cd8"/>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bookmarkStart w:name="5555-1532178315753" w:id="280"/>
      <w:bookmarkEnd w:id="280"/>
      <w:r>
        <w:rPr>
          <w:rFonts w:ascii="SimSun" w:hAnsi="SimSun" w:cs="SimSun" w:eastAsia="SimSun"/>
          <w:b w:val="true"/>
          <w:sz w:val="28"/>
        </w:rPr>
        <w:t>31.用实例域代替序数</w:t>
      </w:r>
    </w:p>
    <w:p>
      <w:pPr>
        <w:ind w:firstLine="420"/>
      </w:pPr>
      <w:bookmarkStart w:name="3185-1532178492916" w:id="281"/>
      <w:bookmarkEnd w:id="281"/>
      <w:r>
        <w:rPr>
          <w:rFonts w:ascii="SimSun" w:hAnsi="SimSun" w:cs="SimSun" w:eastAsia="SimSun"/>
          <w:sz w:val="28"/>
        </w:rPr>
        <w:t>所有的枚举类型都有ordinal方法，它返回每个枚举常量在类型中的数字位置，但是最好完全避免使用ordinal方法。永远不要根据枚举的序数导出与它关联的值，而是要将它保存在一个实例域中。</w:t>
      </w:r>
    </w:p>
    <w:p>
      <w:pPr/>
      <w:bookmarkStart w:name="3080-1532178774465" w:id="282"/>
      <w:bookmarkEnd w:id="282"/>
      <w:r>
        <w:drawing>
          <wp:inline distT="0" distR="0" distB="0" distL="0">
            <wp:extent cx="5267325" cy="1998999"/>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0"/>
                    <a:stretch>
                      <a:fillRect/>
                    </a:stretch>
                  </pic:blipFill>
                  <pic:spPr>
                    <a:xfrm>
                      <a:off x="0" y="0"/>
                      <a:ext cx="5267325" cy="1998999"/>
                    </a:xfrm>
                    <a:prstGeom prst="rect">
                      <a:avLst/>
                    </a:prstGeom>
                  </pic:spPr>
                </pic:pic>
              </a:graphicData>
            </a:graphic>
          </wp:inline>
        </w:drawing>
      </w:r>
    </w:p>
    <w:p>
      <w:pPr/>
      <w:bookmarkStart w:name="5285-1532178774465" w:id="283"/>
      <w:bookmarkEnd w:id="283"/>
      <w:r>
        <w:rPr>
          <w:rFonts w:ascii="SimSun" w:hAnsi="SimSun" w:cs="SimSun" w:eastAsia="SimSun"/>
          <w:b w:val="true"/>
          <w:color w:val="528cd8"/>
          <w:sz w:val="28"/>
        </w:rPr>
        <w:t>32.用EnumSet代替位域</w:t>
      </w:r>
    </w:p>
    <w:p>
      <w:pPr/>
      <w:bookmarkStart w:name="7069-1532350759117" w:id="284"/>
      <w:bookmarkEnd w:id="284"/>
      <w:r>
        <w:rPr>
          <w:rFonts w:ascii="SimSun" w:hAnsi="SimSun" w:cs="SimSun" w:eastAsia="SimSun"/>
          <w:b w:val="true"/>
          <w:color w:val="528cd8"/>
          <w:sz w:val="28"/>
        </w:rPr>
        <w:t>33.用EnumMap代替序数索引</w:t>
      </w:r>
    </w:p>
    <w:p>
      <w:pPr>
        <w:ind w:firstLine="420"/>
      </w:pPr>
      <w:bookmarkStart w:name="3995-1532350775556" w:id="285"/>
      <w:bookmarkEnd w:id="285"/>
      <w:r>
        <w:rPr>
          <w:rFonts w:ascii="SimSun" w:hAnsi="SimSun" w:cs="SimSun" w:eastAsia="SimSun"/>
          <w:b w:val="true"/>
          <w:color w:val="528cd8"/>
          <w:sz w:val="28"/>
        </w:rPr>
        <w:t>最好不要用序数来索引数组，而要使用EnumMap。</w:t>
      </w:r>
    </w:p>
    <w:p>
      <w:pPr/>
      <w:bookmarkStart w:name="9835-1532350806174" w:id="286"/>
      <w:bookmarkEnd w:id="286"/>
      <w:r>
        <w:rPr>
          <w:rFonts w:ascii="SimSun" w:hAnsi="SimSun" w:cs="SimSun" w:eastAsia="SimSun"/>
          <w:b w:val="true"/>
          <w:sz w:val="28"/>
        </w:rPr>
        <w:t>34.用接口模拟可伸缩的枚举</w:t>
      </w:r>
    </w:p>
    <w:p>
      <w:pPr>
        <w:ind w:firstLine="420"/>
      </w:pPr>
      <w:bookmarkStart w:name="8735-1532350821871" w:id="287"/>
      <w:bookmarkEnd w:id="287"/>
      <w:r>
        <w:rPr>
          <w:rFonts w:ascii="SimSun" w:hAnsi="SimSun" w:cs="SimSun" w:eastAsia="SimSun"/>
          <w:sz w:val="28"/>
        </w:rPr>
        <w:t>虽然无法编写可扩展的枚举类型，却可以通过编写接口以及实现该接口的基础枚举类型，对它进行模拟。这样允许客户端编写自己的枚举来实现接口。如果API是根据接口编写的，那么在可以使用基础枚举类型的任何地方，也都可以使用这些枚举。</w:t>
      </w:r>
    </w:p>
    <w:p>
      <w:pPr/>
      <w:bookmarkStart w:name="7395-1532440879965" w:id="288"/>
      <w:bookmarkEnd w:id="288"/>
      <w:r>
        <w:rPr>
          <w:rFonts w:ascii="SimSun" w:hAnsi="SimSun" w:cs="SimSun" w:eastAsia="SimSun"/>
          <w:b w:val="true"/>
          <w:sz w:val="28"/>
        </w:rPr>
        <w:t>35.注解优先于命名模式</w:t>
      </w:r>
    </w:p>
    <w:p>
      <w:pPr>
        <w:ind w:firstLine="420"/>
      </w:pPr>
      <w:bookmarkStart w:name="8979-1532440903886" w:id="289"/>
      <w:bookmarkEnd w:id="289"/>
      <w:r>
        <w:rPr>
          <w:rFonts w:ascii="SimSun" w:hAnsi="SimSun" w:cs="SimSun" w:eastAsia="SimSun"/>
          <w:sz w:val="28"/>
        </w:rPr>
        <w:t>命名模式：表明有些程序元素需要通过某种工具或者框架进行特殊处理。例如Junit测试框架原本要求用户一定要用test作为测试方法名称的开头。</w:t>
      </w:r>
    </w:p>
    <w:p>
      <w:pPr>
        <w:ind w:firstLine="420"/>
      </w:pPr>
      <w:bookmarkStart w:name="8069-1532441280363" w:id="290"/>
      <w:bookmarkEnd w:id="290"/>
      <w:r>
        <w:rPr>
          <w:rFonts w:ascii="SimSun" w:hAnsi="SimSun" w:cs="SimSun" w:eastAsia="SimSun"/>
          <w:sz w:val="28"/>
        </w:rPr>
        <w:t>命名模式缺点：</w:t>
      </w:r>
    </w:p>
    <w:p>
      <w:pPr>
        <w:ind w:firstLine="420"/>
      </w:pPr>
      <w:bookmarkStart w:name="2089-1532441286017" w:id="291"/>
      <w:bookmarkEnd w:id="291"/>
      <w:r>
        <w:rPr>
          <w:rFonts w:ascii="SimSun" w:hAnsi="SimSun" w:cs="SimSun" w:eastAsia="SimSun"/>
          <w:sz w:val="28"/>
        </w:rPr>
        <w:t>1）、文字拼写错误会导致失败，且没有任何提示。</w:t>
      </w:r>
    </w:p>
    <w:p>
      <w:pPr>
        <w:ind w:firstLine="420"/>
      </w:pPr>
      <w:bookmarkStart w:name="4810-1532441301757" w:id="292"/>
      <w:bookmarkEnd w:id="292"/>
      <w:r>
        <w:rPr>
          <w:rFonts w:ascii="SimSun" w:hAnsi="SimSun" w:cs="SimSun" w:eastAsia="SimSun"/>
          <w:sz w:val="28"/>
        </w:rPr>
        <w:t>2）、无法确保它们只用于相应的程序元素上。</w:t>
      </w:r>
    </w:p>
    <w:p>
      <w:pPr>
        <w:ind w:firstLine="420"/>
      </w:pPr>
      <w:bookmarkStart w:name="4842-1532441321055" w:id="293"/>
      <w:bookmarkEnd w:id="293"/>
      <w:r>
        <w:rPr>
          <w:rFonts w:ascii="SimSun" w:hAnsi="SimSun" w:cs="SimSun" w:eastAsia="SimSun"/>
          <w:sz w:val="28"/>
        </w:rPr>
        <w:t>3）、没有提供将参数值与程序元素关联起来的好方法。</w:t>
      </w:r>
    </w:p>
    <w:p>
      <w:pPr>
        <w:ind w:firstLine="420"/>
      </w:pPr>
      <w:bookmarkStart w:name="2021-1532441421574" w:id="294"/>
      <w:bookmarkEnd w:id="294"/>
      <w:r>
        <w:rPr>
          <w:rFonts w:ascii="SimSun" w:hAnsi="SimSun" w:cs="SimSun" w:eastAsia="SimSun"/>
          <w:sz w:val="28"/>
        </w:rPr>
        <w:t>Test注解类型的声明就是他自身通过Retention和Target注解进行了注解，注解类型声明中的这种注解称为元注解。</w:t>
      </w:r>
    </w:p>
    <w:p>
      <w:pPr>
        <w:ind w:firstLine="420"/>
      </w:pPr>
      <w:bookmarkStart w:name="4613-1532441471357" w:id="295"/>
      <w:bookmarkEnd w:id="295"/>
      <w:r>
        <w:rPr>
          <w:rFonts w:ascii="SimSun" w:hAnsi="SimSun" w:cs="SimSun" w:eastAsia="SimSun"/>
          <w:sz w:val="28"/>
        </w:rPr>
        <w:t>标记注解：没有参数，只是“标注”被注解的元素。</w:t>
      </w:r>
    </w:p>
    <w:p>
      <w:pPr>
        <w:ind w:firstLine="420"/>
      </w:pPr>
      <w:bookmarkStart w:name="3035-1532441814199" w:id="296"/>
      <w:bookmarkEnd w:id="296"/>
      <w:r>
        <w:rPr>
          <w:rFonts w:ascii="SimSun" w:hAnsi="SimSun" w:cs="SimSun" w:eastAsia="SimSun"/>
          <w:sz w:val="28"/>
        </w:rPr>
        <w:t>所有的程序猿都应该使用Java平台所提供的预定义的注解类型，还要考虑使用IDE或者静态分析工具所提供的任何注解。这种注解可以提升由这些工具所提供的诊断信息的质量。但是要注意这些注解还没有标准化。</w:t>
      </w:r>
    </w:p>
    <w:p>
      <w:pPr/>
      <w:bookmarkStart w:name="4000-1532442422443" w:id="297"/>
      <w:bookmarkEnd w:id="297"/>
      <w:r>
        <w:rPr>
          <w:rFonts w:ascii="SimSun" w:hAnsi="SimSun" w:cs="SimSun" w:eastAsia="SimSun"/>
          <w:b w:val="true"/>
          <w:sz w:val="28"/>
        </w:rPr>
        <w:t>36.坚持使用Override注解</w:t>
      </w:r>
    </w:p>
    <w:p>
      <w:pPr>
        <w:ind w:firstLine="420"/>
      </w:pPr>
      <w:bookmarkStart w:name="2249-1532442511814" w:id="298"/>
      <w:bookmarkEnd w:id="298"/>
      <w:r>
        <w:rPr>
          <w:rFonts w:ascii="SimSun" w:hAnsi="SimSun" w:cs="SimSun" w:eastAsia="SimSun"/>
          <w:sz w:val="28"/>
        </w:rPr>
        <w:t>Override注解只能用在方法声明中，它表示被注解的方法声明覆盖了超类型中的一个声明。</w:t>
      </w:r>
    </w:p>
    <w:p>
      <w:pPr/>
      <w:bookmarkStart w:name="1510-1532442416859" w:id="299"/>
      <w:bookmarkEnd w:id="299"/>
      <w:r>
        <w:drawing>
          <wp:inline distT="0" distR="0" distB="0" distL="0">
            <wp:extent cx="5267325" cy="3495526"/>
            <wp:docPr id="38" name="Drawing 38" descr="072D97DC67B8486D9DE5D0081876A29C.jpg"/>
            <a:graphic xmlns:a="http://schemas.openxmlformats.org/drawingml/2006/main">
              <a:graphicData uri="http://schemas.openxmlformats.org/drawingml/2006/picture">
                <pic:pic xmlns:pic="http://schemas.openxmlformats.org/drawingml/2006/picture">
                  <pic:nvPicPr>
                    <pic:cNvPr id="0" name="Picture 38" descr="072D97DC67B8486D9DE5D0081876A29C.jpg"/>
                    <pic:cNvPicPr>
                      <a:picLocks noChangeAspect="true"/>
                    </pic:cNvPicPr>
                  </pic:nvPicPr>
                  <pic:blipFill>
                    <a:blip r:embed="rId41"/>
                    <a:stretch>
                      <a:fillRect/>
                    </a:stretch>
                  </pic:blipFill>
                  <pic:spPr>
                    <a:xfrm>
                      <a:off x="0" y="0"/>
                      <a:ext cx="5267325" cy="3495526"/>
                    </a:xfrm>
                    <a:prstGeom prst="rect">
                      <a:avLst/>
                    </a:prstGeom>
                  </pic:spPr>
                </pic:pic>
              </a:graphicData>
            </a:graphic>
          </wp:inline>
        </w:drawing>
      </w:r>
    </w:p>
    <w:p>
      <w:pPr>
        <w:ind w:firstLine="420"/>
      </w:pPr>
      <w:bookmarkStart w:name="1014-1532442416859" w:id="300"/>
      <w:bookmarkEnd w:id="300"/>
      <w:r>
        <w:rPr>
          <w:rFonts w:ascii="SimSun" w:hAnsi="SimSun" w:cs="SimSun" w:eastAsia="SimSun"/>
          <w:sz w:val="28"/>
        </w:rPr>
        <w:t>总而言之，在每个方法声明中使用Override注解来覆盖超类声明，编译器就可以防止大量的错误，但有一个例外，在具体的类中，不必标注确信覆盖了抽象方法声明的方法（虽然这么做也没什么坏处）。</w:t>
      </w:r>
    </w:p>
    <w:p>
      <w:pPr/>
      <w:bookmarkStart w:name="2519-1532443024570" w:id="301"/>
      <w:bookmarkEnd w:id="301"/>
      <w:r>
        <w:rPr>
          <w:rFonts w:ascii="SimSun" w:hAnsi="SimSun" w:cs="SimSun" w:eastAsia="SimSun"/>
          <w:b w:val="true"/>
          <w:sz w:val="28"/>
        </w:rPr>
        <w:t>37.用标记接口定义类型</w:t>
      </w:r>
    </w:p>
    <w:p>
      <w:pPr>
        <w:ind w:firstLine="420"/>
      </w:pPr>
      <w:bookmarkStart w:name="9843-1532443039228" w:id="302"/>
      <w:bookmarkEnd w:id="302"/>
      <w:r>
        <w:rPr>
          <w:rFonts w:ascii="SimSun" w:hAnsi="SimSun" w:cs="SimSun" w:eastAsia="SimSun"/>
          <w:sz w:val="28"/>
        </w:rPr>
        <w:t>标记接口：是没有包含方法声明的接口，而只是声明一个类实现了具有某种属性的接口。例如Serializable接口。</w:t>
      </w:r>
    </w:p>
    <w:p>
      <w:pPr>
        <w:ind w:firstLine="420"/>
      </w:pPr>
      <w:bookmarkStart w:name="8613-1532443119085" w:id="303"/>
      <w:bookmarkEnd w:id="303"/>
      <w:r>
        <w:rPr>
          <w:rFonts w:ascii="SimSun" w:hAnsi="SimSun" w:cs="SimSun" w:eastAsia="SimSun"/>
          <w:sz w:val="28"/>
        </w:rPr>
        <w:t>标记接口强于标记注解的原因：</w:t>
      </w:r>
    </w:p>
    <w:p>
      <w:pPr>
        <w:ind w:firstLine="420"/>
      </w:pPr>
      <w:bookmarkStart w:name="9942-1532443133980" w:id="304"/>
      <w:bookmarkEnd w:id="304"/>
      <w:r>
        <w:rPr>
          <w:rFonts w:ascii="SimSun" w:hAnsi="SimSun" w:cs="SimSun" w:eastAsia="SimSun"/>
          <w:sz w:val="28"/>
        </w:rPr>
        <w:t>1）、标记接口定义的类型是由被标记类的实例实现的；标记注解则没有定义这样的类型。这个类型允许在编译时捕捉在使用标记注解的情况下要到运行时才能捕捉到的错误。就Serializable接口而言，如果它的参数没有实现该接口，ObjectOutPutStream.write方法将会失败。</w:t>
      </w:r>
    </w:p>
    <w:p>
      <w:pPr>
        <w:ind w:firstLine="420"/>
      </w:pPr>
      <w:bookmarkStart w:name="5062-1532443137624" w:id="305"/>
      <w:bookmarkEnd w:id="305"/>
      <w:r>
        <w:rPr>
          <w:rFonts w:ascii="SimSun" w:hAnsi="SimSun" w:cs="SimSun" w:eastAsia="SimSun"/>
          <w:sz w:val="28"/>
        </w:rPr>
        <w:t>2）、标记接口可以被更加精确的进行锁定，如果注解类型利用@Target（ElementType.TYPE）声明，它就可以被应用到任何类或者接口。</w:t>
      </w:r>
    </w:p>
    <w:p>
      <w:pPr>
        <w:ind w:firstLine="420"/>
      </w:pPr>
      <w:bookmarkStart w:name="8547-1532443139330" w:id="306"/>
      <w:bookmarkEnd w:id="306"/>
      <w:r>
        <w:rPr>
          <w:rFonts w:ascii="SimSun" w:hAnsi="SimSun" w:cs="SimSun" w:eastAsia="SimSun"/>
          <w:sz w:val="28"/>
        </w:rPr>
        <w:t>标记注解强于标记接口的原因：</w:t>
      </w:r>
    </w:p>
    <w:p>
      <w:pPr>
        <w:ind w:firstLine="420"/>
      </w:pPr>
      <w:bookmarkStart w:name="6340-1532443143419" w:id="307"/>
      <w:bookmarkEnd w:id="307"/>
      <w:r>
        <w:rPr>
          <w:rFonts w:ascii="SimSun" w:hAnsi="SimSun" w:cs="SimSun" w:eastAsia="SimSun"/>
          <w:sz w:val="28"/>
        </w:rPr>
        <w:t>1）、标记注解可以通过默认的方式添加一个或多个注解类型元素，给已被使用的注解类型添加更多的信息。</w:t>
      </w:r>
    </w:p>
    <w:p>
      <w:pPr>
        <w:ind w:firstLine="420"/>
      </w:pPr>
      <w:bookmarkStart w:name="4533-1532443143419" w:id="308"/>
      <w:bookmarkEnd w:id="308"/>
      <w:r>
        <w:rPr>
          <w:rFonts w:ascii="SimSun" w:hAnsi="SimSun" w:cs="SimSun" w:eastAsia="SimSun"/>
          <w:sz w:val="28"/>
        </w:rPr>
        <w:t>2）、标记注解是更大的注解机制的一部分。</w:t>
      </w:r>
    </w:p>
    <w:p>
      <w:pPr>
        <w:ind w:firstLine="420"/>
      </w:pPr>
      <w:bookmarkStart w:name="9092-1532442652648" w:id="309"/>
      <w:bookmarkEnd w:id="309"/>
      <w:r>
        <w:rPr>
          <w:rFonts w:ascii="SimSun" w:hAnsi="SimSun" w:cs="SimSun" w:eastAsia="SimSun"/>
          <w:sz w:val="28"/>
        </w:rPr>
        <w:t>标记接口和标记注解的使用时机：</w:t>
      </w:r>
    </w:p>
    <w:p>
      <w:pPr>
        <w:ind w:firstLine="420"/>
      </w:pPr>
      <w:bookmarkStart w:name="9037-1532443420016" w:id="310"/>
      <w:bookmarkEnd w:id="310"/>
      <w:r>
        <w:rPr>
          <w:rFonts w:ascii="SimSun" w:hAnsi="SimSun" w:cs="SimSun" w:eastAsia="SimSun"/>
          <w:sz w:val="28"/>
        </w:rPr>
        <w:t>如果标记是应用到任何程序元素而不是类或者接口，就必须使用注解，因为只有类或者接口可以用来实现或扩展接口。如果标记只应用给类或者接口，就应该优先使用标记接口而非注解。</w:t>
      </w:r>
    </w:p>
    <w:p>
      <w:pPr>
        <w:ind w:firstLine="420"/>
      </w:pPr>
      <w:bookmarkStart w:name="8925-1532443490117" w:id="311"/>
      <w:bookmarkEnd w:id="311"/>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40" Target="media/image38.png" Type="http://schemas.openxmlformats.org/officeDocument/2006/relationships/image"/>
<Relationship Id="rId41" Target="media/image39.jpe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2018-07-24T14:45:03Z</dcterms:created>
  <dc:creator>Apache POI</dc:creator>
</cp:coreProperties>
</file>