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sz w:val="28"/>
        </w:rPr>
        <w:t>四种访问级别：</w:t>
      </w:r>
    </w:p>
    <w:p>
      <w:pPr>
        <w:ind w:firstLine="420"/>
      </w:pPr>
      <w:bookmarkStart w:name="8118-1530950087106" w:id="132"/>
      <w:bookmarkEnd w:id="132"/>
      <w:r>
        <w:rPr>
          <w:rFonts w:ascii="SimSun" w:hAnsi="SimSun" w:cs="SimSun" w:eastAsia="SimSun"/>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2018-07-10T13:26:28Z</dcterms:created>
  <dc:creator>Apache POI</dc:creator>
</cp:coreProperties>
</file>