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38.检查参数的有效性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39.必要时进行保护性拷贝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40.谨慎设计方法签名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41.慎用重载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42.慎用可变参数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43.返回零长度的数组或者集合，而不是null</w:t>
      </w:r>
    </w:p>
    <w:p>
      <w:pPr/>
      <w:bookmarkStart w:name="7031-1532771765867" w:id="343"/>
      <w:bookmarkEnd w:id="343"/>
      <w:r>
        <w:rPr>
          <w:rFonts w:ascii="SimSun" w:hAnsi="SimSun" w:cs="SimSun" w:eastAsia="SimSun"/>
          <w:b w:val="true"/>
          <w:sz w:val="28"/>
        </w:rPr>
        <w:t>44.为所有导出的API元素编写文档注释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p>
      <w:pPr/>
      <w:bookmarkStart w:name="7144-1532850729535" w:id="348"/>
      <w:bookmarkEnd w:id="348"/>
      <w:r>
        <w:rPr>
          <w:rFonts w:ascii="SimSun" w:hAnsi="SimSun" w:cs="SimSun" w:eastAsia="SimSun"/>
          <w:b w:val="true"/>
          <w:sz w:val="28"/>
        </w:rPr>
        <w:t>45.将局部变量的作用域最小化</w:t>
      </w:r>
    </w:p>
    <w:p>
      <w:pPr>
        <w:ind w:firstLine="420"/>
      </w:pPr>
      <w:bookmarkStart w:name="9776-1532850748041" w:id="349"/>
      <w:bookmarkEnd w:id="349"/>
      <w:r>
        <w:rPr>
          <w:rFonts w:ascii="SimSun" w:hAnsi="SimSun" w:cs="SimSun" w:eastAsia="SimSun"/>
          <w:sz w:val="28"/>
        </w:rPr>
        <w:t>将局部变量的作用域最小化，可以增强代码的可读性和可维护性，并降低出错的可能性。</w:t>
      </w:r>
    </w:p>
    <w:p>
      <w:pPr>
        <w:ind w:firstLine="420"/>
      </w:pPr>
      <w:bookmarkStart w:name="8034-1532850824012" w:id="350"/>
      <w:bookmarkEnd w:id="350"/>
      <w:r>
        <w:rPr>
          <w:rFonts w:ascii="SimSun" w:hAnsi="SimSun" w:cs="SimSun" w:eastAsia="SimSun"/>
          <w:sz w:val="28"/>
        </w:rPr>
        <w:t>要使局部变量的作用域最小化，最有力的方法就是在第一次使用它的地方声明。</w:t>
      </w:r>
    </w:p>
    <w:p>
      <w:pPr>
        <w:ind w:firstLine="420"/>
      </w:pPr>
      <w:bookmarkStart w:name="0058-1532850874381" w:id="351"/>
      <w:bookmarkEnd w:id="351"/>
      <w:r>
        <w:rPr>
          <w:rFonts w:ascii="SimSun" w:hAnsi="SimSun" w:cs="SimSun" w:eastAsia="SimSun"/>
          <w:sz w:val="28"/>
        </w:rPr>
        <w:t>几乎每个局部变量的声明都应该包含一个初始化表达式。如果没有足够的信息对一个变量进行初始化，就应该推迟这个声明，直到可以初始化为止。这个规则有个例外的情况与try-catch语句有关。如果一个变量被一个方法初始化，而这个方法可能会抛出一个受检的异常，该变量就必须在try块的内部被初始化。如果变量的值必须在try块的外部被使用到，它就必须在try块之前被声明，但是在try块之前，它还不能被“有意义地初始化”。</w:t>
      </w:r>
    </w:p>
    <w:p>
      <w:pPr>
        <w:ind w:firstLine="420"/>
      </w:pPr>
      <w:bookmarkStart w:name="3090-1532851066356" w:id="352"/>
      <w:bookmarkEnd w:id="352"/>
      <w:r>
        <w:rPr>
          <w:rFonts w:ascii="SimSun" w:hAnsi="SimSun" w:cs="SimSun" w:eastAsia="SimSun"/>
          <w:sz w:val="28"/>
        </w:rPr>
        <w:t>如果在循环终止之后不再需要循环变量的内容，for循环就优先于while循环，使用for循环与使用while循环相比还有另一个优势：更简短，从而增强了可读性。</w:t>
      </w:r>
    </w:p>
    <w:p>
      <w:pPr>
        <w:ind w:firstLine="420"/>
      </w:pPr>
      <w:bookmarkStart w:name="7570-1532851151099" w:id="353"/>
      <w:bookmarkEnd w:id="353"/>
      <w:r>
        <w:rPr>
          <w:rFonts w:ascii="SimSun" w:hAnsi="SimSun" w:cs="SimSun" w:eastAsia="SimSun"/>
          <w:sz w:val="28"/>
        </w:rPr>
        <w:t>最后一种“将局部变量的作用域最小化”的方法就是使方法小而集中。</w:t>
      </w:r>
    </w:p>
    <w:p>
      <w:pPr/>
      <w:bookmarkStart w:name="6387-1532851249862" w:id="354"/>
      <w:bookmarkEnd w:id="354"/>
      <w:r>
        <w:rPr>
          <w:rFonts w:ascii="SimSun" w:hAnsi="SimSun" w:cs="SimSun" w:eastAsia="SimSun"/>
          <w:b w:val="true"/>
          <w:sz w:val="28"/>
        </w:rPr>
        <w:t>46.for-each循环优先于传统的for循环</w:t>
      </w:r>
    </w:p>
    <w:p>
      <w:pPr>
        <w:ind w:firstLine="420"/>
      </w:pPr>
      <w:bookmarkStart w:name="3177-1532851274268" w:id="355"/>
      <w:bookmarkEnd w:id="355"/>
      <w:r>
        <w:rPr>
          <w:rFonts w:ascii="SimSun" w:hAnsi="SimSun" w:cs="SimSun" w:eastAsia="SimSun"/>
          <w:sz w:val="28"/>
        </w:rPr>
        <w:t>Java 1.5发行版本中引入的for-each循环，通过完全隐藏迭代器或者索引变量，避免了混乱和出错的可能。</w:t>
      </w:r>
    </w:p>
    <w:p>
      <w:pPr>
        <w:ind w:firstLine="420"/>
      </w:pPr>
      <w:bookmarkStart w:name="8829-1532851442497" w:id="356"/>
      <w:bookmarkEnd w:id="356"/>
      <w:r>
        <w:rPr>
          <w:rFonts w:ascii="SimSun" w:hAnsi="SimSun" w:cs="SimSun" w:eastAsia="SimSun"/>
          <w:sz w:val="28"/>
        </w:rPr>
        <w:t>利用for-each循环不会有性能损失，甚至用于数组也一样，实际上，某些情况下，比起普通的for循环，它还稍有性能优势，因为它对数组索引的边界值只计算一次。</w:t>
      </w:r>
    </w:p>
    <w:p>
      <w:pPr>
        <w:ind w:firstLine="420"/>
      </w:pPr>
      <w:bookmarkStart w:name="6053-1532851492315" w:id="357"/>
      <w:bookmarkEnd w:id="357"/>
      <w:r>
        <w:rPr>
          <w:rFonts w:ascii="SimSun" w:hAnsi="SimSun" w:cs="SimSun" w:eastAsia="SimSun"/>
          <w:sz w:val="28"/>
        </w:rPr>
        <w:t>在对多个集合进行嵌套式迭代时，for-each循环相对于传统的for循环优势更加明显。</w:t>
      </w:r>
    </w:p>
    <w:p>
      <w:pPr>
        <w:ind w:firstLine="420"/>
      </w:pPr>
      <w:bookmarkStart w:name="1073-1532851558347" w:id="358"/>
      <w:bookmarkEnd w:id="358"/>
      <w:r>
        <w:rPr>
          <w:rFonts w:ascii="SimSun" w:hAnsi="SimSun" w:cs="SimSun" w:eastAsia="SimSun"/>
          <w:sz w:val="28"/>
        </w:rPr>
        <w:t>for-each循环不仅可以遍历集合和数组，还可以遍历任何实现了Iterable接口的对象，包括返回Iterable接口实现类的方法。</w:t>
      </w:r>
    </w:p>
    <w:p>
      <w:pPr>
        <w:ind w:firstLine="420"/>
      </w:pPr>
      <w:bookmarkStart w:name="5996-1532851612426" w:id="359"/>
      <w:bookmarkEnd w:id="359"/>
      <w:r>
        <w:rPr>
          <w:rFonts w:ascii="SimSun" w:hAnsi="SimSun" w:cs="SimSun" w:eastAsia="SimSun"/>
          <w:sz w:val="28"/>
        </w:rPr>
        <w:t>总之，for-each循环在简洁性和预防Bug方法有着传统的for循环无法比拟的优势，并且没有性能损失。应该尽可能的使用for-each循环。不过，有三种情况无法使用for-each循环：</w:t>
      </w:r>
    </w:p>
    <w:p>
      <w:pPr>
        <w:ind w:firstLine="420"/>
      </w:pPr>
      <w:bookmarkStart w:name="2126-1532851681748" w:id="360"/>
      <w:bookmarkEnd w:id="360"/>
      <w:r>
        <w:rPr>
          <w:rFonts w:ascii="SimSun" w:hAnsi="SimSun" w:cs="SimSun" w:eastAsia="SimSun"/>
          <w:sz w:val="28"/>
        </w:rPr>
        <w:t>1）、过滤--如果需要遍历集合，并删除选定的元素，就需要使用显式的迭代器，以便可以调用它的remove方法。</w:t>
      </w:r>
    </w:p>
    <w:p>
      <w:pPr>
        <w:ind w:firstLine="420"/>
      </w:pPr>
      <w:bookmarkStart w:name="9065-1532851683737" w:id="361"/>
      <w:bookmarkEnd w:id="361"/>
      <w:r>
        <w:rPr>
          <w:rFonts w:ascii="SimSun" w:hAnsi="SimSun" w:cs="SimSun" w:eastAsia="SimSun"/>
          <w:sz w:val="28"/>
        </w:rPr>
        <w:t>2）、转换--如果需要遍历列表或者数组，并取代它部分或者全部的元素值，就需要列表迭代器或者数组索引，以便设定元素的值。</w:t>
      </w:r>
    </w:p>
    <w:p>
      <w:pPr>
        <w:ind w:firstLine="420"/>
      </w:pPr>
      <w:bookmarkStart w:name="7360-1532851687317" w:id="362"/>
      <w:bookmarkEnd w:id="362"/>
      <w:r>
        <w:rPr>
          <w:rFonts w:ascii="SimSun" w:hAnsi="SimSun" w:cs="SimSun" w:eastAsia="SimSun"/>
          <w:sz w:val="28"/>
        </w:rPr>
        <w:t>3）、平行迭代--如果需要并行地遍历多个集合，就需要显式地控制迭代器或者索引变量，以便所有迭代器或者索引变量都可以得到同步前移。</w:t>
      </w:r>
    </w:p>
    <w:p>
      <w:pPr/>
      <w:bookmarkStart w:name="5625-1532850914586" w:id="363"/>
      <w:bookmarkEnd w:id="363"/>
      <w:r>
        <w:rPr>
          <w:rFonts w:ascii="SimSun" w:hAnsi="SimSun" w:cs="SimSun" w:eastAsia="SimSun"/>
          <w:b w:val="true"/>
          <w:sz w:val="28"/>
        </w:rPr>
        <w:t>47.了解和使用类库</w:t>
      </w:r>
    </w:p>
    <w:p>
      <w:pPr>
        <w:ind w:firstLine="420"/>
      </w:pPr>
      <w:bookmarkStart w:name="1386-1532852238529" w:id="364"/>
      <w:bookmarkEnd w:id="364"/>
      <w:r>
        <w:rPr>
          <w:rFonts w:ascii="SimSun" w:hAnsi="SimSun" w:cs="SimSun" w:eastAsia="SimSun"/>
          <w:sz w:val="28"/>
        </w:rPr>
        <w:t>使用标准类库的好处：</w:t>
      </w:r>
    </w:p>
    <w:p>
      <w:pPr>
        <w:ind w:firstLine="420"/>
      </w:pPr>
      <w:bookmarkStart w:name="7167-1532852191679" w:id="365"/>
      <w:bookmarkEnd w:id="365"/>
      <w:r>
        <w:rPr>
          <w:rFonts w:ascii="SimSun" w:hAnsi="SimSun" w:cs="SimSun" w:eastAsia="SimSun"/>
          <w:sz w:val="28"/>
        </w:rPr>
        <w:t>1）、通过使用标准类库，可以充分利用这些编写标准类库的专家的知识，以及在你之前的其他人的使用经验。</w:t>
      </w:r>
    </w:p>
    <w:p>
      <w:pPr>
        <w:ind w:firstLine="420"/>
      </w:pPr>
      <w:bookmarkStart w:name="7173-1532852251208" w:id="366"/>
      <w:bookmarkEnd w:id="366"/>
      <w:r>
        <w:rPr>
          <w:rFonts w:ascii="SimSun" w:hAnsi="SimSun" w:cs="SimSun" w:eastAsia="SimSun"/>
          <w:sz w:val="28"/>
        </w:rPr>
        <w:t>2）、不必浪费时间为那些与工作不太相关的问题提供特别的解决方案。</w:t>
      </w:r>
    </w:p>
    <w:p>
      <w:pPr>
        <w:ind w:firstLine="420"/>
      </w:pPr>
      <w:bookmarkStart w:name="4397-1532852257331" w:id="367"/>
      <w:bookmarkEnd w:id="367"/>
      <w:r>
        <w:rPr>
          <w:rFonts w:ascii="SimSun" w:hAnsi="SimSun" w:cs="SimSun" w:eastAsia="SimSun"/>
          <w:sz w:val="28"/>
        </w:rPr>
        <w:t>3）、它们的性能往往会随着时间的推移而不断提高，无需自己做任何努力。</w:t>
      </w:r>
    </w:p>
    <w:p>
      <w:pPr>
        <w:ind w:firstLine="420"/>
      </w:pPr>
      <w:bookmarkStart w:name="6796-1532852260834" w:id="368"/>
      <w:bookmarkEnd w:id="368"/>
      <w:r>
        <w:rPr>
          <w:rFonts w:ascii="SimSun" w:hAnsi="SimSun" w:cs="SimSun" w:eastAsia="SimSun"/>
          <w:sz w:val="28"/>
        </w:rPr>
        <w:t>4）、标准类库会随着时间的推移增加新的功能。</w:t>
      </w:r>
    </w:p>
    <w:p>
      <w:pPr>
        <w:ind w:firstLine="420"/>
      </w:pPr>
      <w:bookmarkStart w:name="8043-1532852266322" w:id="369"/>
      <w:bookmarkEnd w:id="369"/>
      <w:r>
        <w:rPr>
          <w:rFonts w:ascii="SimSun" w:hAnsi="SimSun" w:cs="SimSun" w:eastAsia="SimSun"/>
          <w:sz w:val="28"/>
        </w:rPr>
        <w:t>5）、可以使自己的代码融入主流，这样的代码更易读、更易维护、更易被大多数的开发人员重用。</w:t>
      </w:r>
    </w:p>
    <w:p>
      <w:pPr>
        <w:ind w:firstLine="420"/>
      </w:pPr>
      <w:bookmarkStart w:name="4968-1532852411640" w:id="370"/>
      <w:bookmarkEnd w:id="370"/>
      <w:r>
        <w:rPr>
          <w:rFonts w:ascii="SimSun" w:hAnsi="SimSun" w:cs="SimSun" w:eastAsia="SimSun"/>
          <w:sz w:val="28"/>
        </w:rPr>
        <w:t>在每个重要的发行版本中，都会有许多新的特性被加入到类库中，所以与这些新特性保持同步是值得的。每个程序猿都应该熟悉java.lang、java.util，某种程度上还有java.io的内容。在1.2发行版本中，Collection Framework被加入到了java.util包中。1.5发行版本中，在java.util.concurrent包中增加了一组并发实用工具。</w:t>
      </w:r>
    </w:p>
    <w:p>
      <w:pPr/>
      <w:bookmarkStart w:name="6311-1532852546059" w:id="371"/>
      <w:bookmarkEnd w:id="371"/>
      <w:r>
        <w:rPr>
          <w:rFonts w:ascii="SimSun" w:hAnsi="SimSun" w:cs="SimSun" w:eastAsia="SimSun"/>
          <w:b w:val="true"/>
          <w:sz w:val="28"/>
        </w:rPr>
        <w:t>48.如果需要精确的答案，请避免使用float和double</w:t>
      </w:r>
    </w:p>
    <w:p>
      <w:pPr>
        <w:ind w:firstLine="420"/>
      </w:pPr>
      <w:bookmarkStart w:name="2044-1532853030546" w:id="372"/>
      <w:bookmarkEnd w:id="372"/>
      <w:r>
        <w:rPr>
          <w:rFonts w:ascii="SimSun" w:hAnsi="SimSun" w:cs="SimSun" w:eastAsia="SimSun"/>
          <w:sz w:val="28"/>
        </w:rPr>
        <w:t>float和double类型主要是为了科学计算和工程计算而设计的，它们执行二进制浮点运算，这是为了在广泛的数值范围上提供较为精确的快速近似计算而精心涉及的。但是，它们并没有提供完全精确的结果，所以不应该被用于需要精确结果的场合。float和double类型尤其不适合用于货币计算。</w:t>
      </w:r>
    </w:p>
    <w:p>
      <w:pPr>
        <w:ind w:firstLine="420"/>
      </w:pPr>
      <w:bookmarkStart w:name="8618-1532853137848" w:id="373"/>
      <w:bookmarkEnd w:id="373"/>
      <w:r>
        <w:rPr>
          <w:rFonts w:ascii="SimSun" w:hAnsi="SimSun" w:cs="SimSun" w:eastAsia="SimSun"/>
          <w:sz w:val="28"/>
        </w:rPr>
        <w:t>使用BigDecimal、int和long进行货币计算。使用BigDecimal有两个缺点：与使用基本运算类型相比，这样做很不方便，而且慢。</w:t>
      </w:r>
    </w:p>
    <w:p>
      <w:pPr/>
      <w:bookmarkStart w:name="5025-1532959165962" w:id="374"/>
      <w:bookmarkEnd w:id="374"/>
      <w:r>
        <w:rPr>
          <w:rFonts w:ascii="SimSun" w:hAnsi="SimSun" w:cs="SimSun" w:eastAsia="SimSun"/>
          <w:b w:val="true"/>
          <w:sz w:val="28"/>
        </w:rPr>
        <w:t>49.基本类型优先于装箱基本类型</w:t>
      </w:r>
    </w:p>
    <w:p>
      <w:pPr>
        <w:ind w:firstLine="420"/>
      </w:pPr>
      <w:bookmarkStart w:name="4357-1532959184178" w:id="375"/>
      <w:bookmarkEnd w:id="375"/>
      <w:r>
        <w:rPr>
          <w:rFonts w:ascii="SimSun" w:hAnsi="SimSun" w:cs="SimSun" w:eastAsia="SimSun"/>
          <w:sz w:val="28"/>
        </w:rPr>
        <w:t>Java有一个类型系统由两部分组成，包含基本类型和引用类型。每个基本类型都有一个对应的引用类型，称为装箱基本类型。Java 1.5发行版本中增加了自动装箱和自动拆箱。</w:t>
      </w:r>
    </w:p>
    <w:p>
      <w:pPr>
        <w:ind w:firstLine="420"/>
      </w:pPr>
      <w:bookmarkStart w:name="3384-1532959269701" w:id="376"/>
      <w:bookmarkEnd w:id="376"/>
      <w:r>
        <w:rPr>
          <w:rFonts w:ascii="SimSun" w:hAnsi="SimSun" w:cs="SimSun" w:eastAsia="SimSun"/>
          <w:sz w:val="28"/>
        </w:rPr>
        <w:t>基本类型与装箱基本类型的区别：</w:t>
      </w:r>
    </w:p>
    <w:p>
      <w:pPr>
        <w:ind w:firstLine="420"/>
      </w:pPr>
      <w:bookmarkStart w:name="4080-1532959416219" w:id="377"/>
      <w:bookmarkEnd w:id="377"/>
      <w:r>
        <w:rPr>
          <w:rFonts w:ascii="SimSun" w:hAnsi="SimSun" w:cs="SimSun" w:eastAsia="SimSun"/>
          <w:sz w:val="28"/>
        </w:rPr>
        <w:t>1）、基本类型只有值，而装箱基本类型则具有与它们的值不同的同一性。</w:t>
      </w:r>
    </w:p>
    <w:p>
      <w:pPr>
        <w:ind w:firstLine="420"/>
      </w:pPr>
      <w:bookmarkStart w:name="6061-1532959454307" w:id="378"/>
      <w:bookmarkEnd w:id="378"/>
      <w:r>
        <w:rPr>
          <w:rFonts w:ascii="SimSun" w:hAnsi="SimSun" w:cs="SimSun" w:eastAsia="SimSun"/>
          <w:sz w:val="28"/>
        </w:rPr>
        <w:t>2）、基本类型只有功能完备的值，而每个装箱基本类型除了它对应基本类型的所有功能值之外，还有个非功能值：null。</w:t>
      </w:r>
    </w:p>
    <w:p>
      <w:pPr>
        <w:ind w:firstLine="420"/>
      </w:pPr>
      <w:bookmarkStart w:name="1438-1532959507182" w:id="379"/>
      <w:bookmarkEnd w:id="379"/>
      <w:r>
        <w:rPr>
          <w:rFonts w:ascii="SimSun" w:hAnsi="SimSun" w:cs="SimSun" w:eastAsia="SimSun"/>
          <w:sz w:val="28"/>
        </w:rPr>
        <w:t>3）、基本类型通常比装箱基本类型更节省时间和空间。</w:t>
      </w:r>
    </w:p>
    <w:p>
      <w:pPr>
        <w:ind w:firstLine="420"/>
      </w:pPr>
      <w:bookmarkStart w:name="6251-1532959525312" w:id="380"/>
      <w:bookmarkEnd w:id="380"/>
      <w:r>
        <w:rPr>
          <w:rFonts w:ascii="SimSun" w:hAnsi="SimSun" w:cs="SimSun" w:eastAsia="SimSun"/>
          <w:color w:val="df402a"/>
          <w:sz w:val="28"/>
        </w:rPr>
        <w:t>对装箱基本类型运用==操作符几乎总是错误的。当在一项操作中混合使用基本类型和装箱基本类型时，装箱基本类型就会自动拆箱，这种情况无一例外，如果null对象引用被自动拆箱，就会得到一个NullPointerException。</w:t>
      </w:r>
    </w:p>
    <w:p>
      <w:pPr/>
      <w:bookmarkStart w:name="2232-1532959869059" w:id="381"/>
      <w:bookmarkEnd w:id="381"/>
      <w:r>
        <w:drawing>
          <wp:inline distT="0" distR="0" distB="0" distL="0">
            <wp:extent cx="5267325" cy="2486827"/>
            <wp:docPr id="40" name="Drawing 40" descr="297770D7658D4763A52F39325228310B.jpg"/>
            <a:graphic xmlns:a="http://schemas.openxmlformats.org/drawingml/2006/main">
              <a:graphicData uri="http://schemas.openxmlformats.org/drawingml/2006/picture">
                <pic:pic xmlns:pic="http://schemas.openxmlformats.org/drawingml/2006/picture">
                  <pic:nvPicPr>
                    <pic:cNvPr id="0" name="Picture 40" descr="297770D7658D4763A52F39325228310B.jpg"/>
                    <pic:cNvPicPr>
                      <a:picLocks noChangeAspect="true"/>
                    </pic:cNvPicPr>
                  </pic:nvPicPr>
                  <pic:blipFill>
                    <a:blip r:embed="rId43"/>
                    <a:stretch>
                      <a:fillRect/>
                    </a:stretch>
                  </pic:blipFill>
                  <pic:spPr>
                    <a:xfrm>
                      <a:off x="0" y="0"/>
                      <a:ext cx="5267325" cy="2486827"/>
                    </a:xfrm>
                    <a:prstGeom prst="rect">
                      <a:avLst/>
                    </a:prstGeom>
                  </pic:spPr>
                </pic:pic>
              </a:graphicData>
            </a:graphic>
          </wp:inline>
        </w:drawing>
      </w:r>
    </w:p>
    <w:p>
      <w:pPr>
        <w:ind w:firstLine="420"/>
      </w:pPr>
      <w:bookmarkStart w:name="4130-1532959610305" w:id="382"/>
      <w:bookmarkEnd w:id="382"/>
      <w:r>
        <w:rPr>
          <w:rFonts w:ascii="SimSun" w:hAnsi="SimSun" w:cs="SimSun" w:eastAsia="SimSun"/>
          <w:sz w:val="28"/>
        </w:rPr>
        <w:t>使用装箱基本类型的场景：</w:t>
      </w:r>
    </w:p>
    <w:p>
      <w:pPr>
        <w:ind w:firstLine="420"/>
      </w:pPr>
      <w:bookmarkStart w:name="1981-1532959892112" w:id="383"/>
      <w:bookmarkEnd w:id="383"/>
      <w:r>
        <w:rPr>
          <w:rFonts w:ascii="SimSun" w:hAnsi="SimSun" w:cs="SimSun" w:eastAsia="SimSun"/>
          <w:color w:val="90a7d1"/>
          <w:sz w:val="28"/>
        </w:rPr>
        <w:t>1）、作为集合中的元素、键和值。</w:t>
      </w:r>
    </w:p>
    <w:p>
      <w:pPr>
        <w:ind w:firstLine="420"/>
      </w:pPr>
      <w:bookmarkStart w:name="9017-1532959894710" w:id="384"/>
      <w:bookmarkEnd w:id="384"/>
      <w:r>
        <w:rPr>
          <w:rFonts w:ascii="SimSun" w:hAnsi="SimSun" w:cs="SimSun" w:eastAsia="SimSun"/>
          <w:sz w:val="28"/>
        </w:rPr>
        <w:t>2）、在参数化类型中必须使用装箱基本类型，Java不允许使用基本类型。</w:t>
      </w:r>
    </w:p>
    <w:p>
      <w:pPr>
        <w:ind w:firstLine="420"/>
      </w:pPr>
      <w:bookmarkStart w:name="3384-1532959896179" w:id="385"/>
      <w:bookmarkEnd w:id="385"/>
      <w:r>
        <w:rPr>
          <w:rFonts w:ascii="SimSun" w:hAnsi="SimSun" w:cs="SimSun" w:eastAsia="SimSun"/>
          <w:sz w:val="28"/>
        </w:rPr>
        <w:t>3）、在进行反射的方法调用时，必须使用装箱基本类型。</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43" Target="media/image41.jpe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2018-07-30T14:15:34Z</dcterms:created>
  <dc:creator>Apache POI</dc:creator>
</cp:coreProperties>
</file>