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LETTER BEFORE ACTION (PRE-ACTION PROTOCOL)</w:t>
        <w:br/>
        <w:t>**DELIVERY: Royal Mail Signed For + email, to:**</w:t>
        <w:br/>
        <w:t>Mr. P-O. Bunea (director) &amp; UNMANAGED LTD (company no. 12461131)</w:t>
        <w:br/>
        <w:t>Business First Northampton, Brindley Close, Rushden, England, NN10 6EN</w:t>
      </w:r>
    </w:p>
    <w:p>
      <w:r>
        <w:t>FROM: Steven Crawford-Maggard, 66226 N Agua Dulce Dr, Desert Hot Springs, CA 92240, USA</w:t>
      </w:r>
    </w:p>
    <w:p>
      <w:r>
        <w:t>Date: [FILE DATE]</w:t>
      </w:r>
    </w:p>
    <w:p>
      <w:r>
        <w:t>Dear Sirs,</w:t>
      </w:r>
    </w:p>
    <w:p>
      <w:pPr>
        <w:pStyle w:val="Heading1"/>
      </w:pPr>
      <w:r>
        <w:t>UNLAWFUL MEANS CONSPIRACY / TRESPASS — NOTICE OF INTENDED CLAIM</w:t>
      </w:r>
    </w:p>
    <w:p>
      <w:r>
        <w:t>1. I am the owner and operator of the computer systems at the infrastructure identified</w:t>
      </w:r>
    </w:p>
    <w:p>
      <w:r>
        <w:t>below ("the Victim Systems").</w:t>
      </w:r>
    </w:p>
    <w:p>
      <w:r>
        <w:t>2. Between May 2026 and the date of this letter, computer systems operated by or on</w:t>
      </w:r>
    </w:p>
    <w:p>
      <w:r>
        <w:t>behalf of UNMANAGED LTD (Autonomous System 47890, 2,550 announcing IP addresses,</w:t>
      </w:r>
    </w:p>
    <w:p>
      <w:r>
        <w:t>RIPE registration attached as Exhibit A) conducted or routed unauthorized access</w:t>
      </w:r>
    </w:p>
    <w:p>
      <w:r>
        <w:t>attempts against the Victim Systems, including no fewer than 130 authentication</w:t>
      </w:r>
    </w:p>
    <w:p>
      <w:r>
        <w:t>attacks in October 2026 alone from seven distinct AS47890 address-space IPs</w:t>
      </w:r>
    </w:p>
    <w:p>
      <w:r>
        <w:t>(Exhibit B: firewall and auth logs, hash-chained, SHA-256 manifest).</w:t>
      </w:r>
    </w:p>
    <w:p>
      <w:r>
        <w:t>3. Your company's infrastructure is documented bulletproof-hosting capacity: it</w:t>
      </w:r>
    </w:p>
    <w:p>
      <w:r>
        <w:t>continued announcing and operating after the May 2026 Dutch FIOD seizure of</w:t>
      </w:r>
    </w:p>
    <w:p>
      <w:r>
        <w:t>associated infrastructure (Exhibit C) and after public reporting of the ecosystem's</w:t>
      </w:r>
    </w:p>
    <w:p>
      <w:r>
        <w:t>use in cybercrime (Exhibit D). The "know or should have known" standard is met on</w:t>
      </w:r>
    </w:p>
    <w:p>
      <w:r>
        <w:t>the face of the record.</w:t>
      </w:r>
    </w:p>
    <w:p>
      <w:r>
        <w:t>4. On 22 May 2026, an affiliated operator in the same ecosystem — TECHOFF SRV LIMITED</w:t>
      </w:r>
    </w:p>
    <w:p>
      <w:r>
        <w:t>(AS48090), whose sole director Mr. Luca Palo of 8 Via Leonardo Bistolfi, Milano,</w:t>
      </w:r>
    </w:p>
    <w:p>
      <w:r>
        <w:t>Italy 20134 is the identity-verified account holder (Exhibit E: Companies House</w:t>
      </w:r>
    </w:p>
    <w:p>
      <w:r>
        <w:t>records) — executed unauthorized SSH access against the Victim Systems following a</w:t>
      </w:r>
    </w:p>
    <w:p>
      <w:r>
        <w:t>supply-chain breach of a third-party service provider (Exhibit F: FBI IC3 complaint</w:t>
      </w:r>
    </w:p>
    <w:p>
      <w:r>
        <w:t>record, filed 1 October 2026).</w:t>
      </w:r>
    </w:p>
    <w:p>
      <w:r>
        <w:t>5. Demands. Within 14 days of the date of this letter you shall:</w:t>
      </w:r>
    </w:p>
    <w:p>
      <w:r>
        <w:t>(a) cease and permanently desist all access attempts, scanning, and routing of</w:t>
      </w:r>
    </w:p>
    <w:p>
      <w:r>
        <w:t>attack traffic toward the Victim Systems (ranges 80.241.209.34, 144.126.134.234,</w:t>
      </w:r>
    </w:p>
    <w:p>
      <w:r>
        <w:t>66.135.1.200) — cease-and-desist undertakings in writing;</w:t>
      </w:r>
    </w:p>
    <w:p>
      <w:r>
        <w:t>(b) pay compensation of USD 25,000 in respect of: direct losses (USD 52.28 consumed</w:t>
      </w:r>
    </w:p>
    <w:p>
      <w:r>
        <w:t>credits, itemized — Exhibit G), remediation costs (security hardening, log</w:t>
      </w:r>
    </w:p>
    <w:p>
      <w:r>
        <w:t>forensics, credential rotation across 8+ services — Exhibit H), and loss of</w:t>
      </w:r>
    </w:p>
    <w:p>
      <w:r>
        <w:t>productive use of the Victim Systems;</w:t>
      </w:r>
    </w:p>
    <w:p>
      <w:r>
        <w:t>(c) preserve, and do not delete, all logs, customer records, and identity/KYC data</w:t>
      </w:r>
    </w:p>
    <w:p>
      <w:r>
        <w:t>relating to TECHOFF SRV LIMITED, AS48090, and IP ranges 80.94.92.0/24 and</w:t>
      </w:r>
    </w:p>
    <w:p>
      <w:r>
        <w:t>2.57.122.0/24. This is a litigation-hold notice. Destruction or alteration after</w:t>
      </w:r>
    </w:p>
    <w:p>
      <w:r>
        <w:t>receipt will be drawn to the Court's attention.</w:t>
      </w:r>
    </w:p>
    <w:p>
      <w:r>
        <w:t>6. Failing compliance, I will commence proceedings against you in the High Court,</w:t>
      </w:r>
    </w:p>
    <w:p>
      <w:r>
        <w:t>Business and Property Courts (or County Court, per value), for unlawful means</w:t>
      </w:r>
    </w:p>
    <w:p>
      <w:r>
        <w:t>conspiracy, trespass to goods, and unjust enrichment, without further notice. Costs</w:t>
      </w:r>
    </w:p>
    <w:p>
      <w:r>
        <w:t>and interest will be claimed. Your QI 2026 accounts and director disqualification</w:t>
      </w:r>
    </w:p>
    <w:p>
      <w:r>
        <w:t>exposure under CDDA 1986 will be pleaded if relevant.</w:t>
      </w:r>
    </w:p>
    <w:p>
      <w:r>
        <w:t>7. This letter is sent in compliance with the Practice Direction on Pre-Action Conduct.</w:t>
      </w:r>
    </w:p>
    <w:p>
      <w:r>
        <w:t>A full copy of the evidence bundle is available on request.</w:t>
      </w:r>
    </w:p>
    <w:p>
      <w:r>
        <w:t>Yours faithfully,</w:t>
      </w:r>
    </w:p>
    <w:p>
      <w:r>
        <w:t>Steven Crawford-Maggard</w:t>
      </w:r>
    </w:p>
    <w:p>
      <w:r>
        <w:t>Enc: Exhibits A–H (index available)</w:t>
      </w:r>
    </w:p>
    <w:p/>
    <w:p>
      <w:r>
        <w:t>Signed:  ____________________________     Date: ____________</w:t>
      </w:r>
    </w:p>
    <w:p>
      <w:r>
        <w:t>Steven Crawford-Maggard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