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NATIONAL CRIME AGENCY (UK) — REFERRAL UNDER THE COMPUTER MISUSE ACT 1990</w:t>
      </w:r>
    </w:p>
    <w:p>
      <w:r>
        <w:t>From: Steven Crawford-Maggard, 66226 N Agua Dulce Dr, Desert Hot Springs, CA 92240, USA</w:t>
      </w:r>
    </w:p>
    <w:p>
      <w:r>
        <w:t>Date: 5 October 2026</w:t>
      </w:r>
    </w:p>
    <w:p>
      <w:r>
        <w:t>Re: UNMANAGED LTD (company no. 12461131, AS47890) / BUNEA TELECOM SRL (AS62380, AS42397) — Mr. Petru-Octavian Bunea, sole director, resident Rushden, Northamptonshire, England; TECHOFF SRV LIMITED (company no. 16090235, AS48090) / BESTDC LIMITED (company no. 15259087) — Mr. Luca Palo, sole director of both, 8 Via Leonardo Bistolfi, Milano 20134, Italy.</w:t>
      </w:r>
    </w:p>
    <w:p>
      <w:r>
        <w:t>1. SUMMARY</w:t>
      </w:r>
    </w:p>
    <w:p>
      <w:r>
        <w:t>I am the victim of sustained unauthorised access attempts against computer systems I own and operate (US-based, addresses 80.241.209.34, 144.126.134.234, 66.135.1.200). Evidence indicates the traffic originates from, or is knowingly routed by, UK-connected networks and entities identified below. A related FBI IC3 complaint is on file (filed 1 October 2026; FOIPA request 1758537-000 pending).</w:t>
      </w:r>
    </w:p>
    <w:p>
      <w:r>
        <w:t>2. FACTS</w:t>
      </w:r>
    </w:p>
    <w:p>
      <w:r>
        <w:t>(a) 22 May 2026: unauthorised SSH root access from 80.94.92.166 (AS48090, TECHOFF SRV LIMITED), following a supply-chain compromise. Root credentials rotated same day.</w:t>
      </w:r>
    </w:p>
    <w:p>
      <w:r>
        <w:t>(b) 3 October 2026: second root compromise from 192.76.153.253 (NL) via Tor exit 185.220.101.172 — continuing violation.</w:t>
      </w:r>
    </w:p>
    <w:p>
      <w:r>
        <w:t>(c) October 2026 to date: 130+ authentication attacks from seven distinct AS47890 (UNMANAGED LTD) addresses, kernel-logged at time of each attempt; SHA-256-chained evidence manifest maintained.</w:t>
      </w:r>
    </w:p>
    <w:p>
      <w:r>
        <w:t>(d) Continued attacks after a formal victim notice and preservation demand delivered to the RIPE-registered abuse contacts on 5 October 2026.</w:t>
      </w:r>
    </w:p>
    <w:p>
      <w:r>
        <w:t>3. IDENTIFICATION (public records, hash-preserved)</w:t>
      </w:r>
    </w:p>
    <w:p>
      <w:r>
        <w:t>Mr. Petru-Octavian Bunea — sole director of UNMANAGED LTD since 13 Feb 2020; DOB April 1988; resident Rushden NN10 6EN, England. Companies House identity: Verified.</w:t>
      </w:r>
    </w:p>
    <w:p>
      <w:r>
        <w:t>Mr. Luca Palo — sole director TECHOFF SRV LIMITED (now in registrar-initiated strike-off, objection window open) and BESTDC LIMITED (active). DOB March 1995, Italian national, Milano. Identity verified by an HMRC-supervised ACSP (Paramount Company Formations Ltd, 9 Dec 2025).</w:t>
      </w:r>
    </w:p>
    <w:p>
      <w:r>
        <w:t>4. SUSPECTED OFFENCES</w:t>
      </w:r>
    </w:p>
    <w:p>
      <w:r>
        <w:t>Computer Misuse Act 1990 ss.1–3 (unauthorised access; unauthorised acts with intent to impair); conspiracy; money-laundering exposure via shell-company hosting revenue. UK nexus: director residence (Rushden), companies registered in England &amp; Wales, and known UK transit (Tele Asia Limited).</w:t>
      </w:r>
    </w:p>
    <w:p>
      <w:r>
        <w:t>5. EVIDENCE AVAILABLE</w:t>
      </w:r>
    </w:p>
    <w:p>
      <w:r>
        <w:t>Hash-chained auth and kernel logs (SHA-256 manifest 55f8127c…906f9), packet captures, Companies House and RIPE records, Spamhaus SBL listings covering all four involved ranges, ACSP verification records, and a complete evidence bundle available on request.</w:t>
      </w:r>
    </w:p>
    <w:p>
      <w:r>
        <w:t>6. REQUEST</w:t>
      </w:r>
    </w:p>
    <w:p>
      <w:r>
        <w:t>(i) Investigation of the above entities and directors; (ii) preservation of all logs, customer/KYC records and payment data held by or for UNMANAGED LTD, BUNEA TELECOM SRL, TECHOFF SRV LIMITED and BESTDC LIMITED; (iii) coordination with the FBI via the IC3 complaint referenced above. A civil letter before action has been served on the same parties dated 5 October 2026.</w:t>
      </w:r>
    </w:p>
    <w:p>
      <w:r>
        <w:t>Yours faithfully,</w:t>
      </w:r>
    </w:p>
    <w:p>
      <w:r>
        <w:t>Steven Crawford-Maggard</w:t>
      </w:r>
    </w:p>
    <w:p>
      <w:r>
        <w:t>rubikspubes69@gmail.com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