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 w:cs="Calibri"/>
          <w:b/>
          <w:i w:val="0"/>
          <w:color w:val="555566"/>
          <w:sz w:val="28"/>
        </w:rPr>
        <w:t>PRD / Техническое задание</w:t>
      </w:r>
    </w:p>
    <w:p>
      <w:pPr>
        <w:spacing w:after="400"/>
        <w:jc w:val="center"/>
      </w:pPr>
      <w:r>
        <w:rPr>
          <w:rFonts w:ascii="Calibri" w:hAnsi="Calibri" w:cs="Calibri"/>
          <w:b/>
          <w:i w:val="0"/>
          <w:color w:val="C24D7B"/>
          <w:sz w:val="88"/>
        </w:rPr>
        <w:t>FemHealth</w:t>
      </w:r>
    </w:p>
    <w:p>
      <w:pPr>
        <w:jc w:val="center"/>
      </w:pPr>
      <w:r>
        <w:rPr>
          <w:rFonts w:ascii="Calibri" w:hAnsi="Calibri" w:cs="Calibri"/>
          <w:b w:val="0"/>
          <w:i/>
          <w:color w:val="555566"/>
          <w:sz w:val="24"/>
        </w:rPr>
        <w:t>(рабочее название)</w:t>
      </w:r>
    </w:p>
    <w:p>
      <w:pPr>
        <w:spacing w:before="800"/>
        <w:jc w:val="center"/>
      </w:pPr>
      <w:r>
        <w:rPr>
          <w:rFonts w:ascii="Calibri" w:hAnsi="Calibri" w:cs="Calibri"/>
          <w:b/>
          <w:i w:val="0"/>
          <w:color w:val="1F1F2E"/>
          <w:sz w:val="36"/>
        </w:rPr>
        <w:t>Цифровой кабинет пациентки</w:t>
      </w:r>
    </w:p>
    <w:p>
      <w:pPr>
        <w:jc w:val="center"/>
      </w:pPr>
      <w:r>
        <w:rPr>
          <w:rFonts w:ascii="Calibri" w:hAnsi="Calibri" w:cs="Calibri"/>
          <w:b/>
          <w:i w:val="0"/>
          <w:color w:val="1F1F2E"/>
          <w:sz w:val="36"/>
        </w:rPr>
        <w:t>гинеколога-эндокринолога</w:t>
      </w:r>
    </w:p>
    <w:p>
      <w:pPr>
        <w:spacing w:before="1200"/>
        <w:jc w:val="center"/>
      </w:pPr>
      <w:r>
        <w:rPr>
          <w:rFonts w:ascii="Calibri" w:hAnsi="Calibri" w:cs="Calibri"/>
          <w:b w:val="0"/>
          <w:i w:val="0"/>
          <w:color w:val="555566"/>
          <w:sz w:val="22"/>
        </w:rPr>
        <w:t>Версия документа: 0.1 (черновик для обсуждения)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55566"/>
          <w:sz w:val="22"/>
        </w:rPr>
        <w:t>Дата: май 2026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55566"/>
          <w:sz w:val="22"/>
        </w:rPr>
        <w:t>Автор: Евгений (продукт + разработка)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55566"/>
          <w:sz w:val="22"/>
        </w:rPr>
        <w:t>Медицинский эксперт: супруга, врач гинеколог-эндокринолог</w:t>
      </w:r>
    </w:p>
    <w:p>
      <w:r>
        <w:br w:type="page"/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1. Резюме продукта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FemHealth — мобильное (PWA) приложение для женщин, которое объединяет трекер цикла, журнал симптомов и хранилище лабораторных анализов в едином цифровом кабинете, связанном с лечащим врачом гинекологом-эндокринологом. Главная ценность — структурированный сбор данных о здоровье пациентки и удобный инструмент для врача, чтобы видеть динамику гормонов и симптомов на одном экране, а не по разрозненным бумажным анализам.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Проблема, которую решает продукт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Пациентки с гинекологическими и эндокринными нарушениями (СПКЯ, эндометриоз, перименопауза, гипотиреоз, бесплодие неясного генеза) ведут хаотичные записи: анализы лежат разрозненно в PDF и распечатках, симптомы не фиксируются системно, динамика гормонов по фазам цикла не видна. Существующие глобальные приложения (Flo, Clue) — это в первую очередь календари менструаций, они не работают с реальными лабораторными показателями и не связаны с лечащим врачом. Локальных российских аналогов с эндокринологическим уклоном на рынке нет.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Целевой результат для пользователя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Пациентка: понимает, как её гормоны меняются по фазам цикла, видит динамику анализов, не теряет результаты, может прийти к врачу с готовым отчётом.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Врач: получает структурированную карту пациентки с графиками, тратит меньше времени на «вспомнить и собрать», точнее ставит диагноз и корректирует терапию.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Бизнес: подписочный B2C-доход + потенциал B2B (платный кабинет врача / клиники) во второй фазе.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Ключевые отличия от конкурентов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Эндокринологический уклон: щитовидка, инсулинорезистентность, надпочечники, перименопауза — рядом с гинекологическим циклом.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Реальные лабораторные анализы (ручной ввод + позже OCR) с нормами по фазам цикла.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Двусторонняя связка пациент–врач: врач видит свою базу пациенток и комментирует данные.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Локализация под РФ/СНГ: русский язык, форматы локальных лабораторий, единицы измерения, оплата.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Прозрачная политика данных: «ваши данные не уходят рекламодателям» (в противовес скандалам Flo с Meta).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2. Анализ рынка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Размер и динамика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Глобальный рынок приложений женского здоровья оценивается в ~5,28 млрд USD в 2026 году с прогнозом роста до ~21 млрд USD к 2033 (CAGR ~17–20%). Между апрелем и декабрём 2021 года приложения этой категории в сумме скачали ~250 млн раз. 64,7% выручки сегмента — трекеры цикла; именно этот сегмент перенасыщен. Эндокринологический и врачебно-связанный сегменты значительно менее заполнены.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Конкуренты и их позиционирование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Приложение</w:t>
            </w:r>
          </w:p>
        </w:tc>
        <w:tc>
          <w:tcPr>
            <w:tcW w:type="dxa" w:w="3118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Сильная сторона</w:t>
            </w:r>
          </w:p>
        </w:tc>
        <w:tc>
          <w:tcPr>
            <w:tcW w:type="dxa" w:w="4252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Слабое место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Flo</w:t>
            </w:r>
          </w:p>
        </w:tc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Лидер по аудитории (~420 млн), AI-предсказания цикла</w:t>
            </w:r>
          </w:p>
        </w:tc>
        <w:tc>
          <w:tcPr>
            <w:tcW w:type="dxa" w:w="425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Скандал с передачей данных Meta, агрессивный paywall, нет анализов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Clue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Научная обоснованность, приватность, чистый UX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Это всё ещё календарь — нет работы с лабораториями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Glow</w:t>
            </w:r>
          </w:p>
        </w:tc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Сообщество, фертильность</w:t>
            </w:r>
          </w:p>
        </w:tc>
        <w:tc>
          <w:tcPr>
            <w:tcW w:type="dxa" w:w="425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Устаревший интерфейс, нет эндокринологии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Natural Cycles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FDA-cleared цифровой контрацептив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Узкий кейс — только контрацепция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Hormona</w:t>
            </w:r>
          </w:p>
        </w:tc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Гормональный трекер, тесты дома</w:t>
            </w:r>
          </w:p>
        </w:tc>
        <w:tc>
          <w:tcPr>
            <w:tcW w:type="dxa" w:w="425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Свои тесты как устройство, нет связки с лечащим врачом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Oova / Mira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Клинические тесты гормонов с приложением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Привязаны к продаже своих тест-полосок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Российские</w:t>
            </w:r>
          </w:p>
        </w:tc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  <w:tc>
          <w:tcPr>
            <w:tcW w:type="dxa" w:w="425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Сильных продуктов с эндокринологическим уклоном на рынке нет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Свободные ниши, которые мы занимаем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Гормональная динамика по фазам цикла с локальными нормами лабораторий.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Кабинет лечащего врача гинеколога-эндокринолога с доступом к карте пациентки.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Глубокая работа с диагнозами СПКЯ и эндометриоз: специализированные опросники, тревожные паттерны, экспорт врачу.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Локализация под русскоязычный рынок: ЮKassa/СБП, форматы лабораторий Инвитро/Хеликс/Гемотест, 152-ФЗ-комплаенс.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3. Целевая аудитория и персоны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Сегментация аудитории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Первичный сегмент: женщины 20–45 лет с диагнозом или подозрением на СПКЯ, эндометриоз, гипотиреоз, гиперпролактинемию, инсулинорезистентность; планирующие беременность; столкнувшиеся с длительным ненаступлением беременности.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Вторичный: женщины 40–55 лет в перименопаузе с гормональными нарушениями.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Аудитория врачей (B2B-расширение): практикующие гинекологи-эндокринологи, репродуктологи в частной медицине.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Персоны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Персона 1: Анна, 29 лет, СПКЯ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Маркетолог в Москве. Год назад поставлен диагноз СПКЯ. Сдаёт анализы каждые 2–3 месяца в Инвитро, копит PDF в почте, путается. Хочет понимать, становится ли лучше. На приёме у врача за 15 минут не успевает рассказать всё, что записывала в заметках телефона.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Боль: «Я не вижу, помогает ли мне терапия. Каждый раз ищу старые анализы перед приёмом».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Персона 2: Марина, 36 лет, планирует беременность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Год пытается забеременеть, обследуется. Сдаёт АМГ, ФСГ, ЛГ, эстрадиол, прогестерон, ТТГ, пролактин. У врача 4 раза в год. Хочет видеть динамику гормонов в одной точке и графически.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Боль: «У меня пять лабораторий и три листка с УЗИ. Я не врач, я не понимаю, что важно».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Персона 3: Доктор Елена, 38 лет, гинеколог-эндокринолог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Принимает в частной клинике, ~30 пациенток в неделю. Тратит много времени на «найти и вспомнить» по каждой. Хочет инструмент, в котором её пациентки ведут данные сами, а она быстро видит карту перед приёмом.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Боль: «Я не помню всех анализов всех пациенток. Они приносят разрозненное и забывают часть. Мне нужна одна страница на пациентку».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4. Позиционирование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Позиционирующее утверждение</w:t>
      </w:r>
    </w:p>
    <w:p>
      <w:pPr>
        <w:spacing w:after="120" w:line="300" w:lineRule="auto"/>
      </w:pPr>
      <w:r>
        <w:rPr>
          <w:rFonts w:ascii="Calibri" w:hAnsi="Calibri" w:cs="Calibri"/>
          <w:b w:val="0"/>
          <w:i/>
          <w:color w:val="1F1F2E"/>
          <w:sz w:val="22"/>
        </w:rPr>
        <w:t>FemHealth — это приложение, в котором женщины с гормональными нарушениями ведут историю своего здоровья (цикл, симптомы, анализы) и делятся ей с лечащим врачом-гинекологом, чтобы лечение было прицельным, а не «по памяти».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Tone of voice и принципы продукта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Уважение к телу и теме: никаких «розовых уши и сердечки», деловой и тёплый тон, без инфантилизации.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Медицинская корректность: каждый числовой показатель — с источником и нормой; никаких «магических» ИИ-диагнозов.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Приватность: данные принадлежат пациентке, она в любой момент может их выгрузить или удалить.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Минимум friction: ввод дня менструации — за 1 тап.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5. Скоуп: MVP и фазы развития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Принцип отбора в MVP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В MVP попадает только то, без чего невозможно проверить главную гипотезу: «пациентка готова платить подписку за приложение, которое связывает её с врачом и хранит её гормональные данные с динамикой по циклу». Всё остальное откладывается.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Сравнительная таблица скоупа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Функция</w:t>
            </w:r>
          </w:p>
        </w:tc>
        <w:tc>
          <w:tcPr>
            <w:tcW w:type="dxa" w:w="2268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MVP (v0.1)</w:t>
            </w:r>
          </w:p>
        </w:tc>
        <w:tc>
          <w:tcPr>
            <w:tcW w:type="dxa" w:w="2268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Фаза 2 (v0.2–0.5)</w:t>
            </w:r>
          </w:p>
        </w:tc>
        <w:tc>
          <w:tcPr>
            <w:tcW w:type="dxa" w:w="1984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Долгосрок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Регистрация / онбординг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Доработки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Трекинг цикла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Прогноз овуляции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AI-прогноз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Журнал симптомов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Базовый набор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Опросники СПКЯ/эндо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Анализы — ручной ввод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Анализы — OCR PDF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Нет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Графики гормонов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Совмещение нескольких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AI-комментарии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Нормы по фазе цикла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Расширение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Кабинет врача (web)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Да, минимально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Шаблоны и заметки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Расписание/CRM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Связка пациент-врач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По QR/коду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Профили клиник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Платная подписка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 (ЮKassa)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Тарифы для клиник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Push-уведомления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Базовые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Расширенные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Персональные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Экспорт PDF врачу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Конструктор отчётов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Видеоконсультации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Нет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Возможно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Apple Health / Google Fit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Нет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Возможно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Да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Нативное iOS/Android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Нет (PWA)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RuStore сборка PWA</w:t>
            </w:r>
          </w:p>
        </w:tc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React Native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AI-инсайты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Нет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Простые правила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ML-модели</w:t>
            </w:r>
          </w:p>
        </w:tc>
      </w:tr>
    </w:tbl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6. Функциональные требования (MVP)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6.1. Регистрация и онбординг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Цель: за 60 секунд получить минимум данных, чтобы продукт стал полезен.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Сценарий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Пользовательница открывает PWA, выбирает роль «Я пациентка».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Регистрация по email + пароль или по номеру телефона (СМС-код).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Согласие на обработку ПДн (152-ФЗ) — обязательная галочка.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Онбординг: дата последней менструации, средняя длина цикла, цели использования (трекать цикл / готовиться к беременности / наблюдать СПКЯ / перименопауза / просто здоровье).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Опционально — диагнозы и принимаемые препараты.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Главный экран.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Требования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Поддержка регистрации: email+пароль, номер телефона+СМС, Yandex ID.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Обязательный экран «Согласие на обработку специальной категории ПДн».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Возможность пропустить расширенные данные онбординга и заполнить позже.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Восстановление пароля по email/SMS.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6.2. Трекинг цикла и журнал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Сценарий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Главный экран — круговая диаграмма текущего цикла: фаза, день цикла, прогноз менструации и овуляции. Кнопка «+» открывает быстрый ввод за один тап: «сегодня менструация», «сегодня овуляция (по тесту)», «не сегодня».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Параметры журнала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Менструация: дата начала / окончания, обильность (4 уровня), сгустки да/нет, болезненность (0–10).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Симптомы: общее настроение, тревога, либидо, головные боли, отёки, акне, выпадение волос, болезненность груди, тяга к сладкому, нарушения сна.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Базальная температура (опционально, ручной ввод).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Тесты ЛГ / на овуляцию (просто отметка результата).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Половые акты + контрацепция (для тех, кто планирует / не планирует).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Заметка свободным текстом на день.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Расчётная логика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Прогноз менструации: средняя длина за последние 3–6 циклов.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Прогноз овуляции: за 14 дней до прогнозируемой менструации (фактор-фактор учитывать в Фазе 2).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Если у пациентки нерегулярный цикл (&gt;7 дней разброса) — не показывать прогноз овуляции, показывать «нерегулярный цикл, обсудите с врачом».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6.3. Анализы — ввод и хранение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Это ключевая фича-дифференциатор. В MVP — ручной ввод; OCR откладываем.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Состав справочника гормонов и анализов (стартовый набор)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154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Категория</w:t>
            </w:r>
          </w:p>
        </w:tc>
        <w:tc>
          <w:tcPr>
            <w:tcW w:type="dxa" w:w="4535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Показатели</w:t>
            </w:r>
          </w:p>
        </w:tc>
        <w:tc>
          <w:tcPr>
            <w:tcW w:type="dxa" w:w="2665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Нормы</w:t>
            </w:r>
          </w:p>
        </w:tc>
      </w:tr>
      <w:tr>
        <w:tc>
          <w:tcPr>
            <w:tcW w:type="dxa" w:w="215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Половые гормоны</w:t>
            </w:r>
          </w:p>
        </w:tc>
        <w:tc>
          <w:tcPr>
            <w:tcW w:type="dxa" w:w="45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ФСГ, ЛГ, эстрадиол, прогестерон, тестостерон общий и свободный, ДГЭА-С, ГСПГ, 17-ОН-прогестерон, АМГ, ингибин В</w:t>
            </w:r>
          </w:p>
        </w:tc>
        <w:tc>
          <w:tcPr>
            <w:tcW w:type="dxa" w:w="266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По фазе цикла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Щитовидная железа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ТТГ, Т4 свободный, Т3 свободный, АТ-ТПО, АТ-ТГ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Стандартные</w:t>
            </w:r>
          </w:p>
        </w:tc>
      </w:tr>
      <w:tr>
        <w:tc>
          <w:tcPr>
            <w:tcW w:type="dxa" w:w="215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Пролактин и стресс-ось</w:t>
            </w:r>
          </w:p>
        </w:tc>
        <w:tc>
          <w:tcPr>
            <w:tcW w:type="dxa" w:w="45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Пролактин, кортизол</w:t>
            </w:r>
          </w:p>
        </w:tc>
        <w:tc>
          <w:tcPr>
            <w:tcW w:type="dxa" w:w="266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Стандартные / по времени суток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Углеводный обмен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Глюкоза натощак, инсулин, индекс HOMA-IR, HbA1c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Стандартные</w:t>
            </w:r>
          </w:p>
        </w:tc>
      </w:tr>
      <w:tr>
        <w:tc>
          <w:tcPr>
            <w:tcW w:type="dxa" w:w="215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Витамины и метаболизм</w:t>
            </w:r>
          </w:p>
        </w:tc>
        <w:tc>
          <w:tcPr>
            <w:tcW w:type="dxa" w:w="45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Витамин D (25-OH), B12, ферритин, железо, ОЖСС</w:t>
            </w:r>
          </w:p>
        </w:tc>
        <w:tc>
          <w:tcPr>
            <w:tcW w:type="dxa" w:w="266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Стандартные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Общая клиника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Гемоглобин, эритроциты, лейкоциты (для контекста)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Стандартные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Структура записи анализа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Дата сдачи (обязательно).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Лаборатория (свободный текст или выбор из списка: Инвитро, Хеликс, Гемотест, КДЛ, Ситилаб и др.).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День цикла на момент сдачи (рассчитывается автоматически из дневника).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Список показателей: показатель, значение, единица измерения, референс лаборатории.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Прикреплённый PDF/фото оригинала.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Заметка пациентки.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Заметка врача (Фаза 2).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Нормы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Хранятся как референсные диапазоны с условиями (фаза цикла, беременность, менопауза).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Источник: согласовать с супругой как медицинским экспертом, ссылка на руководство (например, клинические рекомендации Минздрава или РОАГ) — для прозрачности.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Подсветка значений: серый — в норме, оранжевый — пограничное, красный — вне референса. Никаких диагнозов.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6.4. Графики и динамика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Линейный график одного показателя во времени с референсными коридорами по фазам цикла (например, эстрадиол: фолликулярная фаза vs овуляторный пик vs лютеиновая фаза).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Сравнение нескольких показателей на одной оси времени (Фаза 2).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Наложение симптомов на график гормона (например, «головные боли» поверх эстрадиола).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Экспорт графика в PNG / PDF.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6.5. Кабинет врача (web-интерфейс)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Сценарий для врача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Регистрация врача: расширенная — ФИО, специальность, место работы, номер диплома (для будущей верификации).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Главный экран: список пациенток с быстрым поиском и фильтрами (диагноз, последний приём, тревожные значения).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Карточка пациентки: цикл сейчас, последние анализы, симптомы за период, заметки врача.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Возможность оставить комментарий на конкретный показатель / запись.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Возможность «отправить рекомендацию» (текст + список анализов для пересдачи + дата следующего приёма).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Экспорт карты в PDF.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Требования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Web-интерфейс адаптивный, оптимизирован под десктоп.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Все действия врача логируются (для аудита).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Врач не может редактировать данные пациентки, только комментировать.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6.6. Связка «пациентка — врач»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Врач генерирует код-приглашение или QR в своём кабинете.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Пациентка в своём приложении вводит код / сканирует QR / переходит по ссылке.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Появляется экран «Дать доступ доктору ФИО, клиника, специальность» с описанием, что именно врач увидит. Чёткое явное согласие.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Пациентка в любой момент может отозвать доступ.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Возможность подключить нескольких врачей (терапевт + гинеколог + эндокринолог).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6.7. Подписка и платежи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Тарифная модель (гипотеза для проверки)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Тариф</w:t>
            </w:r>
          </w:p>
        </w:tc>
        <w:tc>
          <w:tcPr>
            <w:tcW w:type="dxa" w:w="2268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Цена</w:t>
            </w:r>
          </w:p>
        </w:tc>
        <w:tc>
          <w:tcPr>
            <w:tcW w:type="dxa" w:w="4819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Что входит</w:t>
            </w:r>
          </w:p>
        </w:tc>
      </w:tr>
      <w:tr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Free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0 ₽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Цикл, симптомы, базовые графики, до 5 анализов на хранении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Premium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299 ₽ / мес или 2 490 ₽ / год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Безлимит анализов, графики гормонов, нормы по фазам, экспорт PDF, связка с врачом</w:t>
            </w:r>
          </w:p>
        </w:tc>
      </w:tr>
      <w:tr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Premium + Doctor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499 ₽ / мес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Premium + личный врач (если врач включает оплату приложения в свой пакет наблюдения)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C24D7B"/>
          <w:sz w:val="24"/>
        </w:rPr>
        <w:t>Технические требования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Платежи через ЮKassa (рекуррентные платежи + СБП).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7-дневный пробный период Premium при онбординге.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Возможность отмены автопродления в один клик.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История платежей и закрывающие документы (чеки) — обязательно для соответствия 54-ФЗ.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6.8. Уведомления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Прогноз начала менструации (за 1–2 дня).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Окно овуляции.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Напоминание сдать анализы перед приёмом (за N дней — настраивается врачом).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Напоминание о приёме препаратов (опционально).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Уведомления только web-push (PWA). SMS — не нужно в MVP.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7. Нефункциональные требования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Производительность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Time To Interactive ≤ 3 сек на 4G.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Open-to-input «отметить менструацию» ≤ 2 секунд от иконки на экране.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Доступность и UX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Mobile-first вёрстка, минимальный шрифт 14px.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Поддержка тёмной темы (Phase 2).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Базовая accessibility: контраст AA, навигация с клавиатуры в кабинете врача.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Надёжность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Auto-backup БД ежедневно, retention 30 дней.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Uptime цель: 99.5% в первый год.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Безопасность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TLS 1.2+ для всего трафика.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Хеширование паролей (bcrypt/argon2).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Шифрование чувствительных полей в БД (анализы, диагнозы).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Аутентификация по JWT + refresh-токены.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Двухфакторная аутентификация для врачей (Phase 2).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8. Технологический стек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Слой</w:t>
            </w:r>
          </w:p>
        </w:tc>
        <w:tc>
          <w:tcPr>
            <w:tcW w:type="dxa" w:w="2551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Технология</w:t>
            </w:r>
          </w:p>
        </w:tc>
        <w:tc>
          <w:tcPr>
            <w:tcW w:type="dxa" w:w="4819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Почему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Фронтенд</w:t>
            </w:r>
          </w:p>
        </w:tc>
        <w:tc>
          <w:tcPr>
            <w:tcW w:type="dxa" w:w="255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Next.js 14+ (React, TypeScript), Tailwind CSS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Дружелюбен к новичку, огромное сообщество, отличная документация, можно делать SSR + PWA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Mobile-обёртка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PWA (Service Worker, Web Push, Add to Home Screen)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Один кодовый стек, обход комиссий сторов, быстрая итерация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Бэкенд</w:t>
            </w:r>
          </w:p>
        </w:tc>
        <w:tc>
          <w:tcPr>
            <w:tcW w:type="dxa" w:w="255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Supabase (PostgreSQL + Auth + Storage + Edge Functions)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BaaS-уровень, не надо писать аутентификацию и CRUD руками. В будущем мигрируется на свой Node/Python-бэкенд если понадобится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БД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PostgreSQL (через Supabase)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Строгая схема, отличная аналитика, ACID — критично для медданных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Графики</w:t>
            </w:r>
          </w:p>
        </w:tc>
        <w:tc>
          <w:tcPr>
            <w:tcW w:type="dxa" w:w="255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Recharts или Chart.js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Простые в использовании, хороший UX из коробки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Платежи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ЮKassa API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Российская юрисдикция, поддержка СБП и рекуррентных платежей, автогенерация чеков 54-ФЗ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Уведомления</w:t>
            </w:r>
          </w:p>
        </w:tc>
        <w:tc>
          <w:tcPr>
            <w:tcW w:type="dxa" w:w="255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Web Push API (через Supabase Edge Function)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Стандартный браузерный API, без сторонних сервисов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Хостинг фронта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Vercel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Бесплатный тариф, ноль DevOps. Внимание: см. раздел 11 о 152-ФЗ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Хостинг БД (РФ)</w:t>
            </w:r>
          </w:p>
        </w:tc>
        <w:tc>
          <w:tcPr>
            <w:tcW w:type="dxa" w:w="255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Yandex Cloud Managed PostgreSQL или Selectel + self-hosted Supabase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Локализация ПДн в РФ согласно 152-ФЗ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OCR (Phase 2)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Yandex Vision OCR или Tesseract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Распознавание PDF из лабораторий</w:t>
            </w:r>
          </w:p>
        </w:tc>
      </w:tr>
      <w:tr>
        <w:tc>
          <w:tcPr>
            <w:tcW w:type="dxa" w:w="1984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Аналитика продукта</w:t>
            </w:r>
          </w:p>
        </w:tc>
        <w:tc>
          <w:tcPr>
            <w:tcW w:type="dxa" w:w="255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PostHog (self-hosted) или Yandex Metrica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Продуктовая аналитика, без передачи данных в Google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Мониторинг ошибок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Sentry (или GlitchTip self-hosted)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Стандартный инструмент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Локализация хостинга под 152-ФЗ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ПДн граждан РФ должны хранится в первую очередь на серверах в РФ. Это означает, что Vercel + Supabase (EU) — НЕ подходят для production версии с реальными пациентками РФ. Возможные стратегии: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Стратегия А (рекомендуемая): фронтенд можно держать на Vercel (он не хранит ПДн, только статика и серверный рендер). База — Yandex Cloud Managed PostgreSQL или Selectel. Своя реализация auth-слоя (или self-hosted Supabase в Yandex Cloud).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Стратегия Б: всё в Yandex Cloud / Selectel, статика через Object Storage + CDN.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На MVP-этапе закрытого бета-теста с 5–20 пациентками супруги — можно работать на Supabase EU с письменными согласиями, но перед публичным запуском обязательно мигрировать.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9. Модель данных (ключевые сущности)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Сущность</w:t>
            </w:r>
          </w:p>
        </w:tc>
        <w:tc>
          <w:tcPr>
            <w:tcW w:type="dxa" w:w="5386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Ключевые поля</w:t>
            </w:r>
          </w:p>
        </w:tc>
        <w:tc>
          <w:tcPr>
            <w:tcW w:type="dxa" w:w="2268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Связи</w:t>
            </w:r>
          </w:p>
        </w:tc>
      </w:tr>
      <w:tr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User</w:t>
            </w:r>
          </w:p>
        </w:tc>
        <w:tc>
          <w:tcPr>
            <w:tcW w:type="dxa" w:w="5386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id, role (patient/doctor), email, phone, created_at, locale, marketing_consent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1:1 PatientProfile или DoctorProfile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PatientProfile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user_id, birth_date, height, weight, primary_diagnoses[], avg_cycle_length, last_period_date, contraception_type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1:N CycleEntry, LabResult, Medication</w:t>
            </w:r>
          </w:p>
        </w:tc>
      </w:tr>
      <w:tr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DoctorProfile</w:t>
            </w:r>
          </w:p>
        </w:tc>
        <w:tc>
          <w:tcPr>
            <w:tcW w:type="dxa" w:w="5386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user_id, full_name, specialty, clinic, license_number, verified, accepts_subscriptions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1:N PatientLink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PatientLink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patient_id, doctor_id, status (pending/active/revoked), permissions[], created_at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Связка пациентка ↔ врач</w:t>
            </w:r>
          </w:p>
        </w:tc>
      </w:tr>
      <w:tr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CycleEntry</w:t>
            </w:r>
          </w:p>
        </w:tc>
        <w:tc>
          <w:tcPr>
            <w:tcW w:type="dxa" w:w="5386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patient_id, date, period_flow, ovulation_test, bbt, notes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Ежедневная запись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Symptom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cycle_entry_id, type (enum), severity (0–10)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N:1 CycleEntry</w:t>
            </w:r>
          </w:p>
        </w:tc>
      </w:tr>
      <w:tr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LabResult</w:t>
            </w:r>
          </w:p>
        </w:tc>
        <w:tc>
          <w:tcPr>
            <w:tcW w:type="dxa" w:w="5386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patient_id, taken_at, lab_name, cycle_day, file_url, notes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1:N LabValue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LabValue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lab_result_id, marker_code, value, unit, reference_low, reference_high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Marker (справочник)</w:t>
            </w:r>
          </w:p>
        </w:tc>
        <w:tc>
          <w:tcPr>
            <w:tcW w:type="dxa" w:w="5386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code, name_ru, name_en, default_unit, reference_ranges[] (по фазе/состоянию)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Справочный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DoctorComment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doctor_id, target_type (lab/symptom/cycle), target_id, text, created_at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Subscription</w:t>
            </w:r>
          </w:p>
        </w:tc>
        <w:tc>
          <w:tcPr>
            <w:tcW w:type="dxa" w:w="5386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user_id, plan, status, started_at, next_billing_at, yookassa_payment_method_id</w:t>
            </w:r>
          </w:p>
        </w:tc>
        <w:tc>
          <w:tcPr>
            <w:tcW w:type="dxa" w:w="226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—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Consent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user_id, type (pdn/marketing/doctor_share), version, accepted_at, ip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Журнал согласий</w:t>
            </w:r>
          </w:p>
        </w:tc>
      </w:tr>
    </w:tbl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10. Информационная архитектура и экраны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Пациентский интерфейс (mobile PWA)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Главная — круг цикла, быстрый ввод, тревоги (последние тревожные значения анализов).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Журнал — лента дней, ввод симптомов.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Анализы — список + добавить + графики.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Врачи — список подключённых врачей, добавить нового.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Профиль — настройки, подписка, экспорт данных, удаление аккаунта.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Врачебный интерфейс (web)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Дашборд: сегодняшние приёмы, тревоги по пациенткам.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Пациентки — список с фильтрами.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Карточка пациентки: вкладки «Цикл», «Анализы», «Симптомы», «Заметки», «Рекомендации».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Настройки врача: профиль, код-приглашение для пациенток.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11. Регуляторные требования и приватность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152-ФЗ «О персональных данных»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Данные о здоровье — это специальная категория ПДн, обработка требует: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Письменного / явного электронного согласия пациентки.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Локализации в РФ (см. раздел 8).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Регистрации в Роскомнадзоре как оператора ПДн (подача уведомления, бесплатная процедура).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Политики конфиденциальности и Согласия на сайте + в приложении.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Возможности субъекта ПДн запросить выдачу/удаление своих данных.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Медицинское изделие или нет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На MVP-этапе позиционируем продукт как «электронный дневник самонаблюдения, не предназначенный для диагностики и не заменяющий консультацию врача» — это позволяет НЕ регистрировать продукт как медизделие. Соответствующая формулировка должна быть: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На странице регистрации (пользовательское соглашение).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 оферте.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В UI рядом с любыми числовыми показателями («не является диагностикой, обсудите с врачом»).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Реклама и платные консультации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Если на каком-то этапе мы добавим платные онлайн-консультации врачей через приложение — это переходит в зону регулирования платной медицинской деятельности (нужна лицензия). На MVP врач только наблюдает свою пациентку, приложение НЕ выступает площадкой телемедицины. Это важно зафиксировать юридически.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Прочее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54-ФЗ: автогенерация чеков на оплату подписки (через ЮKassa).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Рекомендуется заказать стартовую юридическую консультацию у юриста по medtech до публичного запуска (бюджет 10–30 тыс. ₽).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12. Метрики успеха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Метрики продукта (North Star)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Главная метрика: число активных пар «пациентка ↔ врач» с минимум 1 обновлением данных в неделю. Это лучший прокси для проверки нашей основной ценности.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Operational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DAU / MAU.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Доля пациенток, добавивших хотя бы один анализ за 30 дней.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Доля пациенток, подключивших врача.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Конверсия Free → Premium.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Retention D7 / D30 / D90.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Churn подписки месяц-к-месяцу.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Цели первых 6 месяцев после запуска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200 пациенток в активном использовании.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10 врачей, использующих кабинет.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Конверсия Free → Premium ≥ 5%.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Retention D30 ≥ 35%.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13. Бизнес-модель и юнит-экономика (гипотезы)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Гипотезы для проверки в первые 6 месяцев: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ARPU подписчика: ~250 ₽/мес (с учётом годовых подписок).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CAC через врачей-партнёров: близок к нулю (врач приглашает своих пациенток).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CAC через органику + соцсети: 300–700 ₽ за установку.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Payback: при ARPU 250 и churn 8% — окупаемость органического CAC за 4–6 месяцев.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Каналы привлечения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Кабинет врача — главный канал на старте (супруга и её коллеги).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Контент: блог супруги о СПКЯ/эндометриозе, Reels/Telegram-канал.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Партнёрства с лабораториями (Phase 2): «сдай анализ — получи месяц подписки».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14. Дорожная карта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Оценка для одного разработчика-новичка, по вечерам/выходным.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Этап</w:t>
            </w:r>
          </w:p>
        </w:tc>
        <w:tc>
          <w:tcPr>
            <w:tcW w:type="dxa" w:w="1701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Сроки</w:t>
            </w:r>
          </w:p>
        </w:tc>
        <w:tc>
          <w:tcPr>
            <w:tcW w:type="dxa" w:w="4819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Цели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0. Обучение и подготовка</w:t>
            </w:r>
          </w:p>
        </w:tc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Месяцы 1–2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Освоить React/Next.js (туториалы, мини-проекты), освоить Supabase, ЮKassa-документация. Финализировать ТЗ.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1. Каркас приложения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Месяцы 3–4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Регистрация, главный экран, ввод цикла, базовые экраны. Деплой на тестовый домен.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2. Анализы и графики</w:t>
            </w:r>
          </w:p>
        </w:tc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Месяцы 5–6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Ручной ввод анализов, справочник гормонов и норм, графики в Recharts.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3. Кабинет врача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Месяцы 7–8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Отдельный web-интерфейс врача, система приглашений, комментарии.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4. Подписка и комплаенс</w:t>
            </w:r>
          </w:p>
        </w:tc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Месяцы 9–10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ЮKassa, согласия 152-ФЗ, политика, перенос на Yandex Cloud.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5. Закрытая бета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Месяцы 11–12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Тест с 5–10 пациентками супруги. Сбор фидбэка, починка.</w:t>
            </w:r>
          </w:p>
        </w:tc>
      </w:tr>
      <w:tr>
        <w:tc>
          <w:tcPr>
            <w:tcW w:type="dxa" w:w="2835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6. Публичный запуск</w:t>
            </w:r>
          </w:p>
        </w:tc>
        <w:tc>
          <w:tcPr>
            <w:tcW w:type="dxa" w:w="1701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Месяц 13</w:t>
            </w:r>
          </w:p>
        </w:tc>
        <w:tc>
          <w:tcPr>
            <w:tcW w:type="dxa" w:w="4819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Лендинг, контентный канал, первые 50 пациенток.</w:t>
            </w:r>
          </w:p>
        </w:tc>
      </w:tr>
    </w:tbl>
    <w:p>
      <w:pPr>
        <w:spacing w:after="120" w:line="300" w:lineRule="auto"/>
      </w:pPr>
      <w:r>
        <w:rPr>
          <w:rFonts w:ascii="Calibri" w:hAnsi="Calibri" w:cs="Calibri"/>
          <w:b w:val="0"/>
          <w:i/>
          <w:color w:val="1F1F2E"/>
          <w:sz w:val="22"/>
        </w:rPr>
        <w:t>Это амбициозный, но реалистичный график при ~10 ч/неделю. Если возможно подключать подрядчика для дизайна (Figma) и сложных точек (юрист, серверная настройка) — график можно ускорить на 2–3 месяца.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15. Риски и митигации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Риск</w:t>
            </w:r>
          </w:p>
        </w:tc>
        <w:tc>
          <w:tcPr>
            <w:tcW w:type="dxa" w:w="1417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Вероятность</w:t>
            </w:r>
          </w:p>
        </w:tc>
        <w:tc>
          <w:tcPr>
            <w:tcW w:type="dxa" w:w="1417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Влияние</w:t>
            </w:r>
          </w:p>
        </w:tc>
        <w:tc>
          <w:tcPr>
            <w:tcW w:type="dxa" w:w="3402"/>
            <w:shd w:val="clear" w:color="auto" w:fill="C24D7B"/>
            <w:tcBorders>
              <w:top w:val="single" w:sz="6" w:color="C24D7B"/>
              <w:left w:val="single" w:sz="6" w:color="C24D7B"/>
              <w:bottom w:val="single" w:sz="6" w:color="C24D7B"/>
              <w:right w:val="single" w:sz="6" w:color="C24D7B"/>
            </w:tcBorders>
            <w:vAlign w:val="cente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Митигация</w:t>
            </w:r>
          </w:p>
        </w:tc>
      </w:tr>
      <w:tr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Не хватит технических навыков довести до релиза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Высокая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Критическое</w:t>
            </w:r>
          </w:p>
        </w:tc>
        <w:tc>
          <w:tcPr>
            <w:tcW w:type="dxa" w:w="340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Заложить 2 месяца обучения, привлечь ментора/подрядчика на сложные участки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152-ФЗ нарушение → штрафы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Средняя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Высокое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Юр-консультация, локализация ПДн, аккуратные согласия</w:t>
            </w:r>
          </w:p>
        </w:tc>
      </w:tr>
      <w:tr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Регуляторное переклассифицирование как медизделия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Низкая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Высокое</w:t>
            </w:r>
          </w:p>
        </w:tc>
        <w:tc>
          <w:tcPr>
            <w:tcW w:type="dxa" w:w="340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Чёткие формулировки в оферте/UI, юр-проверка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Низкий PMF — пациентки не платят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Средняя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Высокое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Закрытая бета на пациентках супруги, итерация на фидбэке до запуска</w:t>
            </w:r>
          </w:p>
        </w:tc>
      </w:tr>
      <w:tr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Конкурент (например, Сбер или Яндекс Здоровье) делает аналог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Средняя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Среднее</w:t>
            </w:r>
          </w:p>
        </w:tc>
        <w:tc>
          <w:tcPr>
            <w:tcW w:type="dxa" w:w="340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Скорость + ниша эндокринологии + личные связи врачей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Утечка медицинских данных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Низкая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Критическое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Шифрование на уровне БД, минимизация хранимого, регулярный аудит, страхование (Phase 2)</w:t>
            </w:r>
          </w:p>
        </w:tc>
      </w:tr>
      <w:tr>
        <w:tc>
          <w:tcPr>
            <w:tcW w:type="dxa" w:w="3118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Выгорание разработчика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Высокая</w:t>
            </w:r>
          </w:p>
        </w:tc>
        <w:tc>
          <w:tcPr>
            <w:tcW w:type="dxa" w:w="1417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Критическое</w:t>
            </w:r>
          </w:p>
        </w:tc>
        <w:tc>
          <w:tcPr>
            <w:tcW w:type="dxa" w:w="3402"/>
            <w:shd w:val="clear" w:color="auto" w:fill="F7E8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Calibri" w:hAnsi="Calibri" w:cs="Calibri"/>
                <w:b w:val="0"/>
                <w:i w:val="0"/>
                <w:color w:val="1F1F2E"/>
                <w:sz w:val="21"/>
              </w:rPr>
              <w:t>Реалистичный график, выходные, празднование промежуточных релизов, не пытаться сделать всё в MVP</w:t>
            </w:r>
          </w:p>
        </w:tc>
      </w:tr>
    </w:tbl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16. Открытые вопросы для обсуждения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1F1F2E"/>
          <w:sz w:val="22"/>
        </w:rPr>
        <w:t>Вопросы, которые нужно проработать на следующей итерации: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Финализировать справочник гормонов и анализов с супругой (полный список + источники норм с цитированием).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Согласовать набор симптомов для журнала и опросников по СПКЯ/эндометриозу.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Определиться с названием продукта (FemHealth — рабочее).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Юридическая модель: ИП или ООО для запуска подписочного сервиса.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Брендинг: цветовая палитра, шрифты, иконки. Заказывать дизайнеру или взять готовую UI-библиотеку (shadcn/ui, Radix).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Тарифные планы: проверить ценовую чувствительность на 5–10 пациентках перед запуском.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Решить, нужно ли в MVP ведение текущей терапии (приём препаратов по дням) или это Phase 2.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Каналы поддержки: чат/email/Telegram-канал — что в MVP.</w:t>
      </w:r>
    </w:p>
    <w:p>
      <w:pPr>
        <w:pStyle w:val="ListNumber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Юридическая оценка модели взаимодействия пациент-врач (не является ли это телемедициной по сути).</w:t>
      </w:r>
    </w:p>
    <w:p>
      <w:pPr>
        <w:keepNext/>
        <w:spacing w:before="400" w:after="200"/>
      </w:pPr>
      <w:r>
        <w:rPr>
          <w:rFonts w:ascii="Calibri" w:hAnsi="Calibri" w:cs="Calibri"/>
          <w:b/>
          <w:i w:val="0"/>
          <w:color w:val="C24D7B"/>
          <w:sz w:val="40"/>
        </w:rPr>
        <w:t>17. Приложения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Приложение А. Глоссарий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PWA (Progressive Web App) — веб-приложение, устанавливаемое как мобильное, с поддержкой push, офлайн-режима и иконки на рабочем столе.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СПКЯ — синдром поликистозных яичников.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АМГ — антимюллеров гормон, маркер овариального резерва.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ЛГ / ФСГ — лютеинизирующий и фолликулостимулирующий гормоны.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ТТГ — тиреотропный гормон.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HOMA-IR — индекс инсулинорезистентности.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ПДн — персональные данные (152-ФЗ).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ARPU — Average Revenue Per User.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CAC — Customer Acquisition Cost.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Приложение Б. Источники исследования рынка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FemTech World, htworld.co.uk — обзор рынка digital health 2026.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Grand View Research — отчёты по women's health app market.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Coherent Market Insights — major players in women's health apps.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JMIR Formative Research 2026 — исследование сообщества пациенток СПКЯ/эндометриоза.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Tuta, Malwarebytes — материалы по делу Flo / Meta.</w:t>
      </w:r>
    </w:p>
    <w:p>
      <w:pPr>
        <w:keepNext/>
        <w:spacing w:before="280" w:after="120"/>
      </w:pPr>
      <w:r>
        <w:rPr>
          <w:rFonts w:ascii="Calibri" w:hAnsi="Calibri" w:cs="Calibri"/>
          <w:b/>
          <w:i w:val="0"/>
          <w:color w:val="1F1F2E"/>
          <w:sz w:val="28"/>
        </w:rPr>
        <w:t>Приложение В. Версии документа</w:t>
      </w:r>
    </w:p>
    <w:p>
      <w:pPr>
        <w:pStyle w:val="ListBullet"/>
        <w:spacing w:after="40"/>
        <w:ind w:left="340"/>
      </w:pPr>
      <w:r>
        <w:rPr>
          <w:rFonts w:ascii="Calibri" w:hAnsi="Calibri" w:cs="Calibri"/>
          <w:b w:val="0"/>
          <w:i w:val="0"/>
          <w:color w:val="1F1F2E"/>
          <w:sz w:val="22"/>
        </w:rPr>
        <w:t>0.1 — май 2026, первичный черновик после маркет-ресёрча и уточняющих вопросов.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