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e06ad08986448f2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19.12.2024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ГУЗЕНКО РУСЛАН ІВАНОВИЧ, з іншого боку, склали акт про те, що Виконавцем були виконані наступні роботи (надані такі послуги) у сфері тваринництва по господарствах: ТОВ «Агромайстер», ТДВ «Агронива», ТОВ «Віола+»: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годівлі; консультування з підбору кормів для селекції та відтворення тварин.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57600,00 грн. (П’ятдесят сім тисяч шістсот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Гузенко Руслан Іванович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Р/р 26006060370261 в КБ «Приватбанк»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МФО 305299, ІН 3052306778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Запис про державну реєстрацію ФОП  № 2 218 000 0000 001031 від 02.11.2010 р.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53500, Дніпропетровська обл., Томаківський р-н, смт Томаківка, пров. Робітничий, 12</w:t>
            </w:r>
          </w:p>
        </w:tc>
      </w:tr>
    </w:tbl>
  </w:body>
</w:document>
</file>