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b8c2d79b854e69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18.12.2024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ТИСЯЧНИЙ ВІКТОР МИКОЛАЙОВИЧ, з іншого боку, склали акт про те, що Виконавцем були виконані наступні роботи (надані такі послуги) у сфері тваринництва по господарствах: ФГ «Плантера»: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53098,00 грн. (П’ятдесят три тисячі  дев’яносто вісім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ТИСЯЧНИЙ ВІКТОР МИКОЛАЙОВИЧ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Тисячний Віктор Миколайович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ІН 2922708036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Св-во про державну реєстрацію СПД-фізичної особи Серія В03 № 884993 від 30.11.2010 р., запис № 2 170 000 0000 000822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24120, Вінницька обл., Чернівецький р-н, с.Володіївці, вул. Миру, 21</w:t>
            </w:r>
          </w:p>
        </w:tc>
      </w:tr>
    </w:tbl>
  </w:body>
</w:document>
</file>