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Финальный проект Brillius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Требования к проекту (ТЗ, project requirments):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Bootstrap 3.3.6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Responsive: 320-1200px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Main nav ==&gt; select на ширине &lt;768px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Gallery: первый блок, 1 картинкой, JS из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Icons: Glyphicons(иконки из самого Bootstrap), svg или icomoon.io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Доп. требования: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главная навигация всегда сверху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при клике на пунктах навигации переходит к соответствующему блоку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в блоке Our Amazing Skills сделать скилы через плагин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http://anthonyterrien.com/knob/</w:t>
        </w:r>
      </w:hyperlink>
      <w:r w:rsidDel="00000000" w:rsidR="00000000" w:rsidRPr="00000000">
        <w:rPr>
          <w:rtl w:val="0"/>
        </w:rPr>
        <w:t xml:space="preserve"> (по желанию)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Универсальная структура для блоков: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&lt;section class=""&gt;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&lt;header class="heading"&gt;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&lt;h2&gt;Заголовок&lt;/h2&gt;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&lt;strong class="title"&gt;Подзаголовок&lt;/strong&gt;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&lt;div class="row"&gt;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Колонки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&lt;/section&gt;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nthonyterrien.com/knob/" TargetMode="External"/></Relationships>
</file>