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 w:eastAsia="Arial"/>
          <w:b/>
          <w:sz w:val="26"/>
        </w:rPr>
        <w:t>ASmart — шпаргалка у терминала</w:t>
      </w:r>
    </w:p>
    <w:p>
      <w:r>
        <w:rPr>
          <w:rFonts w:ascii="Arial" w:hAnsi="Arial" w:eastAsia="Arial"/>
          <w:b w:val="0"/>
          <w:sz w:val="18"/>
        </w:rPr>
        <w:t>Индикаторы не торгуют. Сделку открываете вы. На графике оба: SMC (структура/блоки) + Tools (свечи/стрелка). ТФ: крипто M1–M5, форекс M5–M15.</w:t>
      </w:r>
    </w:p>
    <w:p>
      <w:pPr>
        <w:spacing w:before="120" w:after="40"/>
      </w:pPr>
      <w:r>
        <w:rPr>
          <w:rFonts w:ascii="Arial" w:hAnsi="Arial" w:eastAsia="Arial"/>
          <w:b/>
          <w:color w:val="143C78"/>
          <w:sz w:val="20"/>
        </w:rPr>
        <w:t>1. Карта графика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2381"/>
            <w:shd w:fill="D9E2F3" w:val="clear"/>
          </w:tcPr>
          <w:p>
            <w:r/>
            <w:r>
              <w:rPr>
                <w:rFonts w:ascii="Arial" w:hAnsi="Arial" w:eastAsia="Arial"/>
                <w:b/>
                <w:sz w:val="16"/>
              </w:rPr>
              <w:t>Что видите</w:t>
            </w:r>
          </w:p>
        </w:tc>
        <w:tc>
          <w:tcPr>
            <w:tcW w:type="dxa" w:w="3969"/>
            <w:shd w:fill="D9E2F3" w:val="clear"/>
          </w:tcPr>
          <w:p>
            <w:r/>
            <w:r>
              <w:rPr>
                <w:rFonts w:ascii="Arial" w:hAnsi="Arial" w:eastAsia="Arial"/>
                <w:b/>
                <w:sz w:val="16"/>
              </w:rPr>
              <w:t>Как появляется</w:t>
            </w:r>
          </w:p>
        </w:tc>
        <w:tc>
          <w:tcPr>
            <w:tcW w:type="dxa" w:w="3402"/>
            <w:shd w:fill="D9E2F3" w:val="clear"/>
          </w:tcPr>
          <w:p>
            <w:r/>
            <w:r>
              <w:rPr>
                <w:rFonts w:ascii="Arial" w:hAnsi="Arial" w:eastAsia="Arial"/>
                <w:b/>
                <w:sz w:val="16"/>
              </w:rPr>
              <w:t>На решение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SMC_Trend (точки внизу)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Бирюза = покупки, красный = продажи; цвет меняется по истории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Фон. Не входите против текущего цвета без своей структуры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BoS (кружок + подпись)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Закрытие за прошлым хаем/лоем по тренду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Тренд жив. Само по себе не вход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ChoCh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Первое закрытие против тренда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Старое направление не брать, пока нет нового блока + свечи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IDM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Первый откат после слома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Пока фитилём не сняли IDM — слом «сырой». Live IDM — не вход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OB-EXT (сильный блок)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Последняя противоположная свеча ноги, которая сделала BoS/ChoCh. Пунктир до пробоя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Основная зона входа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OB-IDM (слабый блок)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Свеча самого IDM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Зона есть, риск меньше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Previous OB-EXT / SMT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Старый блок / фитиль прошил блок и закрылся обратно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НЕ ВХОД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FVG, сессии, EQH, PDH…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Контекст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Не заменяют блок + свечу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Свечи Tools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Зел./красн. = сильная (SMC); голуб./фиол. = слабая (Velocity); голуб./малин. High Wick = длинная тень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Триггер только у своего блока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Стрелка + % + уровни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Tools после закрытия сигнальной свечи у живого OB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Кандидат. Ордер вручную</w:t>
            </w:r>
          </w:p>
        </w:tc>
      </w:tr>
    </w:tbl>
    <w:p>
      <w:r>
        <w:rPr>
          <w:rFonts w:ascii="Arial" w:hAnsi="Arial" w:eastAsia="Arial"/>
          <w:b w:val="0"/>
          <w:sz w:val="18"/>
        </w:rPr>
      </w:r>
      <w:r>
        <w:rPr>
          <w:rFonts w:ascii="Arial" w:hAnsi="Arial" w:eastAsia="Arial"/>
          <w:b/>
          <w:sz w:val="18"/>
        </w:rPr>
        <w:t xml:space="preserve">Формула входа: </w:t>
      </w:r>
      <w:r>
        <w:rPr>
          <w:rFonts w:ascii="Arial" w:hAnsi="Arial" w:eastAsia="Arial"/>
          <w:b w:val="0"/>
          <w:sz w:val="18"/>
        </w:rPr>
        <w:t>живой блок своего направления + тест/пробой с возвратом + закрытая свеча того же направления. Без одного из трёх — нет сделки.</w:t>
      </w:r>
    </w:p>
    <w:p>
      <w:pPr>
        <w:spacing w:before="120" w:after="40"/>
      </w:pPr>
      <w:r>
        <w:rPr>
          <w:rFonts w:ascii="Arial" w:hAnsi="Arial" w:eastAsia="Arial"/>
          <w:b/>
          <w:color w:val="143C78"/>
          <w:sz w:val="20"/>
        </w:rPr>
        <w:t>2. Когда появилась стрелка — алгоритм</w:t>
      </w:r>
    </w:p>
    <w:p>
      <w:r>
        <w:rPr>
          <w:rFonts w:ascii="Arial" w:hAnsi="Arial" w:eastAsia="Arial"/>
          <w:b/>
          <w:sz w:val="18"/>
        </w:rPr>
        <w:t>Шаг 1. Проверка «можно ли»</w:t>
      </w:r>
    </w:p>
    <w:p>
      <w:pPr>
        <w:pStyle w:val="ListBullet"/>
        <w:spacing w:after="0" w:before="0"/>
        <w:ind w:left="227"/>
      </w:pPr>
      <w:r>
        <w:rPr>
          <w:rFonts w:ascii="Arial" w:hAnsi="Arial" w:eastAsia="Arial"/>
          <w:b w:val="0"/>
          <w:sz w:val="16"/>
        </w:rPr>
        <w:t>Стрелка на закрытой свече (не Live)</w:t>
      </w:r>
    </w:p>
    <w:p>
      <w:pPr>
        <w:pStyle w:val="ListBullet"/>
        <w:spacing w:after="0" w:before="0"/>
        <w:ind w:left="227"/>
      </w:pPr>
      <w:r>
        <w:rPr>
          <w:rFonts w:ascii="Arial" w:hAnsi="Arial" w:eastAsia="Arial"/>
          <w:b w:val="0"/>
          <w:sz w:val="16"/>
        </w:rPr>
        <w:t>Цвет тренда / ChoCh не против сделки</w:t>
      </w:r>
    </w:p>
    <w:p>
      <w:pPr>
        <w:pStyle w:val="ListBullet"/>
        <w:spacing w:after="0" w:before="0"/>
        <w:ind w:left="227"/>
      </w:pPr>
      <w:r>
        <w:rPr>
          <w:rFonts w:ascii="Arial" w:hAnsi="Arial" w:eastAsia="Arial"/>
          <w:b w:val="0"/>
          <w:sz w:val="16"/>
        </w:rPr>
        <w:t>Блок = бычий OB-EXT/OB-IDM (покупка) или медвежий (продажа)</w:t>
      </w:r>
    </w:p>
    <w:p>
      <w:pPr>
        <w:pStyle w:val="ListBullet"/>
        <w:spacing w:after="0" w:before="0"/>
        <w:ind w:left="227"/>
      </w:pPr>
      <w:r>
        <w:rPr>
          <w:rFonts w:ascii="Arial" w:hAnsi="Arial" w:eastAsia="Arial"/>
          <w:b w:val="0"/>
          <w:sz w:val="16"/>
        </w:rPr>
        <w:t>Не SMT и не Previous OB-EXT</w:t>
      </w:r>
    </w:p>
    <w:p>
      <w:pPr>
        <w:pStyle w:val="ListBullet"/>
        <w:spacing w:after="0" w:before="0"/>
        <w:ind w:left="227"/>
      </w:pPr>
      <w:r>
        <w:rPr>
          <w:rFonts w:ascii="Arial" w:hAnsi="Arial" w:eastAsia="Arial"/>
          <w:b w:val="0"/>
          <w:sz w:val="16"/>
        </w:rPr>
        <w:t>Свеча касается/тестирует этот блок (или возврат после пробоя)</w:t>
      </w:r>
    </w:p>
    <w:p>
      <w:r>
        <w:rPr>
          <w:rFonts w:ascii="Arial" w:hAnsi="Arial" w:eastAsia="Arial"/>
          <w:b/>
          <w:sz w:val="18"/>
        </w:rPr>
        <w:t>Шаг 2. Риск (100% = ваш обычный риск на одну сделку, не весь депозит)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969"/>
            <w:shd w:fill="D9E2F3" w:val="clear"/>
          </w:tcPr>
          <w:p>
            <w:r/>
            <w:r>
              <w:rPr>
                <w:rFonts w:ascii="Arial" w:hAnsi="Arial" w:eastAsia="Arial"/>
                <w:b/>
                <w:sz w:val="16"/>
              </w:rPr>
            </w:r>
          </w:p>
        </w:tc>
        <w:tc>
          <w:tcPr>
            <w:tcW w:type="dxa" w:w="2835"/>
            <w:shd w:fill="D9E2F3" w:val="clear"/>
          </w:tcPr>
          <w:p>
            <w:r/>
            <w:r>
              <w:rPr>
                <w:rFonts w:ascii="Arial" w:hAnsi="Arial" w:eastAsia="Arial"/>
                <w:b/>
                <w:sz w:val="16"/>
              </w:rPr>
              <w:t>OB-EXT</w:t>
            </w:r>
          </w:p>
        </w:tc>
        <w:tc>
          <w:tcPr>
            <w:tcW w:type="dxa" w:w="2835"/>
            <w:shd w:fill="D9E2F3" w:val="clear"/>
          </w:tcPr>
          <w:p>
            <w:r/>
            <w:r>
              <w:rPr>
                <w:rFonts w:ascii="Arial" w:hAnsi="Arial" w:eastAsia="Arial"/>
                <w:b/>
                <w:sz w:val="16"/>
              </w:rPr>
              <w:t>OB-IDM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Покупка: зелёная / голубая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100% / 50%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50% / 25%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Продажа: красная / фиолетовая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100% / 50%</w:t>
            </w:r>
          </w:p>
        </w:tc>
        <w:tc>
          <w:tcPr>
            <w:tcW w:type="dxa" w:w="2835"/>
          </w:tcPr>
          <w:p>
            <w:r/>
            <w:r>
              <w:rPr>
                <w:rFonts w:ascii="Arial" w:hAnsi="Arial" w:eastAsia="Arial"/>
                <w:b w:val="0"/>
                <w:sz w:val="16"/>
              </w:rPr>
              <w:t>50% / 25%</w:t>
            </w:r>
          </w:p>
        </w:tc>
      </w:tr>
    </w:tbl>
    <w:p>
      <w:r>
        <w:rPr>
          <w:rFonts w:ascii="Arial" w:hAnsi="Arial" w:eastAsia="Arial"/>
          <w:b/>
          <w:sz w:val="18"/>
        </w:rPr>
        <w:t>Шаг 3. Покупка</w:t>
      </w:r>
    </w:p>
    <w:p>
      <w:pPr>
        <w:pStyle w:val="ListBullet"/>
        <w:spacing w:after="0" w:before="0"/>
        <w:ind w:left="227"/>
      </w:pPr>
      <w:r>
        <w:rPr>
          <w:rFonts w:ascii="Arial" w:hAnsi="Arial" w:eastAsia="Arial"/>
          <w:b w:val="0"/>
          <w:sz w:val="16"/>
        </w:rPr>
        <w:t>Вход ≈ закрытие сигнальной свечи (или по линиям Tools).</w:t>
      </w:r>
    </w:p>
    <w:p>
      <w:pPr>
        <w:pStyle w:val="ListBullet"/>
        <w:spacing w:after="0" w:before="0"/>
        <w:ind w:left="227"/>
      </w:pPr>
      <w:r>
        <w:rPr>
          <w:rFonts w:ascii="Arial" w:hAnsi="Arial" w:eastAsia="Arial"/>
          <w:b w:val="0"/>
          <w:sz w:val="16"/>
        </w:rPr>
        <w:t>Стоп: ниже низа блока, либо ниже большой сигнальной свечи, либо ниже экстремума после теста — что логичнее ближе.</w:t>
      </w:r>
    </w:p>
    <w:p>
      <w:pPr>
        <w:pStyle w:val="ListBullet"/>
        <w:spacing w:after="0" w:before="0"/>
        <w:ind w:left="227"/>
      </w:pPr>
      <w:r>
        <w:rPr>
          <w:rFonts w:ascii="Arial" w:hAnsi="Arial" w:eastAsia="Arial"/>
          <w:b w:val="0"/>
          <w:sz w:val="16"/>
        </w:rPr>
        <w:t>Тейк 1:1 = та же дистанция, что стоп, вверх. Дальний тейк — ориентир (следующий свинг / до 2R). База системы — 1:1.</w:t>
      </w:r>
    </w:p>
    <w:p>
      <w:r>
        <w:rPr>
          <w:rFonts w:ascii="Arial" w:hAnsi="Arial" w:eastAsia="Arial"/>
          <w:b/>
          <w:sz w:val="18"/>
        </w:rPr>
        <w:t>Шаг 4. Продажа — зеркально: стоп выше блока/свечи/экстремума, тейк 1:1 вниз.</w:t>
      </w:r>
    </w:p>
    <w:p>
      <w:r>
        <w:rPr>
          <w:rFonts w:ascii="Arial" w:hAnsi="Arial" w:eastAsia="Arial"/>
          <w:b/>
          <w:sz w:val="18"/>
        </w:rPr>
        <w:t>Шаг 5. После входа</w:t>
      </w:r>
    </w:p>
    <w:p>
      <w:pPr>
        <w:pStyle w:val="ListBullet"/>
        <w:spacing w:after="0" w:before="0"/>
        <w:ind w:left="227"/>
      </w:pPr>
      <w:r>
        <w:rPr>
          <w:rFonts w:ascii="Arial" w:hAnsi="Arial" w:eastAsia="Arial"/>
          <w:b w:val="0"/>
          <w:sz w:val="16"/>
        </w:rPr>
        <w:t>Стоп и тейк сразу. Не двигать, не трейлить, не усреднять, не закрывать «половину по пути».</w:t>
      </w:r>
    </w:p>
    <w:p>
      <w:pPr>
        <w:pStyle w:val="ListBullet"/>
        <w:spacing w:after="0" w:before="0"/>
        <w:ind w:left="227"/>
      </w:pPr>
      <w:r>
        <w:rPr>
          <w:rFonts w:ascii="Arial" w:hAnsi="Arial" w:eastAsia="Arial"/>
          <w:b w:val="0"/>
          <w:sz w:val="16"/>
        </w:rPr>
        <w:t>До стопа или тейка. Новости / широкий спред у микро-стопа — пропуск.</w:t>
      </w:r>
    </w:p>
    <w:p>
      <w:r>
        <w:rPr>
          <w:rFonts w:ascii="Arial" w:hAnsi="Arial" w:eastAsia="Arial"/>
          <w:b/>
          <w:sz w:val="18"/>
        </w:rPr>
        <w:t>Шаг 6. Выбило по стопу</w:t>
      </w:r>
    </w:p>
    <w:p>
      <w:pPr>
        <w:pStyle w:val="ListBullet"/>
        <w:spacing w:after="0" w:before="0"/>
        <w:ind w:left="227"/>
      </w:pPr>
      <w:r>
        <w:rPr>
          <w:rFonts w:ascii="Arial" w:hAnsi="Arial" w:eastAsia="Arial"/>
          <w:b w:val="0"/>
          <w:sz w:val="16"/>
        </w:rPr>
        <w:t>Один повтор в ту же зону: свип + новая свеча того же направления, риск снова по таблице.</w:t>
      </w:r>
    </w:p>
    <w:p>
      <w:pPr>
        <w:pStyle w:val="ListBullet"/>
        <w:spacing w:after="0" w:before="0"/>
        <w:ind w:left="227"/>
      </w:pPr>
      <w:r>
        <w:rPr>
          <w:rFonts w:ascii="Arial" w:hAnsi="Arial" w:eastAsia="Arial"/>
          <w:b w:val="0"/>
          <w:sz w:val="16"/>
        </w:rPr>
        <w:t>Второй стоп — зона закрыта. Ждите новый блок.</w:t>
      </w:r>
    </w:p>
    <w:p>
      <w:pPr>
        <w:spacing w:before="120" w:after="40"/>
      </w:pPr>
      <w:r>
        <w:rPr>
          <w:rFonts w:ascii="Arial" w:hAnsi="Arial" w:eastAsia="Arial"/>
          <w:b/>
          <w:color w:val="143C78"/>
          <w:sz w:val="20"/>
        </w:rPr>
        <w:t>3. Жёсткое «нет»</w:t>
      </w:r>
    </w:p>
    <w:p>
      <w:r>
        <w:rPr>
          <w:rFonts w:ascii="Arial" w:hAnsi="Arial" w:eastAsia="Arial"/>
          <w:b w:val="0"/>
          <w:sz w:val="18"/>
        </w:rPr>
        <w:t>Свеча без блока · блок без закрытой свечи · SMT / Previous · против ChoCh/тренда · Live-пунктир · третья попытка · тейк «куда дойдёт» · доливка к убытку.</w:t>
      </w:r>
    </w:p>
    <w:p>
      <w:pPr>
        <w:spacing w:before="120"/>
      </w:pPr>
      <w:r>
        <w:rPr>
          <w:rFonts w:ascii="Arial" w:hAnsi="Arial" w:eastAsia="Arial"/>
          <w:b w:val="0"/>
          <w:color w:val="505050"/>
          <w:sz w:val="16"/>
        </w:rPr>
        <w:t>Стрелка ≠ заявка. Алерт только на сигнал Tools. История может пересчитываться при новых свингах — торгуйте закрытую свечу, не «красивую» историю.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52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