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Arial" w:hAnsi="Arial" w:eastAsia="Arial"/>
          <w:b/>
          <w:sz w:val="24"/>
        </w:rPr>
        <w:t>ASmart — шпаргалка у терминала (актуально 1.05+)</w:t>
      </w:r>
    </w:p>
    <w:p>
      <w:r>
        <w:rPr>
          <w:rFonts w:ascii="Arial" w:hAnsi="Arial" w:eastAsia="Arial"/>
          <w:b w:val="0"/>
          <w:sz w:val="17"/>
        </w:rPr>
        <w:t>Не советник. Оба индикатора на одном графике: SMC (структура) + Tools (свечи/стрелка). ТФ: крипто M1–M5, форекс M5–M15. Сделку открываете вы.</w:t>
      </w:r>
    </w:p>
    <w:p>
      <w:pPr>
        <w:spacing w:before="80" w:after="20"/>
      </w:pPr>
      <w:r>
        <w:rPr>
          <w:rFonts w:ascii="Arial" w:hAnsi="Arial" w:eastAsia="Arial"/>
          <w:b/>
          <w:color w:val="143C78"/>
          <w:sz w:val="19"/>
        </w:rPr>
        <w:t>1. Формула входа</w:t>
      </w:r>
    </w:p>
    <w:p>
      <w:r>
        <w:rPr>
          <w:rFonts w:ascii="Arial" w:hAnsi="Arial" w:eastAsia="Arial"/>
          <w:b w:val="0"/>
          <w:sz w:val="17"/>
        </w:rPr>
        <w:t>Живой блок своего направления + тест/возврат + ЗАКРЫТАЯ свеча того же цвета. Без одного из трёх — нет сделки. Сигнал без заглядывания в будущее; стрелка фиксируется и не переписывается.</w:t>
      </w:r>
    </w:p>
    <w:p>
      <w:pPr>
        <w:spacing w:before="80" w:after="20"/>
      </w:pPr>
      <w:r>
        <w:rPr>
          <w:rFonts w:ascii="Arial" w:hAnsi="Arial" w:eastAsia="Arial"/>
          <w:b/>
          <w:color w:val="143C78"/>
          <w:sz w:val="19"/>
        </w:rPr>
        <w:t>2. Что брать / что нельзя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381"/>
            <w:shd w:fill="D9E2F3" w:val="clear"/>
          </w:tcPr>
          <w:p>
            <w:r/>
            <w:r>
              <w:rPr>
                <w:rFonts w:ascii="Arial" w:hAnsi="Arial" w:eastAsia="Arial"/>
                <w:b/>
                <w:sz w:val="15"/>
              </w:rPr>
              <w:t>Зона / метка</w:t>
            </w:r>
          </w:p>
        </w:tc>
        <w:tc>
          <w:tcPr>
            <w:tcW w:type="dxa" w:w="5386"/>
            <w:shd w:fill="D9E2F3" w:val="clear"/>
          </w:tcPr>
          <w:p>
            <w:r/>
            <w:r>
              <w:rPr>
                <w:rFonts w:ascii="Arial" w:hAnsi="Arial" w:eastAsia="Arial"/>
                <w:b/>
                <w:sz w:val="15"/>
              </w:rPr>
              <w:t>Смысл</w:t>
            </w:r>
          </w:p>
        </w:tc>
        <w:tc>
          <w:tcPr>
            <w:tcW w:type="dxa" w:w="2551"/>
            <w:shd w:fill="D9E2F3" w:val="clear"/>
          </w:tcPr>
          <w:p>
            <w:r/>
            <w:r>
              <w:rPr>
                <w:rFonts w:ascii="Arial" w:hAnsi="Arial" w:eastAsia="Arial"/>
                <w:b/>
                <w:sz w:val="15"/>
              </w:rPr>
              <w:t>Вход?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OB-EXT</w:t>
            </w:r>
          </w:p>
        </w:tc>
        <w:tc>
          <w:tcPr>
            <w:tcW w:type="dxa" w:w="5386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Сильный свежий блок (нога слома)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Да, основа 100%/50%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OB-IDM</w:t>
            </w:r>
          </w:p>
        </w:tc>
        <w:tc>
          <w:tcPr>
            <w:tcW w:type="dxa" w:w="5386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Слабый блок на IDM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Да, риск меньше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Previous OB-EXT</w:t>
            </w:r>
          </w:p>
        </w:tc>
        <w:tc>
          <w:tcPr>
            <w:tcW w:type="dxa" w:w="5386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Старый сильный блок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НЕТ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SMT</w:t>
            </w:r>
          </w:p>
        </w:tc>
        <w:tc>
          <w:tcPr>
            <w:tcW w:type="dxa" w:w="5386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Фитиль прошил блок, закрытие вернулось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НЕТ (ловушка)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BoS / ChoCh / IDM</w:t>
            </w:r>
          </w:p>
        </w:tc>
        <w:tc>
          <w:tcPr>
            <w:tcW w:type="dxa" w:w="5386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Структура (кружок у BoS/ChoCh)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Не вход сами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Live …</w:t>
            </w:r>
          </w:p>
        </w:tc>
        <w:tc>
          <w:tcPr>
            <w:tcW w:type="dxa" w:w="5386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Пунктир на открытой свече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НЕТ до закрытия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SMC_Trend</w:t>
            </w:r>
          </w:p>
        </w:tc>
        <w:tc>
          <w:tcPr>
            <w:tcW w:type="dxa" w:w="5386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Бирюза покупка / красный продажа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Фильтр фона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Серая стрелка</w:t>
            </w:r>
          </w:p>
        </w:tc>
        <w:tc>
          <w:tcPr>
            <w:tcW w:type="dxa" w:w="5386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«НЕ ОТКРЫВАТЬ» + причина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НЕТ</w:t>
            </w:r>
          </w:p>
        </w:tc>
      </w:tr>
    </w:tbl>
    <w:p>
      <w:pPr>
        <w:spacing w:before="80" w:after="20"/>
      </w:pPr>
      <w:r>
        <w:rPr>
          <w:rFonts w:ascii="Arial" w:hAnsi="Arial" w:eastAsia="Arial"/>
          <w:b/>
          <w:color w:val="143C78"/>
          <w:sz w:val="19"/>
        </w:rPr>
        <w:t>3. Алгоритм при стрелке</w:t>
      </w:r>
    </w:p>
    <w:p>
      <w:r>
        <w:rPr>
          <w:rFonts w:ascii="Arial" w:hAnsi="Arial" w:eastAsia="Arial"/>
          <w:b/>
          <w:sz w:val="17"/>
        </w:rPr>
        <w:t>Шаг 1. Комментарий = ОТКРЫВАТЬ? Если НЕ ОТКРЫВАТЬ — стоп, причин достаточно.</w:t>
      </w:r>
    </w:p>
    <w:p>
      <w:pPr>
        <w:pStyle w:val="ListBullet"/>
        <w:spacing w:after="0" w:before="0"/>
        <w:ind w:left="170"/>
      </w:pPr>
      <w:r>
        <w:rPr>
          <w:rFonts w:ascii="Arial" w:hAnsi="Arial" w:eastAsia="Arial"/>
          <w:b w:val="0"/>
          <w:sz w:val="16"/>
        </w:rPr>
        <w:t>ChoCh/тренд против · все HTF против · OB-IDM против импульсной ноги (≥1.5 ATR / 5 бар)</w:t>
      </w:r>
    </w:p>
    <w:p>
      <w:pPr>
        <w:pStyle w:val="ListBullet"/>
        <w:spacing w:after="0" w:before="0"/>
        <w:ind w:left="170"/>
      </w:pPr>
      <w:r>
        <w:rPr>
          <w:rFonts w:ascii="Arial" w:hAnsi="Arial" w:eastAsia="Arial"/>
          <w:b w:val="0"/>
          <w:sz w:val="16"/>
        </w:rPr>
        <w:t>Стоп &lt; 2 спреда (или N×ATR) · окно новостей ±30 мин · SMT / Previous</w:t>
      </w:r>
    </w:p>
    <w:p>
      <w:r>
        <w:rPr>
          <w:rFonts w:ascii="Arial" w:hAnsi="Arial" w:eastAsia="Arial"/>
          <w:b/>
          <w:sz w:val="17"/>
        </w:rPr>
        <w:t>Шаг 2. Риск (100% = ваш обычный риск на сделку). 100% только если тренд+HTF+нет ChoCh против; иначе ≤50%.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4535"/>
            <w:shd w:fill="D9E2F3" w:val="clear"/>
          </w:tcPr>
          <w:p>
            <w:r/>
            <w:r>
              <w:rPr>
                <w:rFonts w:ascii="Arial" w:hAnsi="Arial" w:eastAsia="Arial"/>
                <w:b/>
                <w:sz w:val="15"/>
              </w:rPr>
            </w:r>
          </w:p>
        </w:tc>
        <w:tc>
          <w:tcPr>
            <w:tcW w:type="dxa" w:w="2835"/>
            <w:shd w:fill="D9E2F3" w:val="clear"/>
          </w:tcPr>
          <w:p>
            <w:r/>
            <w:r>
              <w:rPr>
                <w:rFonts w:ascii="Arial" w:hAnsi="Arial" w:eastAsia="Arial"/>
                <w:b/>
                <w:sz w:val="15"/>
              </w:rPr>
              <w:t>OB-EXT</w:t>
            </w:r>
          </w:p>
        </w:tc>
        <w:tc>
          <w:tcPr>
            <w:tcW w:type="dxa" w:w="2835"/>
            <w:shd w:fill="D9E2F3" w:val="clear"/>
          </w:tcPr>
          <w:p>
            <w:r/>
            <w:r>
              <w:rPr>
                <w:rFonts w:ascii="Arial" w:hAnsi="Arial" w:eastAsia="Arial"/>
                <w:b/>
                <w:sz w:val="15"/>
              </w:rPr>
              <w:t>OB-IDM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Покупка: зелёная / голубая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100%* / 50%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50% / 25%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Продажа: красная / фиолетовая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100%* / 50%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Arial"/>
                <w:b w:val="0"/>
                <w:sz w:val="14"/>
              </w:rPr>
              <w:t>50% / 25%</w:t>
            </w:r>
          </w:p>
        </w:tc>
      </w:tr>
    </w:tbl>
    <w:p>
      <w:r>
        <w:rPr>
          <w:rFonts w:ascii="Arial" w:hAnsi="Arial" w:eastAsia="Arial"/>
          <w:b w:val="0"/>
          <w:sz w:val="15"/>
        </w:rPr>
        <w:t>*100% урезается до ≤50%, если нет полного совпадения фильтров.</w:t>
      </w:r>
    </w:p>
    <w:p>
      <w:r>
        <w:rPr>
          <w:rFonts w:ascii="Arial" w:hAnsi="Arial" w:eastAsia="Arial"/>
          <w:b/>
          <w:sz w:val="17"/>
        </w:rPr>
        <w:t>Шаг 3–4. Покупка / продажа</w:t>
      </w:r>
    </w:p>
    <w:p>
      <w:pPr>
        <w:pStyle w:val="ListBullet"/>
        <w:spacing w:after="0" w:before="0"/>
        <w:ind w:left="170"/>
      </w:pPr>
      <w:r>
        <w:rPr>
          <w:rFonts w:ascii="Arial" w:hAnsi="Arial" w:eastAsia="Arial"/>
          <w:b w:val="0"/>
          <w:sz w:val="16"/>
        </w:rPr>
        <w:t>Вход ≈ закрытие сигнальной свечи. Стоп: за блок / большую свечу / экстремум после теста.</w:t>
      </w:r>
    </w:p>
    <w:p>
      <w:pPr>
        <w:pStyle w:val="ListBullet"/>
        <w:spacing w:after="0" w:before="0"/>
        <w:ind w:left="170"/>
      </w:pPr>
      <w:r>
        <w:rPr>
          <w:rFonts w:ascii="Arial" w:hAnsi="Arial" w:eastAsia="Arial"/>
          <w:b w:val="0"/>
          <w:sz w:val="16"/>
        </w:rPr>
        <w:t>Тейк 1:1 = дистанция стопа. Дальний тейк ≥ 1:2: противоположная зона OB, иначе свинг, иначе жёстко 1:2. Может обновляться с рынком. База выхода — 1:1.</w:t>
      </w:r>
    </w:p>
    <w:p>
      <w:r>
        <w:rPr>
          <w:rFonts w:ascii="Arial" w:hAnsi="Arial" w:eastAsia="Arial"/>
          <w:b/>
          <w:sz w:val="17"/>
        </w:rPr>
        <w:t>Шаг 5. После входа: стоп и 1:1 сразу; не двигать, не усреднять. Шаг 6. После стопа: один повтор (свип + новая свеча). Второй стоп — зона закрыта.</w:t>
      </w:r>
    </w:p>
    <w:p>
      <w:pPr>
        <w:spacing w:before="80" w:after="20"/>
      </w:pPr>
      <w:r>
        <w:rPr>
          <w:rFonts w:ascii="Arial" w:hAnsi="Arial" w:eastAsia="Arial"/>
          <w:b/>
          <w:color w:val="143C78"/>
          <w:sz w:val="19"/>
        </w:rPr>
        <w:t>4. Свечи Tools</w:t>
      </w:r>
    </w:p>
    <w:p>
      <w:r>
        <w:rPr>
          <w:rFonts w:ascii="Arial" w:hAnsi="Arial" w:eastAsia="Arial"/>
          <w:b w:val="0"/>
          <w:sz w:val="17"/>
        </w:rPr>
        <w:t>Зелёная/красная = сильная SMC. Голубая/фиолетовая = слабая Velocity. Голубая/малиновая High Wick = длинная тень (не вход сама по себе).</w:t>
      </w:r>
    </w:p>
    <w:p>
      <w:pPr>
        <w:spacing w:before="80" w:after="20"/>
      </w:pPr>
      <w:r>
        <w:rPr>
          <w:rFonts w:ascii="Arial" w:hAnsi="Arial" w:eastAsia="Arial"/>
          <w:b/>
          <w:color w:val="143C78"/>
          <w:sz w:val="19"/>
        </w:rPr>
        <w:t>5. Наглядность</w:t>
      </w:r>
    </w:p>
    <w:p>
      <w:pPr>
        <w:pStyle w:val="ListBullet"/>
        <w:spacing w:after="0" w:before="0"/>
        <w:ind w:left="170"/>
      </w:pPr>
      <w:r>
        <w:rPr>
          <w:rFonts w:ascii="Arial" w:hAnsi="Arial" w:eastAsia="Arial"/>
          <w:b w:val="0"/>
          <w:sz w:val="16"/>
        </w:rPr>
        <w:t>Затухание к фону: с 4-го часа, скрытие к 48 ч (настраивается). Серый «НЕ ОТКРЫВАТЬ» — отказ, не возраст.</w:t>
      </w:r>
    </w:p>
    <w:p>
      <w:pPr>
        <w:pStyle w:val="ListBullet"/>
        <w:spacing w:after="0" w:before="0"/>
        <w:ind w:left="170"/>
      </w:pPr>
      <w:r>
        <w:rPr>
          <w:rFonts w:ascii="Arial" w:hAnsi="Arial" w:eastAsia="Arial"/>
          <w:b w:val="0"/>
          <w:sz w:val="16"/>
        </w:rPr>
        <w:t>После обновления правил удалите Common/Files/ASmart_signals_*.csv и переставьте индикаторы.</w:t>
      </w:r>
    </w:p>
    <w:p>
      <w:pPr>
        <w:pStyle w:val="ListBullet"/>
        <w:spacing w:after="0" w:before="0"/>
        <w:ind w:left="170"/>
      </w:pPr>
      <w:r>
        <w:rPr>
          <w:rFonts w:ascii="Arial" w:hAnsi="Arial" w:eastAsia="Arial"/>
          <w:b w:val="0"/>
          <w:sz w:val="16"/>
        </w:rPr>
        <w:t>Журнал: Common/Files/ASmart_journal_СИМВОЛ.csv</w:t>
      </w:r>
    </w:p>
    <w:p>
      <w:pPr>
        <w:spacing w:before="80" w:after="20"/>
      </w:pPr>
      <w:r>
        <w:rPr>
          <w:rFonts w:ascii="Arial" w:hAnsi="Arial" w:eastAsia="Arial"/>
          <w:b/>
          <w:color w:val="143C78"/>
          <w:sz w:val="19"/>
        </w:rPr>
        <w:t>6. Жёсткое «нет»</w:t>
      </w:r>
    </w:p>
    <w:p>
      <w:r>
        <w:rPr>
          <w:rFonts w:ascii="Arial" w:hAnsi="Arial" w:eastAsia="Arial"/>
          <w:b w:val="0"/>
          <w:sz w:val="17"/>
        </w:rPr>
        <w:t>Свеча без блока · блок без закрытой свечи · SMT · Previous · Live · против ChoCh/HTF/импульса · новости · микро-стоп · третья попытка · тейк «куда дойдёт» · доливка.</w:t>
      </w:r>
    </w:p>
    <w:p>
      <w:pPr>
        <w:spacing w:before="60"/>
      </w:pPr>
      <w:r>
        <w:rPr>
          <w:rFonts w:ascii="Arial" w:hAnsi="Arial" w:eastAsia="Arial"/>
          <w:b w:val="0"/>
          <w:color w:val="5A5A5A"/>
          <w:sz w:val="15"/>
        </w:rPr>
        <w:t>Стрелка ≠ заявка. Торгуйте только ОТКРЫВАТЬ на закрытой свече. История без будущего; фиксация стрелок честная.</w:t>
      </w:r>
    </w:p>
    <w:sectPr w:rsidR="00FC693F" w:rsidRPr="0006063C" w:rsidSect="00034616">
      <w:pgSz w:w="11906" w:h="16838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5" w:lineRule="auto"/>
    </w:pPr>
    <w:rPr>
      <w:rFonts w:ascii="Arial" w:hAnsi="Arial" w:eastAsia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