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center"/>
      </w:pPr>
      <w:r>
        <w:rPr>
          <w:rFonts w:ascii="Arial" w:hAnsi="Arial" w:eastAsia="Arial"/>
          <w:b/>
          <w:sz w:val="24"/>
        </w:rPr>
        <w:t>ASmart — шпаргалка у терминала</w:t>
      </w:r>
    </w:p>
    <w:p>
      <w:r>
        <w:rPr>
          <w:rFonts w:ascii="Arial" w:hAnsi="Arial" w:eastAsia="Arial"/>
          <w:b w:val="0"/>
          <w:sz w:val="18"/>
        </w:rPr>
        <w:t>Индикаторы не торгуют. Сделку открываете вы. Оба на графике: SMC (структура/блоки) + Tools (свечи/стрелка). ТФ: крипто M1–M5, форекс M5–M15.</w:t>
      </w:r>
    </w:p>
    <w:p>
      <w:pPr>
        <w:spacing w:before="100" w:after="40"/>
      </w:pPr>
      <w:r>
        <w:rPr>
          <w:rFonts w:ascii="Arial" w:hAnsi="Arial" w:eastAsia="Arial"/>
          <w:b/>
          <w:color w:val="143C78"/>
          <w:sz w:val="20"/>
        </w:rPr>
        <w:t>1. Формула входа</w:t>
      </w:r>
    </w:p>
    <w:p>
      <w:pPr>
        <w:spacing w:before="40" w:after="40"/>
        <w:jc w:val="center"/>
      </w:pPr>
      <w:r>
        <w:drawing>
          <wp:inline xmlns:a="http://schemas.openxmlformats.org/drawingml/2006/main" xmlns:pic="http://schemas.openxmlformats.org/drawingml/2006/picture">
            <wp:extent cx="6480000" cy="176727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entr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17672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rial" w:hAnsi="Arial" w:eastAsia="Arial"/>
          <w:b/>
          <w:sz w:val="18"/>
        </w:rPr>
        <w:t>Живой блок своего направления + тест/пробой с возвратом + закрытая свеча того же направления. Без одного из трёх — нет сделки.</w:t>
      </w:r>
    </w:p>
    <w:p>
      <w:pPr>
        <w:spacing w:before="100" w:after="40"/>
      </w:pPr>
      <w:r>
        <w:rPr>
          <w:rFonts w:ascii="Arial" w:hAnsi="Arial" w:eastAsia="Arial"/>
          <w:b/>
          <w:color w:val="143C78"/>
          <w:sz w:val="20"/>
        </w:rPr>
        <w:t>2. «Не SMT и не Previous OB-EXT» — что это значит</w:t>
      </w:r>
    </w:p>
    <w:p>
      <w:r>
        <w:rPr>
          <w:rFonts w:ascii="Arial" w:hAnsi="Arial" w:eastAsia="Arial"/>
          <w:b w:val="0"/>
          <w:sz w:val="18"/>
        </w:rPr>
        <w:t>На графике могут быть разные подписи у прямоугольников. Во вход идут только свежий бычий/медвежий OB-EXT или OB-IDM.</w:t>
      </w:r>
    </w:p>
    <w:p>
      <w:pPr>
        <w:pStyle w:val="ListBullet"/>
        <w:spacing w:after="0" w:before="0"/>
        <w:ind w:left="198"/>
      </w:pPr>
      <w:r>
        <w:rPr>
          <w:rFonts w:ascii="Arial" w:hAnsi="Arial" w:eastAsia="Arial"/>
          <w:b w:val="0"/>
          <w:sz w:val="16"/>
        </w:rPr>
        <w:t>OB-EXT — сильный свежий блок: последняя противоположная свеча ноги, которая сломала уровень (BoS/ChoCh).</w:t>
      </w:r>
    </w:p>
    <w:p>
      <w:pPr>
        <w:pStyle w:val="ListBullet"/>
        <w:spacing w:after="0" w:before="0"/>
        <w:ind w:left="198"/>
      </w:pPr>
      <w:r>
        <w:rPr>
          <w:rFonts w:ascii="Arial" w:hAnsi="Arial" w:eastAsia="Arial"/>
          <w:b w:val="0"/>
          <w:sz w:val="16"/>
        </w:rPr>
        <w:t>OB-IDM — слабый свежий блок на свече отката IDM. Вход можно, но риск меньше.</w:t>
      </w:r>
    </w:p>
    <w:p>
      <w:pPr>
        <w:pStyle w:val="ListBullet"/>
        <w:spacing w:after="0" w:before="0"/>
        <w:ind w:left="198"/>
      </w:pPr>
      <w:r>
        <w:rPr>
          <w:rFonts w:ascii="Arial" w:hAnsi="Arial" w:eastAsia="Arial"/>
          <w:b w:val="0"/>
          <w:sz w:val="16"/>
        </w:rPr>
        <w:t>Previous OB-EXT — предыдущий сильный блок. Это память «где уже был EXT», не новая точка входа. Сам по себе сигнал не даёт.</w:t>
      </w:r>
    </w:p>
    <w:p>
      <w:pPr>
        <w:pStyle w:val="ListBullet"/>
        <w:spacing w:after="0" w:before="0"/>
        <w:ind w:left="198"/>
      </w:pPr>
      <w:r>
        <w:rPr>
          <w:rFonts w:ascii="Arial" w:hAnsi="Arial" w:eastAsia="Arial"/>
          <w:b w:val="0"/>
          <w:sz w:val="16"/>
        </w:rPr>
        <w:t>SMT — ловушка: фитиль прошил ордер-блок, а закрытие вернулось. Крупный капитал «нарисовал» ложный блок. Как OB-EXT/OB-IDM не торгуется.</w:t>
      </w:r>
    </w:p>
    <w:p>
      <w:pPr>
        <w:spacing w:before="40" w:after="40"/>
        <w:jc w:val="center"/>
      </w:pPr>
      <w:r>
        <w:drawing>
          <wp:inline xmlns:a="http://schemas.openxmlformats.org/drawingml/2006/main" xmlns:pic="http://schemas.openxmlformats.org/drawingml/2006/picture">
            <wp:extent cx="6480000" cy="247418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smt_prev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24741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00" w:after="40"/>
      </w:pPr>
      <w:r>
        <w:rPr>
          <w:rFonts w:ascii="Arial" w:hAnsi="Arial" w:eastAsia="Arial"/>
          <w:b/>
          <w:color w:val="143C78"/>
          <w:sz w:val="20"/>
        </w:rPr>
        <w:t>3. Live-пунктир — что это</w:t>
      </w:r>
    </w:p>
    <w:p>
      <w:r>
        <w:rPr>
          <w:rFonts w:ascii="Arial" w:hAnsi="Arial" w:eastAsia="Arial"/>
          <w:b w:val="0"/>
          <w:sz w:val="18"/>
        </w:rPr>
        <w:t>Live BoS / Live ChoCh / Live IDM — предварительная метка на ещё не закрытой свече (пунктир / live-подпись). Индикатор говорит: «похоже, сейчас формируется слом или IDM».</w:t>
      </w:r>
    </w:p>
    <w:p>
      <w:pPr>
        <w:pStyle w:val="ListBullet"/>
        <w:spacing w:after="0" w:before="0"/>
        <w:ind w:left="198"/>
      </w:pPr>
      <w:r>
        <w:rPr>
          <w:rFonts w:ascii="Arial" w:hAnsi="Arial" w:eastAsia="Arial"/>
          <w:b w:val="0"/>
          <w:sz w:val="16"/>
        </w:rPr>
        <w:t>Свеча ещё открыта → цена может вернуться, метка исчезнет или сменится. Это не вход.</w:t>
      </w:r>
    </w:p>
    <w:p>
      <w:pPr>
        <w:pStyle w:val="ListBullet"/>
        <w:spacing w:after="0" w:before="0"/>
        <w:ind w:left="198"/>
      </w:pPr>
      <w:r>
        <w:rPr>
          <w:rFonts w:ascii="Arial" w:hAnsi="Arial" w:eastAsia="Arial"/>
          <w:b w:val="0"/>
          <w:sz w:val="16"/>
        </w:rPr>
        <w:t>Вход только после закрытия свечи: подтверждённый BoS/ChoCh/IDM + свой блок + своя закрытая сигнальная свеча (и/или стрелка Tools).</w:t>
      </w:r>
    </w:p>
    <w:p>
      <w:pPr>
        <w:spacing w:before="40" w:after="40"/>
        <w:jc w:val="center"/>
      </w:pPr>
      <w:r>
        <w:drawing>
          <wp:inline xmlns:a="http://schemas.openxmlformats.org/drawingml/2006/main" xmlns:pic="http://schemas.openxmlformats.org/drawingml/2006/picture">
            <wp:extent cx="6480000" cy="212072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liv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21207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00" w:after="40"/>
      </w:pPr>
      <w:r>
        <w:rPr>
          <w:rFonts w:ascii="Arial" w:hAnsi="Arial" w:eastAsia="Arial"/>
          <w:b/>
          <w:color w:val="143C78"/>
          <w:sz w:val="20"/>
        </w:rPr>
        <w:t>4. Карта остальных меток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77"/>
        <w:gridCol w:w="3477"/>
        <w:gridCol w:w="3477"/>
      </w:tblGrid>
      <w:tr>
        <w:tc>
          <w:tcPr>
            <w:tcW w:type="dxa" w:w="2268"/>
            <w:shd w:fill="D9E2F3" w:val="clear"/>
          </w:tcPr>
          <w:p>
            <w:r/>
            <w:r>
              <w:rPr>
                <w:rFonts w:ascii="Arial" w:hAnsi="Arial" w:eastAsia="Arial"/>
                <w:b/>
                <w:sz w:val="16"/>
              </w:rPr>
              <w:t>Метка</w:t>
            </w:r>
          </w:p>
        </w:tc>
        <w:tc>
          <w:tcPr>
            <w:tcW w:type="dxa" w:w="5953"/>
            <w:shd w:fill="D9E2F3" w:val="clear"/>
          </w:tcPr>
          <w:p>
            <w:r/>
            <w:r>
              <w:rPr>
                <w:rFonts w:ascii="Arial" w:hAnsi="Arial" w:eastAsia="Arial"/>
                <w:b/>
                <w:sz w:val="16"/>
              </w:rPr>
              <w:t>Смысл</w:t>
            </w:r>
          </w:p>
        </w:tc>
        <w:tc>
          <w:tcPr>
            <w:tcW w:type="dxa" w:w="2098"/>
            <w:shd w:fill="D9E2F3" w:val="clear"/>
          </w:tcPr>
          <w:p>
            <w:r/>
            <w:r>
              <w:rPr>
                <w:rFonts w:ascii="Arial" w:hAnsi="Arial" w:eastAsia="Arial"/>
                <w:b/>
                <w:sz w:val="16"/>
              </w:rPr>
              <w:t>Вход?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  <w:t>SMC_Trend</w:t>
            </w:r>
          </w:p>
        </w:tc>
        <w:tc>
          <w:tcPr>
            <w:tcW w:type="dxa" w:w="5953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  <w:t>Бирюза — покупки, красный — продажи (фон по истории)</w:t>
            </w:r>
          </w:p>
        </w:tc>
        <w:tc>
          <w:tcPr>
            <w:tcW w:type="dxa" w:w="2098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  <w:t>Только фильтр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  <w:t>BoS (кружок)</w:t>
            </w:r>
          </w:p>
        </w:tc>
        <w:tc>
          <w:tcPr>
            <w:tcW w:type="dxa" w:w="5953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  <w:t>Закрытие за экстремумом по тренду</w:t>
            </w:r>
          </w:p>
        </w:tc>
        <w:tc>
          <w:tcPr>
            <w:tcW w:type="dxa" w:w="2098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  <w:t>Нет, только структура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  <w:t>ChoCh</w:t>
            </w:r>
          </w:p>
        </w:tc>
        <w:tc>
          <w:tcPr>
            <w:tcW w:type="dxa" w:w="5953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  <w:t>Первое закрытие против тренда</w:t>
            </w:r>
          </w:p>
        </w:tc>
        <w:tc>
          <w:tcPr>
            <w:tcW w:type="dxa" w:w="2098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  <w:t>Старое направление не брать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  <w:t>IDM</w:t>
            </w:r>
          </w:p>
        </w:tc>
        <w:tc>
          <w:tcPr>
            <w:tcW w:type="dxa" w:w="5953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  <w:t>Первый откат после слома; пока не сняли фитилём — слом сырой</w:t>
            </w:r>
          </w:p>
        </w:tc>
        <w:tc>
          <w:tcPr>
            <w:tcW w:type="dxa" w:w="2098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  <w:t>Нет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  <w:t>FVG / сессии / EQH / PDH</w:t>
            </w:r>
          </w:p>
        </w:tc>
        <w:tc>
          <w:tcPr>
            <w:tcW w:type="dxa" w:w="5953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  <w:t>Контекст</w:t>
            </w:r>
          </w:p>
        </w:tc>
        <w:tc>
          <w:tcPr>
            <w:tcW w:type="dxa" w:w="2098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  <w:t>Нет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  <w:t>Свечи Tools</w:t>
            </w:r>
          </w:p>
        </w:tc>
        <w:tc>
          <w:tcPr>
            <w:tcW w:type="dxa" w:w="5953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  <w:t>Зел/красн = сильная; голуб/фиол = слабая; голуб/малин = длинная тень</w:t>
            </w:r>
          </w:p>
        </w:tc>
        <w:tc>
          <w:tcPr>
            <w:tcW w:type="dxa" w:w="2098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  <w:t>Только у своего блока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  <w:t>Стрелка + %</w:t>
            </w:r>
          </w:p>
        </w:tc>
        <w:tc>
          <w:tcPr>
            <w:tcW w:type="dxa" w:w="5953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  <w:t>Tools после закрытия свечи у живого OB</w:t>
            </w:r>
          </w:p>
        </w:tc>
        <w:tc>
          <w:tcPr>
            <w:tcW w:type="dxa" w:w="2098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  <w:t>Кандидат, ордер вручную</w:t>
            </w:r>
          </w:p>
        </w:tc>
      </w:tr>
    </w:tbl>
    <w:p>
      <w:pPr>
        <w:spacing w:before="100" w:after="40"/>
      </w:pPr>
      <w:r>
        <w:rPr>
          <w:rFonts w:ascii="Arial" w:hAnsi="Arial" w:eastAsia="Arial"/>
          <w:b/>
          <w:color w:val="143C78"/>
          <w:sz w:val="20"/>
        </w:rPr>
        <w:t>5. Алгоритм, когда появилась стрелка</w:t>
      </w:r>
    </w:p>
    <w:p>
      <w:r>
        <w:rPr>
          <w:rFonts w:ascii="Arial" w:hAnsi="Arial" w:eastAsia="Arial"/>
          <w:b/>
          <w:sz w:val="18"/>
        </w:rPr>
        <w:t>Шаг 1. Проверка</w:t>
      </w:r>
    </w:p>
    <w:p>
      <w:pPr>
        <w:pStyle w:val="ListBullet"/>
        <w:spacing w:after="0" w:before="0"/>
        <w:ind w:left="198"/>
      </w:pPr>
      <w:r>
        <w:rPr>
          <w:rFonts w:ascii="Arial" w:hAnsi="Arial" w:eastAsia="Arial"/>
          <w:b w:val="0"/>
          <w:sz w:val="16"/>
        </w:rPr>
        <w:t>Стрелка на закрытой свече (не Live-пунктир).</w:t>
      </w:r>
    </w:p>
    <w:p>
      <w:pPr>
        <w:pStyle w:val="ListBullet"/>
        <w:spacing w:after="0" w:before="0"/>
        <w:ind w:left="198"/>
      </w:pPr>
      <w:r>
        <w:rPr>
          <w:rFonts w:ascii="Arial" w:hAnsi="Arial" w:eastAsia="Arial"/>
          <w:b w:val="0"/>
          <w:sz w:val="16"/>
        </w:rPr>
        <w:t>Тренд / ChoCh не против сделки.</w:t>
      </w:r>
    </w:p>
    <w:p>
      <w:pPr>
        <w:pStyle w:val="ListBullet"/>
        <w:spacing w:after="0" w:before="0"/>
        <w:ind w:left="198"/>
      </w:pPr>
      <w:r>
        <w:rPr>
          <w:rFonts w:ascii="Arial" w:hAnsi="Arial" w:eastAsia="Arial"/>
          <w:b w:val="0"/>
          <w:sz w:val="16"/>
        </w:rPr>
        <w:t>Блок = свежий бычий OB-EXT/OB-IDM (покупка) или медвежий (продажа).</w:t>
      </w:r>
    </w:p>
    <w:p>
      <w:pPr>
        <w:pStyle w:val="ListBullet"/>
        <w:spacing w:after="0" w:before="0"/>
        <w:ind w:left="198"/>
      </w:pPr>
      <w:r>
        <w:rPr>
          <w:rFonts w:ascii="Arial" w:hAnsi="Arial" w:eastAsia="Arial"/>
          <w:b w:val="0"/>
          <w:sz w:val="16"/>
        </w:rPr>
        <w:t>На зоне НЕ написано SMT и НЕ Previous OB-EXT.</w:t>
      </w:r>
    </w:p>
    <w:p>
      <w:pPr>
        <w:pStyle w:val="ListBullet"/>
        <w:spacing w:after="0" w:before="0"/>
        <w:ind w:left="198"/>
      </w:pPr>
      <w:r>
        <w:rPr>
          <w:rFonts w:ascii="Arial" w:hAnsi="Arial" w:eastAsia="Arial"/>
          <w:b w:val="0"/>
          <w:sz w:val="16"/>
        </w:rPr>
        <w:t>Свеча тестирует этот блок (или возврат после пробоя).</w:t>
      </w:r>
    </w:p>
    <w:p>
      <w:r>
        <w:rPr>
          <w:rFonts w:ascii="Arial" w:hAnsi="Arial" w:eastAsia="Arial"/>
          <w:b/>
          <w:sz w:val="18"/>
        </w:rPr>
        <w:t>Шаг 2. Риск (100% = ваш обычный риск на одну сделку, не депозит)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77"/>
        <w:gridCol w:w="3477"/>
        <w:gridCol w:w="3477"/>
      </w:tblGrid>
      <w:tr>
        <w:tc>
          <w:tcPr>
            <w:tcW w:type="dxa" w:w="4535"/>
            <w:shd w:fill="D9E2F3" w:val="clear"/>
          </w:tcPr>
          <w:p>
            <w:r/>
            <w:r>
              <w:rPr>
                <w:rFonts w:ascii="Arial" w:hAnsi="Arial" w:eastAsia="Arial"/>
                <w:b/>
                <w:sz w:val="16"/>
              </w:rPr>
            </w:r>
          </w:p>
        </w:tc>
        <w:tc>
          <w:tcPr>
            <w:tcW w:type="dxa" w:w="2835"/>
            <w:shd w:fill="D9E2F3" w:val="clear"/>
          </w:tcPr>
          <w:p>
            <w:r/>
            <w:r>
              <w:rPr>
                <w:rFonts w:ascii="Arial" w:hAnsi="Arial" w:eastAsia="Arial"/>
                <w:b/>
                <w:sz w:val="16"/>
              </w:rPr>
              <w:t>OB-EXT</w:t>
            </w:r>
          </w:p>
        </w:tc>
        <w:tc>
          <w:tcPr>
            <w:tcW w:type="dxa" w:w="2835"/>
            <w:shd w:fill="D9E2F3" w:val="clear"/>
          </w:tcPr>
          <w:p>
            <w:r/>
            <w:r>
              <w:rPr>
                <w:rFonts w:ascii="Arial" w:hAnsi="Arial" w:eastAsia="Arial"/>
                <w:b/>
                <w:sz w:val="16"/>
              </w:rPr>
              <w:t>OB-IDM</w:t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  <w:t>Покупка: зелёная / голубая</w:t>
            </w:r>
          </w:p>
        </w:tc>
        <w:tc>
          <w:tcPr>
            <w:tcW w:type="dxa" w:w="2835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  <w:t>100% / 50%</w:t>
            </w:r>
          </w:p>
        </w:tc>
        <w:tc>
          <w:tcPr>
            <w:tcW w:type="dxa" w:w="2835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  <w:t>50% / 25%</w:t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  <w:t>Продажа: красная / фиолетовая</w:t>
            </w:r>
          </w:p>
        </w:tc>
        <w:tc>
          <w:tcPr>
            <w:tcW w:type="dxa" w:w="2835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  <w:t>100% / 50%</w:t>
            </w:r>
          </w:p>
        </w:tc>
        <w:tc>
          <w:tcPr>
            <w:tcW w:type="dxa" w:w="2835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  <w:t>50% / 25%</w:t>
            </w:r>
          </w:p>
        </w:tc>
      </w:tr>
    </w:tbl>
    <w:p>
      <w:r>
        <w:rPr>
          <w:rFonts w:ascii="Arial" w:hAnsi="Arial" w:eastAsia="Arial"/>
          <w:b/>
          <w:sz w:val="18"/>
        </w:rPr>
        <w:t>Шаг 3–4. Покупка / продажа</w:t>
      </w:r>
    </w:p>
    <w:p>
      <w:pPr>
        <w:pStyle w:val="ListBullet"/>
        <w:spacing w:after="0" w:before="0"/>
        <w:ind w:left="198"/>
      </w:pPr>
      <w:r>
        <w:rPr>
          <w:rFonts w:ascii="Arial" w:hAnsi="Arial" w:eastAsia="Arial"/>
          <w:b w:val="0"/>
          <w:sz w:val="16"/>
        </w:rPr>
        <w:t>Вход ≈ закрытие сигнальной свечи (или линии Tools).</w:t>
      </w:r>
    </w:p>
    <w:p>
      <w:pPr>
        <w:pStyle w:val="ListBullet"/>
        <w:spacing w:after="0" w:before="0"/>
        <w:ind w:left="198"/>
      </w:pPr>
      <w:r>
        <w:rPr>
          <w:rFonts w:ascii="Arial" w:hAnsi="Arial" w:eastAsia="Arial"/>
          <w:b w:val="0"/>
          <w:sz w:val="16"/>
        </w:rPr>
        <w:t>Покупка: стоп ниже блока / большой свечи / экстремума после теста. Тейк 1:1 вверх.</w:t>
      </w:r>
    </w:p>
    <w:p>
      <w:pPr>
        <w:pStyle w:val="ListBullet"/>
        <w:spacing w:after="0" w:before="0"/>
        <w:ind w:left="198"/>
      </w:pPr>
      <w:r>
        <w:rPr>
          <w:rFonts w:ascii="Arial" w:hAnsi="Arial" w:eastAsia="Arial"/>
          <w:b w:val="0"/>
          <w:sz w:val="16"/>
        </w:rPr>
        <w:t>Продажа: стоп выше зеркально. Тейк 1:1 вниз. Дальний тейк — ориентир; база — 1:1.</w:t>
      </w:r>
    </w:p>
    <w:p>
      <w:r>
        <w:rPr>
          <w:rFonts w:ascii="Arial" w:hAnsi="Arial" w:eastAsia="Arial"/>
          <w:b/>
          <w:sz w:val="18"/>
        </w:rPr>
        <w:t>Шаг 5. После входа: стоп и тейк сразу; не двигать, не усреднять, не «половину по пути».</w:t>
      </w:r>
    </w:p>
    <w:p>
      <w:r>
        <w:rPr>
          <w:rFonts w:ascii="Arial" w:hAnsi="Arial" w:eastAsia="Arial"/>
          <w:b/>
          <w:sz w:val="18"/>
        </w:rPr>
        <w:t>Шаг 6. После стопа: один повтор (свип + новая свеча, риск по таблице). Второй стоп — зона закрыта.</w:t>
      </w:r>
    </w:p>
    <w:p>
      <w:pPr>
        <w:spacing w:before="100" w:after="40"/>
      </w:pPr>
      <w:r>
        <w:rPr>
          <w:rFonts w:ascii="Arial" w:hAnsi="Arial" w:eastAsia="Arial"/>
          <w:b/>
          <w:color w:val="143C78"/>
          <w:sz w:val="20"/>
        </w:rPr>
        <w:t>6. Жёсткое «нет»</w:t>
      </w:r>
    </w:p>
    <w:p>
      <w:r>
        <w:rPr>
          <w:rFonts w:ascii="Arial" w:hAnsi="Arial" w:eastAsia="Arial"/>
          <w:b w:val="0"/>
          <w:sz w:val="18"/>
        </w:rPr>
        <w:t>Свеча без блока · блок без закрытой свечи · SMT · Previous OB-EXT · против ChoCh/тренда · Live-пунктир · третья попытка · тейк «куда дойдёт» · доливка.</w:t>
      </w:r>
    </w:p>
    <w:p>
      <w:pPr>
        <w:spacing w:before="80"/>
      </w:pPr>
      <w:r>
        <w:rPr>
          <w:rFonts w:ascii="Arial" w:hAnsi="Arial" w:eastAsia="Arial"/>
          <w:b w:val="0"/>
          <w:color w:val="5A5A5A"/>
          <w:sz w:val="16"/>
        </w:rPr>
        <w:t>Стрелка ≠ заявка. Алерт только у Tools на сигнал. История может пересчитаться — торгуйте закрытую свечу.</w:t>
      </w:r>
    </w:p>
    <w:sectPr w:rsidR="00FC693F" w:rsidRPr="0006063C" w:rsidSect="00034616">
      <w:pgSz w:w="11906" w:h="16838"/>
      <w:pgMar w:top="567" w:right="737" w:bottom="567" w:left="7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before="0" w:line="252" w:lineRule="auto"/>
    </w:pPr>
    <w:rPr>
      <w:rFonts w:ascii="Arial" w:hAnsi="Arial" w:eastAsia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