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pPr>
        <w:spacing w:after="120" w:before="0" w:lineRule="auto" w:line="276"/>
        <w:jc w:val="right"/>
      </w:pPr>
      <w:r>
        <w:rPr>
          <w:rFonts w:ascii="Times New Roman" w:hAnsi="Times New Roman" w:eastAsia="Times New Roman"/>
          <w:b w:val="0"/>
          <w:i w:val="0"/>
          <w:sz w:val="24"/>
        </w:rPr>
        <w:t>Автор: Волков Е.В.</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В-третьих, мы провели чёткую границу между орбиталями (пространственное распределение) и энергетическими уровнями E₁, E₂ (энергия системы). Это два разных языка одной физики.</w:t>
      </w:r>
    </w:p>
    <w:p>
      <w:pPr>
        <w:spacing w:after="160" w:before="0" w:lineRule="auto" w:line="276"/>
        <w:ind w:firstLine="709"/>
        <w:jc w:val="both"/>
      </w:pPr>
      <w:r>
        <w:rPr>
          <w:rFonts w:ascii="Times New Roman" w:hAnsi="Times New Roman" w:eastAsia="Times New Roman"/>
          <w:b w:val="0"/>
          <w:i w:val="0"/>
          <w:sz w:val="24"/>
        </w:rPr>
        <w:t>В-четвёртых, мы показали, что переход между уровнями не всегда означает смену орбитали. В молекулах и кристаллах физика перехода может быть колебательной или эффективной в поле решётки.</w:t>
      </w:r>
    </w:p>
    <w:p>
      <w:pPr>
        <w:spacing w:after="160" w:before="0" w:lineRule="auto" w:line="276"/>
        <w:ind w:firstLine="709"/>
        <w:jc w:val="both"/>
      </w:pPr>
      <w:r>
        <w:rPr>
          <w:rFonts w:ascii="Times New Roman" w:hAnsi="Times New Roman" w:eastAsia="Times New Roman"/>
          <w:b w:val="0"/>
          <w:i w:val="0"/>
          <w:sz w:val="24"/>
        </w:rPr>
        <w:t>Орбитали и уровни — не противопоставление, а два языка. Точки на схеме — целые излучатели. Переход уровня не всегда равен смене орбитали. Две схемы верны, если не смешивать их на одном рисунке.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Рассмотрим график пороговой плотности энергии.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040000" cy="2984211"/>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040000" cy="2984211"/>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мы разобрали строение атома, двойственную природу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Сегодня — мост от физики источника к технологическому решению: как длина волны определяет, с какими материалами лазер работает эффективно, а с какими почти бесполезен.</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цифрам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 без пропусков.</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 Формулы короткие, но жёсткие по смыслу.</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окон: что для процесса значат ультрафиолет, видимый диапазон и инфракрасный, включая разницу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лекции: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Спектральная поглощательная способность A(λ): почему один металл принимает излучение, а другой отражает почти всё.</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базы, но под углом технологии: нужна не «формула для галочки», а критерий, насколько агрессивен свет по отношению к веществу.</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 h·ν, где h ≈ 6,63×10⁻³⁴ Дж·с — постоянная Планка, ν — частота волны. Постоянная мала, частоты огромны, поэтому энергия одного фотона крошечная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заменяет недостающую энергию кванта. Для технологии следствием будет фраза, которую стоит запомнить дословно: миллиард «слабых» фотонов не имитирует один «сильный»,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длину волны λ, реже частоту. Связь через скорость света в вакууме: λ·ν = c. Подставляя, получаем рабочую формулу инженера: E = h·c / λ. Смысл однозначен: чем короче длина волны, тем больше энергия одного фотона. Увеличили λ в два раза — уменьшили E в два раза. Мощность источника при этом может быть любой — это уже поток фотонов в единицу времени, а не энергия каждого.</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Это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без калькулятора: E(эВ) ≈ 1240 / λ(нм). Проверим: для 1070 нм — примерно 1,16 эВ; для 532 нм — примерно 2,33 эВ; для 355 нм — примерно 3,49 эВ, то есть около 3,5 эВ. Разница между ближним ИК и УФ — почти втрое. Это не «чуть другая настройка», а смена класса взаимодействия.</w:t>
      </w:r>
    </w:p>
    <w:p>
      <w:pPr>
        <w:spacing w:after="160" w:before="0" w:lineRule="auto" w:line="276"/>
        <w:ind w:firstLine="709"/>
        <w:jc w:val="both"/>
      </w:pPr>
      <w:r>
        <w:rPr>
          <w:rFonts w:ascii="Times New Roman" w:hAnsi="Times New Roman" w:eastAsia="Times New Roman"/>
          <w:b w:val="0"/>
          <w:i w:val="0"/>
          <w:sz w:val="24"/>
        </w:rPr>
        <w:t>Ориентиры по энергиям. Типичная одинарная связь C–C лежит около 3,6 эВ, C–H — около 4,3 эВ. Слабые связи в молекулах промышленных фотоинициаторов часто рассчитаны на разрыв уже в районе 3–4 эВ при поглощении УФ. Работа выхода многих металлов — порядка нескольких электрон-вольт; поэтому фотоэффект «на глазок» тоже сидит в УФ/фиолетовой области, а не в дальнем ИК.</w:t>
      </w:r>
    </w:p>
    <w:p>
      <w:pPr>
        <w:spacing w:after="160" w:before="0" w:lineRule="auto" w:line="276"/>
        <w:ind w:firstLine="709"/>
        <w:jc w:val="both"/>
      </w:pPr>
      <w:r>
        <w:rPr>
          <w:rFonts w:ascii="Times New Roman" w:hAnsi="Times New Roman" w:eastAsia="Times New Roman"/>
          <w:b w:val="0"/>
          <w:i w:val="0"/>
          <w:sz w:val="24"/>
        </w:rPr>
        <w:t>Сравните: фотон волоконного лазера 1,16 эВ не разрывает связь C–C «одним ударом». Фотон 3,5 эВ — может, если молекула его поглотила и канал диссоциации открыт. Отсюда технологический вывод: выбирая λ, вы заранее выбираете потолок энергии каждого «кирпичика» света. Регулятором мощности вы меняете число кирпичей в секунду, но не вес одного кирпича — пока не смените длину волны или не используете нелинейную генерацию гармоник.</w:t>
      </w:r>
    </w:p>
    <w:p>
      <w:pPr>
        <w:spacing w:after="160" w:before="0" w:lineRule="auto" w:line="276"/>
        <w:ind w:firstLine="709"/>
        <w:jc w:val="both"/>
      </w:pPr>
      <w:r>
        <w:rPr>
          <w:rFonts w:ascii="Times New Roman" w:hAnsi="Times New Roman" w:eastAsia="Times New Roman"/>
          <w:b w:val="0"/>
          <w:i w:val="0"/>
          <w:sz w:val="24"/>
        </w:rPr>
        <w:t>Ещё один практический акцент: в станке можно поставить два источника одной λ разной мощности — это масштабирование потока. Но нельзя «программно» превратить 1070 нм в 355 нм. Поэтому длина волны — архитектурное решение машины, сопоставимое по важности с кинематикой сканатора.</w:t>
      </w:r>
    </w:p>
    <w:p>
      <w:pPr>
        <w:spacing w:after="160" w:before="0" w:lineRule="auto" w:line="276"/>
        <w:ind w:firstLine="709"/>
        <w:jc w:val="both"/>
      </w:pPr>
      <w:r>
        <w:rPr>
          <w:rFonts w:ascii="Times New Roman" w:hAnsi="Times New Roman" w:eastAsia="Times New Roman"/>
          <w:b w:val="0"/>
          <w:i w:val="0"/>
          <w:sz w:val="24"/>
        </w:rPr>
        <w:t>Отделим также мощность источника от энергии фотона ещё раз на бытовом образе. Мощность — сколько ведер воды в минуту выливаете на крышу. Энергия фотона — размер каждой капли и то, пробивает ли капля плёнку загрязнения. Можно увеличить поток вёдер, но если капля слишком лёгкая для нужного эффекта, результат будет иным: нагрев вместо «пробоя» порога. В лазерной технологии этот образ спасает от путаницы в спецификациях.</w:t>
      </w:r>
    </w:p>
    <w:p>
      <w:pPr>
        <w:spacing w:after="160" w:before="0" w:lineRule="auto" w:line="276"/>
        <w:ind w:firstLine="709"/>
        <w:jc w:val="both"/>
      </w:pPr>
      <w:r>
        <w:rPr>
          <w:rFonts w:ascii="Times New Roman" w:hAnsi="Times New Roman" w:eastAsia="Times New Roman"/>
          <w:b w:val="0"/>
          <w:i w:val="0"/>
          <w:sz w:val="24"/>
        </w:rPr>
        <w:t>Свяжем это с выбором машины одним примером. Если процесс требует разрыва связей инициатора около 3,5 эВ, источник на 1070 нм не подходит как носитель нужного кванта — даже при киловаттах. Если процесс — плавление стали, УФ с высокой энергией кванта не обязан быть лучшим нагревателем: важны поглощение, мощность и теплоотвод. Энергия фотона — фильтр допустимости сценария, а не единственный параметр режима.</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 а не как на декоративный спектр из учебника.</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видит; кожа воспринимает как тепло. Видимая: примерно 380–700 нм — узкая щель, к которой эволюционно приспособлен глаз. Ультрафиолетовая: короче примерно 380 нм. УФ инициирует фотохимию и повреждает биомолекулы — отсюда и польза в стереолитографии, и жёсткие требования к защитным очкам,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полезно не сваливать всё в одну кучу. Ближний ИК около 1 мкм и дальний ИК 10,6 мкм — разные партнёры по взаимодействию с веществом. Около 1 мкм излучение часто стыкуется с электронной подсистемой металлов. На 10,6 мкм сильнее проявляются взаимодействия с колебательными модами многих молекул — поэтому CO₂-лазер исторически силён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Куда сели промышленные источники? Волоконные лазеры на иттербии: типично 1030–1080 нм, чаще говорят «около 1070 нм». Это рабочая лошадка селективного лазерного плавления металлов по сталям, титану, никелевым и кобальт-хромовым сплавам: есть генерация с высоким КПД, доставка волокном, приемлемое поглощение у широкого класса порошков. CO₂: 10,6 мкм — мощный инструмент резки и обработки неметаллов и ряда сталей, но почти тупиковый путь для плавления алюминия и меди в логике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некоторых светодиодных системах источник другой по устройству, но логика та же — попасть в спектр поглощения фотоинициатора в ближнем УФ/фиолетовой области. Если инициатор «не видит» ваш спектр, слой не отольётся корректно, даже если ваттметр показывает большую мощность.</w:t>
      </w:r>
    </w:p>
    <w:p>
      <w:pPr>
        <w:spacing w:after="160" w:before="0" w:lineRule="auto" w:line="276"/>
        <w:ind w:firstLine="709"/>
        <w:jc w:val="both"/>
      </w:pPr>
      <w:r>
        <w:rPr>
          <w:rFonts w:ascii="Times New Roman" w:hAnsi="Times New Roman" w:eastAsia="Times New Roman"/>
          <w:b w:val="0"/>
          <w:i w:val="0"/>
          <w:sz w:val="24"/>
        </w:rPr>
        <w:t>Отметьте на шкале и видимые «новые» точки: зелёный 515–532 нм и синий около 450 нм. Они нужны не ради красоты луча, а потому что у алюминия и меди поглощение там заметно выше, чем в ближнем ИК. Пока зелёные и синие системы дороже и реже как дефолт каждого металлического принтера, но направление прямо следует из физики A(λ).</w:t>
      </w:r>
    </w:p>
    <w:p>
      <w:pPr>
        <w:spacing w:after="160" w:before="0" w:lineRule="auto" w:line="276"/>
        <w:ind w:firstLine="709"/>
        <w:jc w:val="both"/>
      </w:pPr>
      <w:r>
        <w:rPr>
          <w:rFonts w:ascii="Times New Roman" w:hAnsi="Times New Roman" w:eastAsia="Times New Roman"/>
          <w:b w:val="0"/>
          <w:i w:val="0"/>
          <w:sz w:val="24"/>
        </w:rPr>
        <w:t>Ещё один слой карты — безопасность и сопутствующие эффекты. УФ опасен для глаз и кожи даже при скромной средней мощности. Ближний ИК коварен тем, что плохо виден, а отражение от металла может бить в оптику и стены камеры. Дальний ИК CO₂ сильно поглощается многими материалами оптики видимого диапазона — поэтому там другие окна, другие линзы, другая культура юстировки.</w:t>
      </w:r>
    </w:p>
    <w:p>
      <w:pPr>
        <w:spacing w:after="160" w:before="0" w:lineRule="auto" w:line="276"/>
        <w:ind w:firstLine="709"/>
        <w:jc w:val="both"/>
      </w:pPr>
      <w:r>
        <w:rPr>
          <w:rFonts w:ascii="Times New Roman" w:hAnsi="Times New Roman" w:eastAsia="Times New Roman"/>
          <w:b w:val="0"/>
          <w:i w:val="0"/>
          <w:sz w:val="24"/>
        </w:rPr>
        <w:t>Зафиксируем мини-таблицу в голове. 355 нм — окно фотохимии полимеров. 450 и 515–532 нм — окна повышенного поглощения для Cu/Al. Около 1070 нм — массовое окно селективного лазерного плавления металлов. 10,6 мкм — окно многих неметаллов и отдельных задач по сталям. Если задача не попадает в окно, сначала меняют λ или материал, и только потом бесконечно крутят мощность.</w:t>
      </w:r>
    </w:p>
    <w:p>
      <w:pPr>
        <w:spacing w:after="160" w:before="0" w:lineRule="auto" w:line="276"/>
        <w:ind w:firstLine="709"/>
        <w:jc w:val="both"/>
      </w:pPr>
      <w:r>
        <w:rPr>
          <w:rFonts w:ascii="Times New Roman" w:hAnsi="Times New Roman" w:eastAsia="Times New Roman"/>
          <w:b w:val="0"/>
          <w:i w:val="0"/>
          <w:sz w:val="24"/>
        </w:rPr>
        <w:t>Итого по шкале: индустриальные λ — компромисс «что умеем надёжно генерировать» и «что материал реально принимает». Дальше — два механизма, которыми принятая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Фотон поглощён — дальше энергия может пойти качественно разными путями. Развилка задаётся сравнением энергии кванта с порогами вещества: энергией активации или диссоциации для фотохимии и, в родственных случаях, работой выхода для фотоэффекта. Если порог не взят одним квантом, тепловой канал всё равно возможен — но это уже другая физика и другие рычаги управления.</w:t>
      </w:r>
    </w:p>
    <w:p>
      <w:pPr>
        <w:spacing w:after="160" w:before="0" w:lineRule="auto" w:line="276"/>
        <w:ind w:firstLine="709"/>
        <w:jc w:val="both"/>
      </w:pPr>
      <w:r>
        <w:rPr>
          <w:rFonts w:ascii="Times New Roman" w:hAnsi="Times New Roman" w:eastAsia="Times New Roman"/>
          <w:b w:val="0"/>
          <w:i w:val="0"/>
          <w:sz w:val="24"/>
        </w:rPr>
        <w:t>Механизм №1 — фотохимический, квантовый. Он доминирует, когда одного фотона достаточно, чтобы изменить электронную структуру молекулы: перевести её на возбуждённый терм, разорвать слабую связь, открыть канал образования радикала или иона. Учебный эталон порога — фотоэффект: ниже работы выхода электрон не вылетает, выше — вылетает. Интенсивность ниже порога «не добивает» недостающие электрон-вольты.</w:t>
      </w:r>
    </w:p>
    <w:p>
      <w:pPr>
        <w:spacing w:before="160" w:after="80"/>
        <w:jc w:val="center"/>
      </w:pPr>
      <w:r>
        <w:drawing>
          <wp:inline xmlns:a="http://schemas.openxmlformats.org/drawingml/2006/main" xmlns:pic="http://schemas.openxmlformats.org/drawingml/2006/picture">
            <wp:extent cx="5040000" cy="3475862"/>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фотохимический (УФ) и тепловой (ИК)</w:t>
      </w:r>
    </w:p>
    <w:p>
      <w:pPr>
        <w:spacing w:after="160" w:before="0" w:lineRule="auto" w:line="276"/>
        <w:ind w:firstLine="709"/>
        <w:jc w:val="both"/>
      </w:pPr>
      <w:r>
        <w:rPr>
          <w:rFonts w:ascii="Times New Roman" w:hAnsi="Times New Roman" w:eastAsia="Times New Roman"/>
          <w:b w:val="0"/>
          <w:i w:val="0"/>
          <w:sz w:val="24"/>
        </w:rPr>
        <w:t>В аддитивном производстве ближайший рабочий аналог — фотоинициация в стереолитографии и родственных процессах. В смолу вводят фотоинициаторы. Они поглощают УФ-кванты порядка 3–3,5 эВ и распадаются с появлением свободных радикалов. Радикал атакует активную связь мономера или олигомера, запускается цепная полимеризация, растёт сетка, жидкость становится твёрдым слоем заданной геометрии.</w:t>
      </w:r>
    </w:p>
    <w:p>
      <w:pPr>
        <w:spacing w:after="160" w:before="0" w:lineRule="auto" w:line="276"/>
        <w:ind w:firstLine="709"/>
        <w:jc w:val="both"/>
      </w:pPr>
      <w:r>
        <w:rPr>
          <w:rFonts w:ascii="Times New Roman" w:hAnsi="Times New Roman" w:eastAsia="Times New Roman"/>
          <w:b w:val="0"/>
          <w:i w:val="0"/>
          <w:sz w:val="24"/>
        </w:rPr>
        <w:t>Важная тонкость: полезная работа здесь — химическое превращение, а не доведение ванны до высокой температуры. Рост температуры может сопутствовать, но целью процесса он не является. Если смолу просто греть ИК-источником, вязкость упадёт, возможны кипение, деструкция, увод размеров — однако без фотоинициации «как в стереолитографии» полимерная сетка не появится. Отсюда жёсткая привязка стереолитографии к спектральному совпадению источника и инициатора.</w:t>
      </w:r>
    </w:p>
    <w:p>
      <w:pPr>
        <w:spacing w:after="160" w:before="0" w:lineRule="auto" w:line="276"/>
        <w:ind w:firstLine="709"/>
        <w:jc w:val="both"/>
      </w:pPr>
      <w:r>
        <w:rPr>
          <w:rFonts w:ascii="Times New Roman" w:hAnsi="Times New Roman" w:eastAsia="Times New Roman"/>
          <w:b w:val="0"/>
          <w:i w:val="0"/>
          <w:sz w:val="24"/>
        </w:rPr>
        <w:t>Ключ фотохимии — порог по энергии кванта плюс учёт числа полезных поглощений. Доза (энергия на площадь), концентрация инициатора, ингибирование кислородом у поверхности, коэффициент ослабления смолы — всё это уже инженерия проявления. Но корень — квантовый допуск: «правильный» фотон либо есть, либо его нет. Отсюда и рабочие кривые стереолитографии: глубина отверждения растет с экспозицией не линейно «как нагрев болванки», а по закону, связанному с порогом гелеобразования и ослаблением потока с глубиной.</w:t>
      </w:r>
    </w:p>
    <w:p>
      <w:pPr>
        <w:spacing w:after="160" w:before="0" w:lineRule="auto" w:line="276"/>
        <w:ind w:firstLine="709"/>
        <w:jc w:val="both"/>
      </w:pPr>
      <w:r>
        <w:rPr>
          <w:rFonts w:ascii="Times New Roman" w:hAnsi="Times New Roman" w:eastAsia="Times New Roman"/>
          <w:b w:val="0"/>
          <w:i w:val="0"/>
          <w:sz w:val="24"/>
        </w:rPr>
        <w:t>Типовые ошибки настройки в фотохимии: подобрать λ «примерно УФ», но мимо пика инициатора; гнать избыточную дозу и ловить «пропечатывание насквозь» и огрубление тонких элементов; недодержать дозу и получить недоотверждённый слой с плохими механикой и точностью. Рычаги — спектр, доза, состав смолы, стратегия штриховки/экспозиции кадра — не путать с тепловым P/v металлопечати.</w:t>
      </w:r>
    </w:p>
    <w:p>
      <w:pPr>
        <w:spacing w:after="160" w:before="0" w:lineRule="auto" w:line="276"/>
        <w:ind w:firstLine="709"/>
        <w:jc w:val="both"/>
      </w:pPr>
      <w:r>
        <w:rPr>
          <w:rFonts w:ascii="Times New Roman" w:hAnsi="Times New Roman" w:eastAsia="Times New Roman"/>
          <w:b w:val="0"/>
          <w:i w:val="0"/>
          <w:sz w:val="24"/>
        </w:rPr>
        <w:t>Механизм №2 — тепловой. Для ближнего ИК волоконного лазера E ≈ 1,16 эВ. Этого мало, чтобы одним актом рвать типичные связи порядка 3–4 эВ. Энергия уходит в возбуждение электронов и далее в колебания кристаллической решётки. Коллективные колебания атомов — фононы — макроскопически есть температура. Нагрели выше солидуса/ликвидуса — получили расплав.</w:t>
      </w:r>
    </w:p>
    <w:p>
      <w:pPr>
        <w:spacing w:after="160" w:before="0" w:lineRule="auto" w:line="276"/>
        <w:ind w:firstLine="709"/>
        <w:jc w:val="both"/>
      </w:pPr>
      <w:r>
        <w:rPr>
          <w:rFonts w:ascii="Times New Roman" w:hAnsi="Times New Roman" w:eastAsia="Times New Roman"/>
          <w:b w:val="0"/>
          <w:i w:val="0"/>
          <w:sz w:val="24"/>
        </w:rPr>
        <w:t>В металлах даже качественно полезна двухступенчатая картина: сначала излучение взаимодействует со свободными электронами проводимости, электроны быстро обмениваются энергией, затем передают её ионной решётке. На фемто- и пикосекундах это отдельная богатая область; в типичном селективном лазерном плавлении с непрерывным или модулированным волоконным лазером на масштабах микро- и миллисекунд мы видим уже тепловую задачу с движущейся ванной расплава, конвекцией, поверхностным натяжением и треками.</w:t>
      </w:r>
    </w:p>
    <w:p>
      <w:pPr>
        <w:spacing w:after="160" w:before="0" w:lineRule="auto" w:line="276"/>
        <w:ind w:firstLine="709"/>
        <w:jc w:val="both"/>
      </w:pPr>
      <w:r>
        <w:rPr>
          <w:rFonts w:ascii="Times New Roman" w:hAnsi="Times New Roman" w:eastAsia="Times New Roman"/>
          <w:b w:val="0"/>
          <w:i w:val="0"/>
          <w:sz w:val="24"/>
        </w:rPr>
        <w:t>Ключ теплового процесса — мощность, время, доля поглощения и теплоотвод. Сколько ватт пришло в пятно, какая часть вошла в материал, как быстро тепло ушло в порошок, подложку и уже напечатанные стенки. Поэтому язык селективного лазерного плавления — линейная энергия P/v, объёмная плотность энергии, диаметр пятна, шаг штриховки, толщина слоя, температура платформы, атмосфера камеры. Здесь «ещё чуть добавим мощности» иногда лечит несплавление, а иногда рождает поры режима глубокого проплавления: знак эффекта не универсален.</w:t>
      </w:r>
    </w:p>
    <w:p>
      <w:pPr>
        <w:spacing w:after="160" w:before="0" w:lineRule="auto" w:line="276"/>
        <w:ind w:firstLine="709"/>
        <w:jc w:val="both"/>
      </w:pPr>
      <w:r>
        <w:rPr>
          <w:rFonts w:ascii="Times New Roman" w:hAnsi="Times New Roman" w:eastAsia="Times New Roman"/>
          <w:b w:val="0"/>
          <w:i w:val="0"/>
          <w:sz w:val="24"/>
        </w:rPr>
        <w:t>Сравните отказные сценарии — они диагностируют механизм. В стереолитографии: недоотверждение, избыточная глубина, усадка и коробление, липкость поверхности из-за кислородного ингибирования. В селективном лазерном плавлении: несплавление, сферические поры, режим глубокого проплавления, сильные остаточные напряжения, баллистический вынос частиц, нестабильность ванны. Разные диагнозы — разные лекарства; путать их опасно.</w:t>
      </w:r>
    </w:p>
    <w:p>
      <w:pPr>
        <w:spacing w:after="160" w:before="0" w:lineRule="auto" w:line="276"/>
        <w:ind w:firstLine="709"/>
        <w:jc w:val="both"/>
      </w:pPr>
      <w:r>
        <w:rPr>
          <w:rFonts w:ascii="Times New Roman" w:hAnsi="Times New Roman" w:eastAsia="Times New Roman"/>
          <w:b w:val="0"/>
          <w:i w:val="0"/>
          <w:sz w:val="24"/>
        </w:rPr>
        <w:t>Сведём практический вывод. Для стереолитографии нужен УФ (или иной спектр под инициатор), чтобы инициировать химию, а не кипятить смолу. Для селективного лазерного плавления нужен источник, который эффективно греет металл до расплава и удерживает ванну — чаще всего ближний ИК волоконный лазер — потому что задача сообщить решётке энтальпию фазового перехода и управлять тепловым полем. На доске: слева барьер, который берёт один УФ-фотон; справа кривая T(t) от потока ИК-фотонов; подписи «стереолитография» и «селективное лазерное плавление».</w:t>
      </w:r>
    </w:p>
    <w:p>
      <w:pPr>
        <w:spacing w:after="160" w:before="0" w:lineRule="auto" w:line="276"/>
        <w:ind w:firstLine="709"/>
        <w:jc w:val="both"/>
      </w:pPr>
      <w:r>
        <w:rPr>
          <w:rFonts w:ascii="Times New Roman" w:hAnsi="Times New Roman" w:eastAsia="Times New Roman"/>
          <w:b w:val="0"/>
          <w:i w:val="0"/>
          <w:sz w:val="24"/>
        </w:rPr>
        <w:t>Добавим количественный язык, которым реально пользуются технологи. В стереолитографии оперируют экспозицией и глубиной отверждения: сколько энергии на площадь нужно, чтобы слой перешёл порог гелеобразования на заданной толщине. В селективном лазерном плавлении чаще говорят о линейной энергии P/v и объёмной плотности энергии, связывая мощность, скорость, шаг и толщину слоя. Формулы разные, потому что объекты управления разные: химическая конверсия против теплового поля ванны.</w:t>
      </w:r>
    </w:p>
    <w:p>
      <w:pPr>
        <w:spacing w:after="160" w:before="0" w:lineRule="auto" w:line="276"/>
        <w:ind w:firstLine="709"/>
        <w:jc w:val="both"/>
      </w:pPr>
      <w:r>
        <w:rPr>
          <w:rFonts w:ascii="Times New Roman" w:hAnsi="Times New Roman" w:eastAsia="Times New Roman"/>
          <w:b w:val="0"/>
          <w:i w:val="0"/>
          <w:sz w:val="24"/>
        </w:rPr>
        <w:t>Ещё один контраст — роль атмосферы. В стереолитографии кислород у поверхности смолы может ингибировать радикальную полимеризацию и оставлять липкий слой; с этим борются стратегией экспозиции, составом и пост-обработкой. В селективном лазерном плавлении металлов атмосфера — аргон или азот — нужна, чтобы ограничить окисление порошка и ванны; для титана и ряда сплавов чистота газа критична. Снова: похожие слова «среда процесса», разная физика.</w:t>
      </w:r>
    </w:p>
    <w:p>
      <w:pPr>
        <w:spacing w:after="160" w:before="0" w:lineRule="auto" w:line="276"/>
        <w:ind w:firstLine="709"/>
        <w:jc w:val="both"/>
      </w:pPr>
      <w:r>
        <w:rPr>
          <w:rFonts w:ascii="Times New Roman" w:hAnsi="Times New Roman" w:eastAsia="Times New Roman"/>
          <w:b w:val="0"/>
          <w:i w:val="0"/>
          <w:sz w:val="24"/>
        </w:rPr>
        <w:t>Наконец, масштаб времени. Фотохимический акт и первичная термализация электронов — быстрые микроскопические стадии. Макроскопическая полимеризация слоя и движение ванны расплава — уже миллисекунды и секунды процесса сканирования. Инженер на пульте не управляет фемтосекундами напрямую, но обязан понимать, какой канал он открыл выбором λ, иначе настройка превращается в слепой перебор.</w:t>
      </w:r>
    </w:p>
    <w:p>
      <w:pPr>
        <w:spacing w:after="160" w:before="0" w:lineRule="auto" w:line="276"/>
        <w:ind w:firstLine="709"/>
        <w:jc w:val="both"/>
      </w:pPr>
      <w:r>
        <w:rPr>
          <w:rFonts w:ascii="Times New Roman" w:hAnsi="Times New Roman" w:eastAsia="Times New Roman"/>
          <w:b w:val="0"/>
          <w:i w:val="0"/>
          <w:sz w:val="24"/>
        </w:rPr>
        <w:t>И последнее замечание перед шкалой дефектов. Одинаковые слова «мощность», «скорость», «фокус» звучат и в разговоре о стереолитографии, и в разговоре о селективном лазерном плавлении, но переводчики смысла разные. В фотохимии мощность — путь к дозе и скорости построения при уже выбранном спектре. В тепловом процессе мощность — член энергобаланса против теплоотвода. Не переносите интуицию одного процесса на другой без смены словаря.</w:t>
      </w:r>
    </w:p>
    <w:p>
      <w:pPr>
        <w:spacing w:after="160" w:before="0" w:lineRule="auto" w:line="276"/>
        <w:ind w:firstLine="709"/>
        <w:jc w:val="both"/>
      </w:pPr>
      <w:r>
        <w:rPr>
          <w:rFonts w:ascii="Times New Roman" w:hAnsi="Times New Roman" w:eastAsia="Times New Roman"/>
          <w:b w:val="0"/>
          <w:i w:val="0"/>
          <w:sz w:val="24"/>
        </w:rPr>
        <w:t>Если коротко одной фразой для конспекта: в фотохимии решает качество кванта и число успешных актов; в тепловом процессе — бюджет мощности против теплоотвода. Дальше добавим третий обязательный множитель: какую долю мощности материал вообще согласен поглотить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Даже идеально выбранный механизм бессилен, если материал почти не поглощает вашу длину волны. Отсюда практический парадокс цеха: на одном и том же волоконном лазере сталь ведёт себя относительно покладисто, алюминий — капризно, а CO₂, великолепно режущий оргстекло, для плавления алюминия почти бесполезен.</w:t>
      </w:r>
    </w:p>
    <w:p>
      <w:pPr>
        <w:spacing w:after="160" w:before="0" w:lineRule="auto" w:line="276"/>
        <w:ind w:firstLine="709"/>
        <w:jc w:val="both"/>
      </w:pPr>
      <w:r>
        <w:rPr>
          <w:rFonts w:ascii="Times New Roman" w:hAnsi="Times New Roman" w:eastAsia="Times New Roman"/>
          <w:b w:val="0"/>
          <w:i w:val="0"/>
          <w:sz w:val="24"/>
        </w:rPr>
        <w:t>Определение. Спектральная поглощательная способность A(λ) — доля падающей мощности, которая поглощается материалом на данной длине волны. Для непрозрачных металлов на толщинах, больших глубины проникновения, основная конкуренция — между поглощением и отражением у поверхности. Высокое отражение означает, что станок «светит в зеркало»: энергия не работает в ванне, зато гуляет по камере.</w:t>
      </w:r>
    </w:p>
    <w:p>
      <w:pPr>
        <w:spacing w:before="160" w:after="80"/>
        <w:jc w:val="center"/>
      </w:pPr>
      <w:r>
        <w:rPr>
          <w:rFonts w:ascii="Times New Roman" w:hAnsi="Times New Roman" w:eastAsia="Times New Roman"/>
          <w:b w:val="0"/>
          <w:i/>
          <w:sz w:val="20"/>
        </w:rPr>
        <w:t>Таблица 4.1. Оценки поглощательной способности металлов на ключевых длинах волн</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Материал</w:t>
            </w:r>
          </w:p>
        </w:tc>
        <w:tc>
          <w:tcPr>
            <w:tcW w:type="dxa" w:w="2422"/>
          </w:tcPr>
          <w:p>
            <w:r>
              <w:rPr>
                <w:rFonts w:ascii="Times New Roman" w:hAnsi="Times New Roman" w:eastAsia="Times New Roman"/>
                <w:b/>
                <w:i w:val="0"/>
                <w:sz w:val="18"/>
              </w:rPr>
              <w:t>A @ ≈1,07 мкм</w:t>
            </w:r>
          </w:p>
        </w:tc>
        <w:tc>
          <w:tcPr>
            <w:tcW w:type="dxa" w:w="2422"/>
          </w:tcPr>
          <w:p>
            <w:r>
              <w:rPr>
                <w:rFonts w:ascii="Times New Roman" w:hAnsi="Times New Roman" w:eastAsia="Times New Roman"/>
                <w:b/>
                <w:i w:val="0"/>
                <w:sz w:val="18"/>
              </w:rPr>
              <w:t>A @ 10,6 мкм</w:t>
            </w:r>
          </w:p>
        </w:tc>
        <w:tc>
          <w:tcPr>
            <w:tcW w:type="dxa" w:w="2422"/>
          </w:tcPr>
          <w:p>
            <w:r>
              <w:rPr>
                <w:rFonts w:ascii="Times New Roman" w:hAnsi="Times New Roman" w:eastAsia="Times New Roman"/>
                <w:b/>
                <w:i w:val="0"/>
                <w:sz w:val="18"/>
              </w:rPr>
              <w:t>Комментарий</w:t>
            </w:r>
          </w:p>
        </w:tc>
      </w:tr>
      <w:tr>
        <w:tc>
          <w:tcPr>
            <w:tcW w:type="dxa" w:w="2422"/>
          </w:tcPr>
          <w:p>
            <w:r>
              <w:rPr>
                <w:rFonts w:ascii="Times New Roman" w:hAnsi="Times New Roman" w:eastAsia="Times New Roman"/>
                <w:b w:val="0"/>
                <w:i w:val="0"/>
                <w:sz w:val="18"/>
              </w:rPr>
              <w:t>Сталь</w:t>
            </w:r>
          </w:p>
        </w:tc>
        <w:tc>
          <w:tcPr>
            <w:tcW w:type="dxa" w:w="2422"/>
          </w:tcPr>
          <w:p>
            <w:r>
              <w:rPr>
                <w:rFonts w:ascii="Times New Roman" w:hAnsi="Times New Roman" w:eastAsia="Times New Roman"/>
                <w:b w:val="0"/>
                <w:i w:val="0"/>
                <w:sz w:val="18"/>
              </w:rPr>
              <w:t>≈ 30–50 %</w:t>
            </w:r>
          </w:p>
        </w:tc>
        <w:tc>
          <w:tcPr>
            <w:tcW w:type="dxa" w:w="2422"/>
          </w:tcPr>
          <w:p>
            <w:r>
              <w:rPr>
                <w:rFonts w:ascii="Times New Roman" w:hAnsi="Times New Roman" w:eastAsia="Times New Roman"/>
                <w:b w:val="0"/>
                <w:i w:val="0"/>
                <w:sz w:val="18"/>
              </w:rPr>
              <w:t>приемлемо в ряде задач</w:t>
            </w:r>
          </w:p>
        </w:tc>
        <w:tc>
          <w:tcPr>
            <w:tcW w:type="dxa" w:w="2422"/>
          </w:tcPr>
          <w:p>
            <w:r>
              <w:rPr>
                <w:rFonts w:ascii="Times New Roman" w:hAnsi="Times New Roman" w:eastAsia="Times New Roman"/>
                <w:b w:val="0"/>
                <w:i w:val="0"/>
                <w:sz w:val="18"/>
              </w:rPr>
              <w:t>Устойчивое СЛП на волоконном лазере</w:t>
            </w:r>
          </w:p>
        </w:tc>
      </w:tr>
      <w:tr>
        <w:tc>
          <w:tcPr>
            <w:tcW w:type="dxa" w:w="2422"/>
          </w:tcPr>
          <w:p>
            <w:r>
              <w:rPr>
                <w:rFonts w:ascii="Times New Roman" w:hAnsi="Times New Roman" w:eastAsia="Times New Roman"/>
                <w:b w:val="0"/>
                <w:i w:val="0"/>
                <w:sz w:val="18"/>
              </w:rPr>
              <w:t>Титан</w:t>
            </w:r>
          </w:p>
        </w:tc>
        <w:tc>
          <w:tcPr>
            <w:tcW w:type="dxa" w:w="2422"/>
          </w:tcPr>
          <w:p>
            <w:r>
              <w:rPr>
                <w:rFonts w:ascii="Times New Roman" w:hAnsi="Times New Roman" w:eastAsia="Times New Roman"/>
                <w:b w:val="0"/>
                <w:i w:val="0"/>
                <w:sz w:val="18"/>
              </w:rPr>
              <w:t>≈ 40–60 %</w:t>
            </w:r>
          </w:p>
        </w:tc>
        <w:tc>
          <w:tcPr>
            <w:tcW w:type="dxa" w:w="2422"/>
          </w:tcPr>
          <w:p>
            <w:r>
              <w:rPr>
                <w:rFonts w:ascii="Times New Roman" w:hAnsi="Times New Roman" w:eastAsia="Times New Roman"/>
                <w:b w:val="0"/>
                <w:i w:val="0"/>
                <w:sz w:val="18"/>
              </w:rPr>
              <w:t>—</w:t>
            </w:r>
          </w:p>
        </w:tc>
        <w:tc>
          <w:tcPr>
            <w:tcW w:type="dxa" w:w="2422"/>
          </w:tcPr>
          <w:p>
            <w:r>
              <w:rPr>
                <w:rFonts w:ascii="Times New Roman" w:hAnsi="Times New Roman" w:eastAsia="Times New Roman"/>
                <w:b w:val="0"/>
                <w:i w:val="0"/>
                <w:sz w:val="18"/>
              </w:rPr>
              <w:t>Высокое A + низкая теплопроводность</w:t>
            </w:r>
          </w:p>
        </w:tc>
      </w:tr>
      <w:tr>
        <w:tc>
          <w:tcPr>
            <w:tcW w:type="dxa" w:w="2422"/>
          </w:tcPr>
          <w:p>
            <w:r>
              <w:rPr>
                <w:rFonts w:ascii="Times New Roman" w:hAnsi="Times New Roman" w:eastAsia="Times New Roman"/>
                <w:b w:val="0"/>
                <w:i w:val="0"/>
                <w:sz w:val="18"/>
              </w:rPr>
              <w:t>Алюминий</w:t>
            </w:r>
          </w:p>
        </w:tc>
        <w:tc>
          <w:tcPr>
            <w:tcW w:type="dxa" w:w="2422"/>
          </w:tcPr>
          <w:p>
            <w:r>
              <w:rPr>
                <w:rFonts w:ascii="Times New Roman" w:hAnsi="Times New Roman" w:eastAsia="Times New Roman"/>
                <w:b w:val="0"/>
                <w:i w:val="0"/>
                <w:sz w:val="18"/>
              </w:rPr>
              <w:t>≈ 5–10 %</w:t>
            </w:r>
          </w:p>
        </w:tc>
        <w:tc>
          <w:tcPr>
            <w:tcW w:type="dxa" w:w="2422"/>
          </w:tcPr>
          <w:p>
            <w:r>
              <w:rPr>
                <w:rFonts w:ascii="Times New Roman" w:hAnsi="Times New Roman" w:eastAsia="Times New Roman"/>
                <w:b w:val="0"/>
                <w:i w:val="0"/>
                <w:sz w:val="18"/>
              </w:rPr>
              <w:t>≈ 2–3 %</w:t>
            </w:r>
          </w:p>
        </w:tc>
        <w:tc>
          <w:tcPr>
            <w:tcW w:type="dxa" w:w="2422"/>
          </w:tcPr>
          <w:p>
            <w:r>
              <w:rPr>
                <w:rFonts w:ascii="Times New Roman" w:hAnsi="Times New Roman" w:eastAsia="Times New Roman"/>
                <w:b w:val="0"/>
                <w:i w:val="0"/>
                <w:sz w:val="18"/>
              </w:rPr>
              <w:t>Низкое A + высокий теплоотвод</w:t>
            </w:r>
          </w:p>
        </w:tc>
      </w:tr>
      <w:tr>
        <w:tc>
          <w:tcPr>
            <w:tcW w:type="dxa" w:w="2422"/>
          </w:tcPr>
          <w:p>
            <w:r>
              <w:rPr>
                <w:rFonts w:ascii="Times New Roman" w:hAnsi="Times New Roman" w:eastAsia="Times New Roman"/>
                <w:b w:val="0"/>
                <w:i w:val="0"/>
                <w:sz w:val="18"/>
              </w:rPr>
              <w:t>Медь</w:t>
            </w:r>
          </w:p>
        </w:tc>
        <w:tc>
          <w:tcPr>
            <w:tcW w:type="dxa" w:w="2422"/>
          </w:tcPr>
          <w:p>
            <w:r>
              <w:rPr>
                <w:rFonts w:ascii="Times New Roman" w:hAnsi="Times New Roman" w:eastAsia="Times New Roman"/>
                <w:b w:val="0"/>
                <w:i w:val="0"/>
                <w:sz w:val="18"/>
              </w:rPr>
              <w:t>очень низкое</w:t>
            </w:r>
          </w:p>
        </w:tc>
        <w:tc>
          <w:tcPr>
            <w:tcW w:type="dxa" w:w="2422"/>
          </w:tcPr>
          <w:p>
            <w:r>
              <w:rPr>
                <w:rFonts w:ascii="Times New Roman" w:hAnsi="Times New Roman" w:eastAsia="Times New Roman"/>
                <w:b w:val="0"/>
                <w:i w:val="0"/>
                <w:sz w:val="18"/>
              </w:rPr>
              <w:t>ещё ниже</w:t>
            </w:r>
          </w:p>
        </w:tc>
        <w:tc>
          <w:tcPr>
            <w:tcW w:type="dxa" w:w="2422"/>
          </w:tcPr>
          <w:p>
            <w:r>
              <w:rPr>
                <w:rFonts w:ascii="Times New Roman" w:hAnsi="Times New Roman" w:eastAsia="Times New Roman"/>
                <w:b w:val="0"/>
                <w:i w:val="0"/>
                <w:sz w:val="18"/>
              </w:rPr>
              <w:t>Часто нужны green/blue лазеры</w:t>
            </w:r>
          </w:p>
        </w:tc>
      </w:tr>
    </w:tbl>
    <w:p/>
    <w:p>
      <w:pPr>
        <w:spacing w:before="160" w:after="80"/>
        <w:jc w:val="center"/>
      </w:pPr>
      <w:r>
        <w:drawing>
          <wp:inline xmlns:a="http://schemas.openxmlformats.org/drawingml/2006/main" xmlns:pic="http://schemas.openxmlformats.org/drawingml/2006/picture">
            <wp:extent cx="5040000" cy="3475862"/>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4.4. Качественные кривые спектральной поглощательной способности A(λ)</w:t>
      </w:r>
    </w:p>
    <w:p>
      <w:pPr>
        <w:spacing w:after="160" w:before="0" w:lineRule="auto" w:line="276"/>
        <w:ind w:firstLine="709"/>
        <w:jc w:val="both"/>
      </w:pPr>
      <w:r>
        <w:rPr>
          <w:rFonts w:ascii="Times New Roman" w:hAnsi="Times New Roman" w:eastAsia="Times New Roman"/>
          <w:b w:val="0"/>
          <w:i w:val="0"/>
          <w:sz w:val="24"/>
        </w:rPr>
        <w:t>Физическая интуиция без тяжёлой электродинамики. В металле есть свободные электроны — электронная плазма. Падающая волна раскачивает эти электроны. В широком диапазоне условий большая часть энергии переизлучается назад — высокий коэффициент отражения и привычный металлический блеск. Но A(λ) не константа: у разных металлов разные межзонные переходы и разные кривые. Поэтому «металл отражает» — верно лишь как грубый старт; инженер смотрит кривую и точку рабочей λ.</w:t>
      </w:r>
    </w:p>
    <w:p>
      <w:pPr>
        <w:spacing w:after="160" w:before="0" w:lineRule="auto" w:line="276"/>
        <w:ind w:firstLine="709"/>
        <w:jc w:val="both"/>
      </w:pPr>
      <w:r>
        <w:rPr>
          <w:rFonts w:ascii="Times New Roman" w:hAnsi="Times New Roman" w:eastAsia="Times New Roman"/>
          <w:b w:val="0"/>
          <w:i w:val="0"/>
          <w:sz w:val="24"/>
        </w:rPr>
        <w:t>Грубая, но полезная шкала для λ ≈ 1,06–1,08 мкм. Многие стали: A порядка 30–50% в зависимости от сплава, шероховатости, окисления и температуры. Этого часто хватает, чтобы при промышленных мощностях держать ванну при селективном лазерном плавлении. Титан и ряд титановых сплавов: A нередко выше, порядка 40–60%, плюс сравнительно низкая теплопроводность — тепло хуже утекает из зоны, стабилизировать проплавление проще. Алюминий и многие его сплавы: A часто всего около 5–10% в ближнем ИК; львиная доля мощности не входит в материал.</w:t>
      </w:r>
    </w:p>
    <w:p>
      <w:pPr>
        <w:spacing w:after="160" w:before="0" w:lineRule="auto" w:line="276"/>
        <w:ind w:firstLine="709"/>
        <w:jc w:val="both"/>
      </w:pPr>
      <w:r>
        <w:rPr>
          <w:rFonts w:ascii="Times New Roman" w:hAnsi="Times New Roman" w:eastAsia="Times New Roman"/>
          <w:b w:val="0"/>
          <w:i w:val="0"/>
          <w:sz w:val="24"/>
        </w:rPr>
        <w:t>У алюминия удар двойной. Мало поглотить — ещё и теплопроводность высока, в разы выше, чем у многих сталей. Поглощённая энергия быстро расползается по объёму порошка и подложки. Локально набрать и удержать температуру ванны трудно: окно параметров уже, чувствительность к скорости и фокусу выше. Медь в ближнем ИК ещё жёстче: очень высокое отражение и теплопроводность. Именно поэтому для Cu так активно развивают зелёные и синие лазеры.</w:t>
      </w:r>
    </w:p>
    <w:p>
      <w:pPr>
        <w:spacing w:after="160" w:before="0" w:lineRule="auto" w:line="276"/>
        <w:ind w:firstLine="709"/>
        <w:jc w:val="both"/>
      </w:pPr>
      <w:r>
        <w:rPr>
          <w:rFonts w:ascii="Times New Roman" w:hAnsi="Times New Roman" w:eastAsia="Times New Roman"/>
          <w:b w:val="0"/>
          <w:i w:val="0"/>
          <w:sz w:val="24"/>
        </w:rPr>
        <w:t>Сравните точку 10,6 мкм. У алюминия и меди A на дальнем ИК часто падает до единиц процентов. Пытаться плавить Al «большим CO₂» в логике селективного лазерного плавления — значит отапливать отражённым излучением оптику и кабину и поднимать риски для оборудования. Ниша CO₂ остаётся там, где материал на 10,6 мкм принимает энергию: органика, дерево, полимеры, ткани, отдельные задачи по сталям и другим материалам с приемлемым A.</w:t>
      </w:r>
    </w:p>
    <w:p>
      <w:pPr>
        <w:spacing w:after="160" w:before="0" w:lineRule="auto" w:line="276"/>
        <w:ind w:firstLine="709"/>
        <w:jc w:val="both"/>
      </w:pPr>
      <w:r>
        <w:rPr>
          <w:rFonts w:ascii="Times New Roman" w:hAnsi="Times New Roman" w:eastAsia="Times New Roman"/>
          <w:b w:val="0"/>
          <w:i w:val="0"/>
          <w:sz w:val="24"/>
        </w:rPr>
        <w:t>Важная поправка к табличным кривым полированного монолита: порошковый слой — не зеркало. Многократные переотражения между частицами повышают эффективное поглощение. Шероховатость, оксидные плёнки, прогрев поверхности по мере появления ванны тоже сдвигают A. Поэтому печать алюминия на 1 мкм вообще возможна на практике — но запас прочности по энергии тонкий, и сравнение со сталью/титаном всё равно не в пользу Al.</w:t>
      </w:r>
    </w:p>
    <w:p>
      <w:pPr>
        <w:spacing w:after="160" w:before="0" w:lineRule="auto" w:line="276"/>
        <w:ind w:firstLine="709"/>
        <w:jc w:val="both"/>
      </w:pPr>
      <w:r>
        <w:rPr>
          <w:rFonts w:ascii="Times New Roman" w:hAnsi="Times New Roman" w:eastAsia="Times New Roman"/>
          <w:b w:val="0"/>
          <w:i w:val="0"/>
          <w:sz w:val="24"/>
        </w:rPr>
        <w:t>Ещё один практический слой: отражённый луч — не только потеря КПД, но и канал повреждения окна камеры, датчиков и стенок. Для высокоотражающих порошков культура экранов, юстировки и контроля мощности в пятне критична. Иногда процесс «не идёт» не потому что физика плавления запрещена, а потому что реальная мощность на поверхности далеко от показаний источника.</w:t>
      </w:r>
    </w:p>
    <w:p>
      <w:pPr>
        <w:spacing w:after="160" w:before="0" w:lineRule="auto" w:line="276"/>
        <w:ind w:firstLine="709"/>
        <w:jc w:val="both"/>
      </w:pPr>
      <w:r>
        <w:rPr>
          <w:rFonts w:ascii="Times New Roman" w:hAnsi="Times New Roman" w:eastAsia="Times New Roman"/>
          <w:b w:val="0"/>
          <w:i w:val="0"/>
          <w:sz w:val="24"/>
        </w:rPr>
        <w:t>Связка с предыдущим слайдом должна стать автоматической. Механизм отвечает на вопрос: что делать с энергией после поглощения — рвать связь или греть решётку. A(λ) отвечает: какая доля энергии вообще вошла. Произведение этих логик даёт пригодность пары «материал–лазер». Для алюминия на 1 мкм тепловой сценарий правильный по механизму, но тяжёлый по входной доле энергии и теплоотводу.</w:t>
      </w:r>
    </w:p>
    <w:p>
      <w:pPr>
        <w:spacing w:after="160" w:before="0" w:lineRule="auto" w:line="276"/>
        <w:ind w:firstLine="709"/>
        <w:jc w:val="both"/>
      </w:pPr>
      <w:r>
        <w:rPr>
          <w:rFonts w:ascii="Times New Roman" w:hAnsi="Times New Roman" w:eastAsia="Times New Roman"/>
          <w:b w:val="0"/>
          <w:i w:val="0"/>
          <w:sz w:val="24"/>
        </w:rPr>
        <w:t>Разберём численный порядок потерь. Если A ≈ 0,4, из 400 Вт в пятне порядка 160 Вт идут в материал — грубо, без учёта многократных отражений порошка. Если A ≈ 0,08, из тех же 400 Вт в материал входит порядка 30 Вт. Разница больше чем впятеро ещё до теплопроводности. Теперь добавьте, что алюминий эти 30 Вт растаскивает быстрее стали: становится ясно, почему «те же 400 Вт», что уверенно ведут сталь, для Al дают нестабильную ванну.</w:t>
      </w:r>
    </w:p>
    <w:p>
      <w:pPr>
        <w:spacing w:after="160" w:before="0" w:lineRule="auto" w:line="276"/>
        <w:ind w:firstLine="709"/>
        <w:jc w:val="both"/>
      </w:pPr>
      <w:r>
        <w:rPr>
          <w:rFonts w:ascii="Times New Roman" w:hAnsi="Times New Roman" w:eastAsia="Times New Roman"/>
          <w:b w:val="0"/>
          <w:i w:val="0"/>
          <w:sz w:val="24"/>
        </w:rPr>
        <w:t>Температурная динамика A тоже важна. По мере появления расплава и изменения состояния поверхности поглощение может вырасти относительно холодного блестящего порошка. Это помогает процессу «зацепиться», но старт трека и контуры детали остаются уязвимыми. Поэтому стратегии контур/заполнение, мощность первого прохода и подогрев платформы — не косметика, а борьба за вход энергии в худшей точке цикла.</w:t>
      </w:r>
    </w:p>
    <w:p>
      <w:pPr>
        <w:spacing w:after="160" w:before="0" w:lineRule="auto" w:line="276"/>
        <w:ind w:firstLine="709"/>
        <w:jc w:val="both"/>
      </w:pPr>
      <w:r>
        <w:rPr>
          <w:rFonts w:ascii="Times New Roman" w:hAnsi="Times New Roman" w:eastAsia="Times New Roman"/>
          <w:b w:val="0"/>
          <w:i w:val="0"/>
          <w:sz w:val="24"/>
        </w:rPr>
        <w:t>Сравните медь и алюминий как урок обобщения. Оба «трудные» в ближнем ИК, но не идентичны по кривым и по практике сварки/печати. Зелёные и синие лазеры для Cu уже показывают промышленный смысл именно через рост A(λ). Для Al логика та же, хотя парк решений и сплавные нюансы отличаются. Вывод методологический: сначала кривая поглощения, потом мощность.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Соберём правило выбора, которым можно пользоваться у чертежа и у спецификации станка. Сначала класс задачи: нужна фотоинициация полимера или плавление металлического порошка? Если фотохимия — берём спектр под инициатор и проектируем дозу. Если плавление — смотрим A(λ), теплопроводность, доступную мощность, качество пучка, атмосферу и экономику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селективного лазерного плавления металлов дефолт сегодня — волоконный лазер около 1 мкм. Причины системные, не рекламные. Поглощение приемлемо для сталей, титана, Ni-суперсплавов, CoCr. Качество пучка высокое: M² часто порядка 1,1–1,5, значит пятно можно сделать малым, а плотность мощности — высокой. Излучение доставляется волокном, источник компактен, КПД и ресурс обычно лучше старых газовых схем, юстировок меньше, чем у классического CO₂. Сервисная экосистема и парк оборудования уже заточены под этот класс.</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Но дефолт — не закон природы. Полимеры, органические композиты, резка тканей и оргстекла часто живут на других λ. Керамики и специальные сплавы могут требовать отдельных окон. Даже внутри металлов медь и алюминий показывают: ближний ИК выбран индустрией как оптимум по совокупности факторов, а не как универсальный ключ ко всем порошкам.</w:t>
      </w:r>
    </w:p>
    <w:p>
      <w:pPr>
        <w:spacing w:after="160" w:before="0" w:lineRule="auto" w:line="276"/>
        <w:ind w:firstLine="709"/>
        <w:jc w:val="both"/>
      </w:pPr>
      <w:r>
        <w:rPr>
          <w:rFonts w:ascii="Times New Roman" w:hAnsi="Times New Roman" w:eastAsia="Times New Roman"/>
          <w:b w:val="0"/>
          <w:i w:val="0"/>
          <w:sz w:val="24"/>
        </w:rPr>
        <w:t>Отдельно про качество пучка и пятно — мост к следующей лекции. Высокий M² близок к идеальной гауссовой моде и позволяет сфокусировать энергию в малую площадь. Плохой пучок «размазывает» мощность, снижая пиковую плотность даже при тех же ваттах. Поэтому выбирать лазер только по мощности на шильдике — ошибка: нужны λ, M²,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Что делать с алюминием, если машина уже с волоконным ~1 мкм? Физику отражения кнопкой не отменить — меняют стратегию. Первое: сдвиг длины волны в зелёный 515–532 нм или синий ~450 нм, где у Al и Cu поглощение выше. Это бьёт в причину, но дороже в интеграции и пока реже как массовый стандарт. Второе: подогрев платформы — часто 150–200 °C и выше, если конструкция машины позволяет. Снижаются градиенты, ванну проще удержать, меньше трещин и срывов сплавления.</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поднять мощность и/или уменьшить пятно, контролируя переход в режим глубокого проплавления и выброс. Четвёртое: снизить скорость сканирования, изменить шаг штриховки, острова, контуры, толщину слоя, фракцию порошка. Иногда помогает работа с атмосферой и контролем кислорода, иногда — специальные оболочки порошка и сплавный дизайн. Комбинации рычагов подбирают экспериментально, но логика всегда одна: увеличить вход энергии и/или уменьшить скорость её потери.</w:t>
      </w:r>
    </w:p>
    <w:p>
      <w:pPr>
        <w:spacing w:after="160" w:before="0" w:lineRule="auto" w:line="276"/>
        <w:ind w:firstLine="709"/>
        <w:jc w:val="both"/>
      </w:pPr>
      <w:r>
        <w:rPr>
          <w:rFonts w:ascii="Times New Roman" w:hAnsi="Times New Roman" w:eastAsia="Times New Roman"/>
          <w:b w:val="0"/>
          <w:i w:val="0"/>
          <w:sz w:val="24"/>
        </w:rPr>
        <w:t>Чек-лист на пять вопросов перед выбором источника: (1) нужен квантовый порог или нагрев до расплава? (2) каково A(λ) у материала на кандидатных длинах волн? (3) хватает ли мощности и качества пучка, чтобы победить теплоотвод? (4) какие побочные риски — отражение, дым, усадка, поры, повреждение оптики? (5) стоимость владения и доступность сервиса? Если ответы согласованы, λ выбрана осмысленно.</w:t>
      </w:r>
    </w:p>
    <w:p>
      <w:pPr>
        <w:spacing w:after="160" w:before="0" w:lineRule="auto" w:line="276"/>
        <w:ind w:firstLine="709"/>
        <w:jc w:val="both"/>
      </w:pPr>
      <w:r>
        <w:rPr>
          <w:rFonts w:ascii="Times New Roman" w:hAnsi="Times New Roman" w:eastAsia="Times New Roman"/>
          <w:b w:val="0"/>
          <w:i w:val="0"/>
          <w:sz w:val="24"/>
        </w:rPr>
        <w:t>Запомните формулировку для экзамена и для цеха: это инженерный обход ограничений материала, а не отмена оптики и теплофизики. «Просто мощнее» без учёта A(λ) и механизма — самый короткий путь к браку и к прожигу не того объекта.</w:t>
      </w:r>
    </w:p>
    <w:p>
      <w:pPr>
        <w:spacing w:after="160" w:before="0" w:lineRule="auto" w:line="276"/>
        <w:ind w:firstLine="709"/>
        <w:jc w:val="both"/>
      </w:pPr>
      <w:r>
        <w:rPr>
          <w:rFonts w:ascii="Times New Roman" w:hAnsi="Times New Roman" w:eastAsia="Times New Roman"/>
          <w:b w:val="0"/>
          <w:i w:val="0"/>
          <w:sz w:val="24"/>
        </w:rPr>
        <w:t>Полезно явно назвать критерий остановки перебора параметров. Если вы уже подняли мощность, снизили скорость и подогрели платформу, а алюминий всё равно даёт нестабильное сплавление при высоком отражении, дальше без смены λ или материала вы чаще покупаете поры и перегрев, а не качество. Окно процесса конечно; физика A(λ) задаёт его границы раньше, чем интерфейс станка.</w:t>
      </w:r>
    </w:p>
    <w:p>
      <w:pPr>
        <w:spacing w:after="160" w:before="0" w:lineRule="auto" w:line="276"/>
        <w:ind w:firstLine="709"/>
        <w:jc w:val="both"/>
      </w:pPr>
      <w:r>
        <w:rPr>
          <w:rFonts w:ascii="Times New Roman" w:hAnsi="Times New Roman" w:eastAsia="Times New Roman"/>
          <w:b w:val="0"/>
          <w:i w:val="0"/>
          <w:sz w:val="24"/>
        </w:rPr>
        <w:t>Посмотрим на выбор как на дерево решений без романтики. Ветка A: полимер + фотоинициатор → проверить спектр инициатора → выбрать УФ/фиолет → назначить дозу и стратегию экспозиции → проверить усадку и пост-отверждение. Ветка B: металл + плавление → оценить A(λ) на 1 мкм и альтернативах → оценить теплопроводность и температуру плавления → проверить, закрывает ли мощность/M² теплоотвод → назначить P, v, шаг штриховки, слой, подогрев → проверить поры и напряжения. Если ветка B на 1 мкм не закрывается — сдвиг λ или смена сплава/порошка.</w:t>
      </w:r>
    </w:p>
    <w:p>
      <w:pPr>
        <w:spacing w:after="160" w:before="0" w:lineRule="auto" w:line="276"/>
        <w:ind w:firstLine="709"/>
        <w:jc w:val="both"/>
      </w:pPr>
      <w:r>
        <w:rPr>
          <w:rFonts w:ascii="Times New Roman" w:hAnsi="Times New Roman" w:eastAsia="Times New Roman"/>
          <w:b w:val="0"/>
          <w:i w:val="0"/>
          <w:sz w:val="24"/>
        </w:rPr>
        <w:t>Экономика тоже часть физико-технологического выбора. Зелёный или синий источник может спасти процесс на Cu/Al, но повышает стоимость владения. Иногда выгоднее остаться на 1 мкм и сузить окно параметров, иногда — сменить сплав на более «лазерно-дружелюбный», иногда — вынести изделие на другую технологию. Правильный ответ — тот, что согласует физику, качество и стоимость, а не самый красивый луч в лаборатории.</w:t>
      </w:r>
    </w:p>
    <w:p>
      <w:pPr>
        <w:spacing w:after="160" w:before="0" w:lineRule="auto" w:line="276"/>
        <w:ind w:firstLine="709"/>
        <w:jc w:val="both"/>
      </w:pPr>
      <w:r>
        <w:rPr>
          <w:rFonts w:ascii="Times New Roman" w:hAnsi="Times New Roman" w:eastAsia="Times New Roman"/>
          <w:b w:val="0"/>
          <w:i w:val="0"/>
          <w:sz w:val="24"/>
        </w:rPr>
        <w:t>Связка с контролем качества: если брак — недоотверждение полимера, копайте спектр и дозу, не «добавьте ИК». Если брак — несплавление алюминия, копайте A, теплоотвод и плотность мощности, не «смените смолу инициатора». Классификация дефекта должна начинаться с механизма и A(λ), иначе лечение будет от чужой болезни.</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 и сильного теплоотвода. Допустим, доступен зелёный лазер с λ = 532 нм. Что изменится в оценке? Пересчитайте энергию фотона правилом 1240/λ и сравните с 1,16 эВ на 1070 нм. В какую сторону, качественно, сдвинется поглощение у Al? Если при этом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 плотность мощности. Не обязательно числа до третьего знака —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без готового ответа: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сильно изменить входной множитель A и допустимую плотность мощности. Именно эту развилку разберём вместе с фокусировкой.</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 которые нужно унести с занятия и применять к любой новой паре «материал–лазер».</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Выбирая лазер, вы выбираете энергию каждого кванта — потолок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принципиально различны. Фотохимия в стереолитографии опирается на порог и число полезных фотонов. Тепловой путь в селективном лазерном плавлении — на мощность, время воздействия и теплоотвод в решётке и окружении.</w:t>
      </w:r>
    </w:p>
    <w:p>
      <w:pPr>
        <w:spacing w:after="160" w:before="0" w:lineRule="auto" w:line="276"/>
        <w:ind w:firstLine="709"/>
        <w:jc w:val="both"/>
      </w:pPr>
      <w:r>
        <w:rPr>
          <w:rFonts w:ascii="Times New Roman" w:hAnsi="Times New Roman" w:eastAsia="Times New Roman"/>
          <w:b w:val="0"/>
          <w:i w:val="0"/>
          <w:sz w:val="24"/>
        </w:rPr>
        <w:t>Третье. A(λ) решает, какая доля мощности вообще войдёт в материал. Сталь и титан на ~1 мкм относительно удобны; алюминий и медь — нет, без смены λ или жёсткой адаптации режима и тепловой стратегии.</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самого мощного шильдика. Металлы при селективном лазерном плавлении: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Проверьте себя одним тестом. Если вам дают новый порошок и новый лазер, в каком порядке вы задаёте вопросы? Сначала λ и E фотона, затем механизм, затем A(λ) и теплоотвод, затем мощность и пятно, затем экономика. Любая другая последовательность повышает шанс купить неподходящий источник «потому что мощный».</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 и качества трека.</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