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БОНУС / ВОПРОСЫ</w:t>
      </w:r>
    </w:p>
    <w:p>
      <w:pPr>
        <w:spacing w:after="20" w:before="0" w:lineRule="auto" w:line="276"/>
        <w:jc w:val="left"/>
      </w:pPr>
      <w:r>
        <w:rPr>
          <w:rFonts w:ascii="Times New Roman" w:hAnsi="Times New Roman" w:eastAsia="Times New Roman"/>
          <w:b w:val="0"/>
          <w:i w:val="0"/>
          <w:sz w:val="22"/>
        </w:rPr>
        <w:t xml:space="preserve">    9.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10⁻¹⁵м против 10⁻¹⁰м),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 xml:space="preserve">В-третьих, и это главное — почему же в одних случаях переход по энергетической схеме совпадает со сменой орбитали, а в других — нет? Потому что </w:t>
      </w:r>
      <w:r>
        <w:rPr>
          <w:rFonts w:ascii="Times New Roman" w:hAnsi="Times New Roman" w:eastAsia="Times New Roman"/>
          <w:b/>
          <w:i w:val="0"/>
          <w:sz w:val="24"/>
        </w:rPr>
        <w:t>энергетический уровень</w:t>
      </w:r>
      <w:r>
        <w:rPr>
          <w:rFonts w:ascii="Times New Roman" w:hAnsi="Times New Roman" w:eastAsia="Times New Roman"/>
          <w:b w:val="0"/>
          <w:i w:val="0"/>
          <w:sz w:val="24"/>
        </w:rPr>
        <w:t xml:space="preserve">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w:t>
      </w:r>
      <w:r>
        <w:rPr>
          <w:rFonts w:ascii="Times New Roman" w:hAnsi="Times New Roman" w:eastAsia="Times New Roman"/>
          <w:b/>
          <w:i w:val="0"/>
          <w:sz w:val="24"/>
        </w:rPr>
        <w:t>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Спектральная поглощательная способность A(λ)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 и вопрос для самостоятельной проработки.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 h·ν, где h ≈ 6,63×10⁻³⁴ Дж·с — постоянная Планка, ν —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длину волны λ, реже частоту. Связь через скорость света в вакууме: λ·ν = c. Отсюда рабочая формула: E = h·c / λ. Чем короче длина волны, тем больше энергия одного фотона. Увеличение λ вдвое уменьшает E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E(эВ) ≈ 1240 / λ(нм).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по энергиям. Типичная одинарная связь C–C лежит около 3,6 эВ, C–H — около 4,3 эВ. Слабые связи в молекулах промышленных фотоинициаторов часто рассчитаны на разрыв в районе 3–4 эВ при поглощении УФ. Работа выхода многих металлов — порядка нескольких электрон-вольт; поэтому порог фотоэффекта лежит в УФ/фиолетовой области, а не в дальнем ИК.</w:t>
      </w:r>
    </w:p>
    <w:p>
      <w:pPr>
        <w:spacing w:after="160" w:before="0" w:lineRule="auto" w:line="276"/>
        <w:ind w:firstLine="709"/>
        <w:jc w:val="both"/>
      </w:pPr>
      <w:r>
        <w:rPr>
          <w:rFonts w:ascii="Times New Roman" w:hAnsi="Times New Roman" w:eastAsia="Times New Roman"/>
          <w:b w:val="0"/>
          <w:i w:val="0"/>
          <w:sz w:val="24"/>
        </w:rPr>
        <w:t>Фотон волоконного лазера с энергией 1,16 эВ не разрывает связь C–C в одном акте. Фотон с энергией 3,5 эВ может это сделать, если молекула его поглотила и канал диссоциации открыт. Выбор λ задаёт верхний предел энергии одного кванта. Регулятором мощности изменяют число квантов в единицу времени, но не энергия одного кванта — пока не сменена длина волны или не использована генерация гармоник.</w:t>
      </w:r>
    </w:p>
    <w:p>
      <w:pPr>
        <w:spacing w:after="160" w:before="0" w:lineRule="auto" w:line="276"/>
        <w:ind w:firstLine="709"/>
        <w:jc w:val="both"/>
      </w:pPr>
      <w:r>
        <w:rPr>
          <w:rFonts w:ascii="Times New Roman" w:hAnsi="Times New Roman" w:eastAsia="Times New Roman"/>
          <w:b w:val="0"/>
          <w:i w:val="0"/>
          <w:sz w:val="24"/>
        </w:rPr>
        <w:t>В станке можно установить два источника одной λ разной мощности — это масштабирование потока. Превратить 1070 нм в 355 нм программно нельзя. Поэтому длина волны — архитектурное решение машины, сопоставимое по важности с кинематикой сканатора.</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ещё одним сравнением. Мощность — скорость подвода энергии (сколько энергии в единицу времени). Энергия фотона — величина одной порции и её достаточность для порогового акта. Увеличение мощности при недостаточной энергии кванта меняет скорость нагрева, но не открывает запрещённый однофотонный канал. Это различие снимает типичную путаницу в спецификациях.</w:t>
      </w:r>
    </w:p>
    <w:p>
      <w:pPr>
        <w:spacing w:after="160" w:before="0" w:lineRule="auto" w:line="276"/>
        <w:ind w:firstLine="709"/>
        <w:jc w:val="both"/>
      </w:pPr>
      <w:r>
        <w:rPr>
          <w:rFonts w:ascii="Times New Roman" w:hAnsi="Times New Roman" w:eastAsia="Times New Roman"/>
          <w:b w:val="0"/>
          <w:i w:val="0"/>
          <w:sz w:val="24"/>
        </w:rPr>
        <w:t>Пример выбора машины. Если процесс требует разрыва связей инициатора около 3,5 эВ, источник на 1070 нм не является носителем нужного кванта — даже при киловаттной мощности. Если процесс — плавление стали, УФ с высокой энергией кванта не обязан быть наилучшим нагревателем: важны поглощение, мощность и теплоотвод. Энергия фотона — фильтр допустимости сценария, а не единственный параметр режима.</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После поглощения фотона энергия может пойти качественно разными путями. Развилка задаётся сравнением энергии кванта с порогами вещества: энергией активации или диссоциации для фотохимии и, в родственных случаях, работой выхода для фотоэффекта. Если порог одним квантом не достигается, тепловой канал всё равно возможен — но это уже другая физика и другие параметры управления.</w:t>
      </w:r>
    </w:p>
    <w:p>
      <w:pPr>
        <w:spacing w:after="160" w:before="0" w:lineRule="auto" w:line="276"/>
        <w:ind w:firstLine="709"/>
        <w:jc w:val="both"/>
      </w:pPr>
      <w:r>
        <w:rPr>
          <w:rFonts w:ascii="Times New Roman" w:hAnsi="Times New Roman" w:eastAsia="Times New Roman"/>
          <w:b w:val="0"/>
          <w:i w:val="0"/>
          <w:sz w:val="24"/>
        </w:rPr>
        <w:t>На приведённом рисунке слева показан качественный профиль потенциальной энергии вдоль координаты реакции: исходное состояние, барьер активации E_акт и продукты. Стрелка «один УФ-фотон» означает условие E_ph ≥ E_акт: одного кванта достаточно, чтобы система перешла через барьер. На правой части того же рисунка — зависимость температуры от времени T(t) при тепловом нагреве; горизонталь T_пл — температура плавления. Кривая растёт за счёт накопления энергии многих слабых ИК-фотонов; при пересечении T_пл появляется расплав.</w:t>
      </w:r>
    </w:p>
    <w:p>
      <w:pPr>
        <w:spacing w:before="160" w:after="80"/>
        <w:jc w:val="center"/>
      </w:pPr>
      <w:r>
        <w:drawing>
          <wp:inline xmlns:a="http://schemas.openxmlformats.org/drawingml/2006/main" xmlns:pic="http://schemas.openxmlformats.org/drawingml/2006/picture">
            <wp:extent cx="5040000" cy="3414194"/>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14194"/>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барьер E_акт вдоль координаты реакции (УФ); справа — T(t) и T_пл (ИК)</w:t>
      </w:r>
    </w:p>
    <w:p>
      <w:pPr>
        <w:spacing w:after="160" w:before="0" w:lineRule="auto" w:line="276"/>
        <w:ind w:firstLine="709"/>
        <w:jc w:val="both"/>
      </w:pPr>
      <w:r>
        <w:rPr>
          <w:rFonts w:ascii="Times New Roman" w:hAnsi="Times New Roman" w:eastAsia="Times New Roman"/>
          <w:b w:val="0"/>
          <w:i w:val="0"/>
          <w:sz w:val="24"/>
        </w:rPr>
        <w:t>Механизм №1 — фотохимический. Он доминирует, когда одного фотона достаточно, чтобы изменить электронную структуру молекулы: перевести её на возбуждённый терм, разорвать слабую связь, открыть канал образования радикала или иона.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w:t>
      </w:r>
    </w:p>
    <w:p>
      <w:pPr>
        <w:spacing w:after="160" w:before="0" w:lineRule="auto" w:line="276"/>
        <w:ind w:firstLine="709"/>
        <w:jc w:val="both"/>
      </w:pPr>
      <w:r>
        <w:rPr>
          <w:rFonts w:ascii="Times New Roman" w:hAnsi="Times New Roman" w:eastAsia="Times New Roman"/>
          <w:b w:val="0"/>
          <w:i w:val="0"/>
          <w:sz w:val="24"/>
        </w:rPr>
        <w:t>В аддитивном производстве рабочий аналог — фотоинициация в стереолитографии. В смолу вводят фотоинициаторы. Они поглощают УФ-кванты порядка 3–3,5 эВ и распадаются с появлением свободных радикалов. Радикал инициирует цепную полимеризацию мономера или олигомера; растёт сетка, жидкость становится твёрдым слоем заданной геометрии.</w:t>
      </w:r>
    </w:p>
    <w:p>
      <w:pPr>
        <w:spacing w:after="160" w:before="0" w:lineRule="auto" w:line="276"/>
        <w:ind w:firstLine="709"/>
        <w:jc w:val="both"/>
      </w:pPr>
      <w:r>
        <w:rPr>
          <w:rFonts w:ascii="Times New Roman" w:hAnsi="Times New Roman" w:eastAsia="Times New Roman"/>
          <w:b w:val="0"/>
          <w:i w:val="0"/>
          <w:sz w:val="24"/>
        </w:rPr>
        <w:t>Полезная работа здесь — химическое превращение, а не нагрев ванны до высокой температуры. Рост температуры может сопутствовать, но не является целью. Нагрев смолы ИК-источником снижает вязкость и может привести к кипению или деструкции, однако без фотоинициации полимерная сетка стереолитографии не образуется. Отсюда жёсткая привязка процесса к спектральному совпадению источника и инициатора.</w:t>
      </w:r>
    </w:p>
    <w:p>
      <w:pPr>
        <w:spacing w:after="160" w:before="0" w:lineRule="auto" w:line="276"/>
        <w:ind w:firstLine="709"/>
        <w:jc w:val="both"/>
      </w:pPr>
      <w:r>
        <w:rPr>
          <w:rFonts w:ascii="Times New Roman" w:hAnsi="Times New Roman" w:eastAsia="Times New Roman"/>
          <w:b w:val="0"/>
          <w:i w:val="0"/>
          <w:sz w:val="24"/>
        </w:rPr>
        <w:t>Ключ фотохимии — порог по энергии кванта и число полезных поглощений. Доза (энергия на площадь), концентрация инициатора, ингибирование кислородом у поверхности, коэффициент ослабления смолы — уже инженерия проявления. Корень же — квантовое условие: фотон нужной энергии либо есть, либо его нет. Глубина отверждения растёт с экспозицией не как простой нагрев объёма, а по закону, связанному с порогом гелеобразования и ослаблением потока с глубиной.</w:t>
      </w:r>
    </w:p>
    <w:p>
      <w:pPr>
        <w:spacing w:after="160" w:before="0" w:lineRule="auto" w:line="276"/>
        <w:ind w:firstLine="709"/>
        <w:jc w:val="both"/>
      </w:pPr>
      <w:r>
        <w:rPr>
          <w:rFonts w:ascii="Times New Roman" w:hAnsi="Times New Roman" w:eastAsia="Times New Roman"/>
          <w:b w:val="0"/>
          <w:i w:val="0"/>
          <w:sz w:val="24"/>
        </w:rPr>
        <w:t>Типовые ошибки: выбрать λ «примерно в УФ», но вне пика инициатора; завысить дозу и получить пропечатывание насквозь и огрубление тонких элементов; занизить дозу и получить недоотверждённый слой. Рычаги — спектр, доза, состав смолы, стратегия экспозиции; их не следует смешивать с тепловым языком P/v металлопечати.</w:t>
      </w:r>
    </w:p>
    <w:p>
      <w:pPr>
        <w:spacing w:after="160" w:before="0" w:lineRule="auto" w:line="276"/>
        <w:ind w:firstLine="709"/>
        <w:jc w:val="both"/>
      </w:pPr>
      <w:r>
        <w:rPr>
          <w:rFonts w:ascii="Times New Roman" w:hAnsi="Times New Roman" w:eastAsia="Times New Roman"/>
          <w:b w:val="0"/>
          <w:i w:val="0"/>
          <w:sz w:val="24"/>
        </w:rPr>
        <w:t>Механизм №2 — тепловой. Для ближнего ИК волоконного лазера E ≈ 1,16 эВ. Этого недостаточно, чтобы одним актом разорвать типичные связи порядка 3–4 эВ. Энергия уходит в возбуждение электронов и далее в колебания кристаллической решётки. Коллективные колебания атомов — фононы — макроскопически соответствуют температуре. При нагреве выше солидуса/ликвидуса образуется расплав — это соответствует пересечению кривой T(t) и изотермы T_пл на правой части рисунка.</w:t>
      </w:r>
    </w:p>
    <w:p>
      <w:pPr>
        <w:spacing w:after="160" w:before="0" w:lineRule="auto" w:line="276"/>
        <w:ind w:firstLine="709"/>
        <w:jc w:val="both"/>
      </w:pPr>
      <w:r>
        <w:rPr>
          <w:rFonts w:ascii="Times New Roman" w:hAnsi="Times New Roman" w:eastAsia="Times New Roman"/>
          <w:b w:val="0"/>
          <w:i w:val="0"/>
          <w:sz w:val="24"/>
        </w:rPr>
        <w:t>В металлах полезна двухступенчатая картина: сначала излучение взаимодействует со свободными электронами проводимости, электроны обмениваются энергией, затем передают её ионной решётке. На фемто- и пикосекундах это отдельная область; в типичном СЛП с непрерывным или модулированным волоконным лазером на масштабах микро- и миллисекунд мы имеем тепловую задачу с движущейся ванной расплава.</w:t>
      </w:r>
    </w:p>
    <w:p>
      <w:pPr>
        <w:spacing w:after="160" w:before="0" w:lineRule="auto" w:line="276"/>
        <w:ind w:firstLine="709"/>
        <w:jc w:val="both"/>
      </w:pPr>
      <w:r>
        <w:rPr>
          <w:rFonts w:ascii="Times New Roman" w:hAnsi="Times New Roman" w:eastAsia="Times New Roman"/>
          <w:b w:val="0"/>
          <w:i w:val="0"/>
          <w:sz w:val="24"/>
        </w:rPr>
        <w:t>Параметры теплового процесса — мощность, время воздействия, доля поглощения и теплоотвод: сколько мощности пришло в пятно, какая часть вошла в материал, как быстро тепло ушло в порошок, подложку и уже построенные стенки. Отсюда язык СЛП: линейная энергия P/v, объёмная плотность энергии, диаметр пятна, шаг штриховки, толщина слоя, температура платформы, атмосфера камеры. Увеличение мощности иногда устраняет несплавление, а иногда приводит к порам режима глубокого проплавления: знак эффекта не универсален.</w:t>
      </w:r>
    </w:p>
    <w:p>
      <w:pPr>
        <w:spacing w:after="160" w:before="0" w:lineRule="auto" w:line="276"/>
        <w:ind w:firstLine="709"/>
        <w:jc w:val="both"/>
      </w:pPr>
      <w:r>
        <w:rPr>
          <w:rFonts w:ascii="Times New Roman" w:hAnsi="Times New Roman" w:eastAsia="Times New Roman"/>
          <w:b w:val="0"/>
          <w:i w:val="0"/>
          <w:sz w:val="24"/>
        </w:rPr>
        <w:t>Отказные сценарии диагностируют механизм. В стереолитографии: недоотверждение, избыточная глубина, усадка и коробление, липкость поверхности из-за кислородного ингибирования. В СЛП: несплавление, сферические поры, режим глубокого проплавления, остаточные напряжения, вынос частиц, нестабильность ванны. Разные дефекты требуют разных корректировок.</w:t>
      </w:r>
    </w:p>
    <w:p>
      <w:pPr>
        <w:spacing w:after="160" w:before="0" w:lineRule="auto" w:line="276"/>
        <w:ind w:firstLine="709"/>
        <w:jc w:val="both"/>
      </w:pPr>
      <w:r>
        <w:rPr>
          <w:rFonts w:ascii="Times New Roman" w:hAnsi="Times New Roman" w:eastAsia="Times New Roman"/>
          <w:b w:val="0"/>
          <w:i w:val="0"/>
          <w:sz w:val="24"/>
        </w:rPr>
        <w:t>Практический вывод. Для стереолитографии нужен УФ (или иной спектр под инициатор), чтобы инициировать химию. Для СЛП нужен источник, эффективно нагревающий металл до расплава, — чаще ближний ИК волоконный лазер, — поскольку задача состоит в сообщении решётке энтальпии фазового перехода и управлении тепловым полем. На рисунке слева — барьерный профиль и один УФ-фотон; справа — T(t) от потока ИК-фотонов.</w:t>
      </w:r>
    </w:p>
    <w:p>
      <w:pPr>
        <w:spacing w:after="160" w:before="0" w:lineRule="auto" w:line="276"/>
        <w:ind w:firstLine="709"/>
        <w:jc w:val="both"/>
      </w:pPr>
      <w:r>
        <w:rPr>
          <w:rFonts w:ascii="Times New Roman" w:hAnsi="Times New Roman" w:eastAsia="Times New Roman"/>
          <w:b w:val="0"/>
          <w:i w:val="0"/>
          <w:sz w:val="24"/>
        </w:rPr>
        <w:t>Количественный язык технологов. В стереолитографии оперируют экспозицией и глубиной отверждения. В СЛП — линейной энергией P/v и объёмной плотностью энергии, связывая мощность, скорость, шаг и толщину слоя. Формулы различны, потому что различны объекты управления: химическая конверсия против теплового поля ванны.</w:t>
      </w:r>
    </w:p>
    <w:p>
      <w:pPr>
        <w:spacing w:after="160" w:before="0" w:lineRule="auto" w:line="276"/>
        <w:ind w:firstLine="709"/>
        <w:jc w:val="both"/>
      </w:pPr>
      <w:r>
        <w:rPr>
          <w:rFonts w:ascii="Times New Roman" w:hAnsi="Times New Roman" w:eastAsia="Times New Roman"/>
          <w:b w:val="0"/>
          <w:i w:val="0"/>
          <w:sz w:val="24"/>
        </w:rPr>
        <w:t>Роль атмосферы. В стереолитографии кислород у поверхности может ингибировать радикальную полимеризацию. В СЛП металлов атмосфера (аргон или азот) ограничивает окисление порошка и ванны; для титана чистота газа критична. Одинаковые слова «среда процесса» — разная физика.</w:t>
      </w:r>
    </w:p>
    <w:p>
      <w:pPr>
        <w:spacing w:after="160" w:before="0" w:lineRule="auto" w:line="276"/>
        <w:ind w:firstLine="709"/>
        <w:jc w:val="both"/>
      </w:pPr>
      <w:r>
        <w:rPr>
          <w:rFonts w:ascii="Times New Roman" w:hAnsi="Times New Roman" w:eastAsia="Times New Roman"/>
          <w:b w:val="0"/>
          <w:i w:val="0"/>
          <w:sz w:val="24"/>
        </w:rPr>
        <w:t>Масштаб времени. Фотохимический акт и первичная термализация электронов — быстрые микроскопические стадии. Макроскопическая полимеризация слоя и движение ванны — миллисекунды и секунды сканирования. Оператор не управляет фемтосекундами напрямую, но обязан понимать, какой канал открыт выбором λ, иначе настройка сводится к несистематическому перебору параметров.</w:t>
      </w:r>
    </w:p>
    <w:p>
      <w:pPr>
        <w:spacing w:after="160" w:before="0" w:lineRule="auto" w:line="276"/>
        <w:ind w:firstLine="709"/>
        <w:jc w:val="both"/>
      </w:pPr>
      <w:r>
        <w:rPr>
          <w:rFonts w:ascii="Times New Roman" w:hAnsi="Times New Roman" w:eastAsia="Times New Roman"/>
          <w:b w:val="0"/>
          <w:i w:val="0"/>
          <w:sz w:val="24"/>
        </w:rPr>
        <w:t>Одинаковые слова «мощность», «скорость», «фокус» в стереолитографии и в СЛП имеют разный смысл. В фотохимии мощность — путь к дозе при уже выбранном спектре. В тепловом процессе мощность — член энергобаланса против теплоотвода. Интуицию одного процесса нельзя переносить на другой без смены словаря.</w:t>
      </w:r>
    </w:p>
    <w:p>
      <w:pPr>
        <w:spacing w:after="160" w:before="0" w:lineRule="auto" w:line="276"/>
        <w:ind w:firstLine="709"/>
        <w:jc w:val="both"/>
      </w:pPr>
      <w:r>
        <w:rPr>
          <w:rFonts w:ascii="Times New Roman" w:hAnsi="Times New Roman" w:eastAsia="Times New Roman"/>
          <w:b w:val="0"/>
          <w:i w:val="0"/>
          <w:sz w:val="24"/>
        </w:rPr>
        <w:t>Краткий вывод: в фотохимии решают энергия кванта и число успешных актов; в тепловом процессе — баланс мощности и теплоотвода. Далее —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спектральная поглощательная способность A(λ).</w:t>
      </w:r>
    </w:p>
    <w:p>
      <w:pPr>
        <w:spacing w:after="160" w:before="0" w:lineRule="auto" w:line="276"/>
        <w:ind w:firstLine="709"/>
        <w:jc w:val="both"/>
      </w:pPr>
      <w:r>
        <w:rPr>
          <w:rFonts w:ascii="Times New Roman" w:hAnsi="Times New Roman" w:eastAsia="Times New Roman"/>
          <w:b w:val="0"/>
          <w:i w:val="0"/>
          <w:sz w:val="24"/>
        </w:rPr>
        <w:t>Определение. Спектральная поглощательная способность A(λ)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P_поглощённая / P_падающая.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БОНУС / ВОПРОСЫ</w:t>
      </w:r>
    </w:p>
    <w:p>
      <w:pPr>
        <w:spacing w:after="160" w:before="0" w:lineRule="auto" w:line="276"/>
        <w:ind w:firstLine="709"/>
        <w:jc w:val="both"/>
      </w:pPr>
      <w:r>
        <w:rPr>
          <w:rFonts w:ascii="Times New Roman" w:hAnsi="Times New Roman" w:eastAsia="Times New Roman"/>
          <w:b w:val="0"/>
          <w:i w:val="0"/>
          <w:sz w:val="24"/>
        </w:rPr>
        <w:t>Бонусный вопрос связывает тему этой главы с фокусировкой пучка — следующей логической темой курса.</w:t>
      </w:r>
    </w:p>
    <w:p>
      <w:pPr>
        <w:spacing w:after="160" w:before="0" w:lineRule="auto" w:line="276"/>
        <w:ind w:firstLine="709"/>
        <w:jc w:val="both"/>
      </w:pPr>
      <w:r>
        <w:rPr>
          <w:rFonts w:ascii="Times New Roman" w:hAnsi="Times New Roman" w:eastAsia="Times New Roman"/>
          <w:b w:val="0"/>
          <w:i w:val="0"/>
          <w:sz w:val="24"/>
        </w:rPr>
        <w:t>Для алюминия ближний ИК часто неэффективен из-за низкого A и сильного теплоотвода. Допустим, доступен зелёный лазер с λ = 532 нм. Пересчитайте энергию фотона правилом 1240/λ и сравните с 1,16 эВ на 1070 нм. В какую сторону, качественно, сдвинется поглощение у Al? Если пятно сфокусировать мельче, как вырастет плотность мощности и какой новый риск для режима ванны появится?</w:t>
      </w:r>
    </w:p>
    <w:p>
      <w:pPr>
        <w:spacing w:after="160" w:before="0" w:lineRule="auto" w:line="276"/>
        <w:ind w:firstLine="709"/>
        <w:jc w:val="both"/>
      </w:pPr>
      <w:r>
        <w:rPr>
          <w:rFonts w:ascii="Times New Roman" w:hAnsi="Times New Roman" w:eastAsia="Times New Roman"/>
          <w:b w:val="0"/>
          <w:i w:val="0"/>
          <w:sz w:val="24"/>
        </w:rPr>
        <w:t>Сформулируйте гипотезу четырьмя метками: λ, E, A, плотность мощности. Важна причинная цепочка. Эту цепочку полезно разобрать далее вместе с геометрией пучка.</w:t>
      </w:r>
    </w:p>
    <w:p>
      <w:pPr>
        <w:spacing w:after="160" w:before="0" w:lineRule="auto" w:line="276"/>
        <w:ind w:firstLine="709"/>
        <w:jc w:val="both"/>
      </w:pPr>
      <w:r>
        <w:rPr>
          <w:rFonts w:ascii="Times New Roman" w:hAnsi="Times New Roman" w:eastAsia="Times New Roman"/>
          <w:b w:val="0"/>
          <w:i w:val="0"/>
          <w:sz w:val="24"/>
        </w:rPr>
        <w:t>Подсказка: рост энергии фотона при переходе 1070 → 532 нм сам по себе не превращает процесс в фотохимию алюминия; для металла по-прежнему доминирует тепловой канал. Но изменение λ может существенно изменить A и допустимую плотность мощности.</w:t>
      </w:r>
    </w:p>
    <w:p>
      <w:pPr>
        <w:spacing w:after="160" w:before="0" w:lineRule="auto" w:line="276"/>
        <w:jc w:val="left"/>
      </w:pPr>
      <w:r>
        <w:rPr>
          <w:rFonts w:ascii="Times New Roman" w:hAnsi="Times New Roman" w:eastAsia="Times New Roman"/>
          <w:b/>
          <w:i w:val="0"/>
          <w:sz w:val="26"/>
        </w:rPr>
        <w:t>9.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