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5. Генерация зелёного излучения для аддитивных технологий</w:t>
      </w:r>
    </w:p>
    <w:p>
      <w:pPr>
        <w:spacing w:after="80" w:before="0" w:lineRule="auto" w:line="276"/>
        <w:jc w:val="left"/>
      </w:pPr>
      <w:r>
        <w:rPr>
          <w:rFonts w:ascii="Times New Roman" w:hAnsi="Times New Roman" w:eastAsia="Times New Roman"/>
          <w:b w:val="0"/>
          <w:i/>
          <w:sz w:val="22"/>
        </w:rPr>
        <w:t>Медь, проблема зелёного диапазона, SHG в PPLN и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ПОЧЕМУ МЕДЬ — ПРОБЛЕМА ДЛЯ ИК-ЛАЗЕРОВ</w:t>
      </w:r>
    </w:p>
    <w:p>
      <w:pPr>
        <w:spacing w:after="20" w:before="0" w:lineRule="auto" w:line="276"/>
        <w:jc w:val="left"/>
      </w:pPr>
      <w:r>
        <w:rPr>
          <w:rFonts w:ascii="Times New Roman" w:hAnsi="Times New Roman" w:eastAsia="Times New Roman"/>
          <w:b w:val="0"/>
          <w:i w:val="0"/>
          <w:sz w:val="22"/>
        </w:rPr>
        <w:t xml:space="preserve">    4. ПРЯМАЯ ГЕНЕРАЦИЯ ЗЕЛЁНОГО СВЕТА: ПОЧЕМУ НЕ РАБОТАЕТ</w:t>
      </w:r>
    </w:p>
    <w:p>
      <w:pPr>
        <w:spacing w:after="20" w:before="0" w:lineRule="auto" w:line="276"/>
        <w:jc w:val="left"/>
      </w:pPr>
      <w:r>
        <w:rPr>
          <w:rFonts w:ascii="Times New Roman" w:hAnsi="Times New Roman" w:eastAsia="Times New Roman"/>
          <w:b w:val="0"/>
          <w:i w:val="0"/>
          <w:sz w:val="22"/>
        </w:rPr>
        <w:t xml:space="preserve">    5. НЕЛИНЕЙНАЯ ОПТИКА: ГЕНЕРАЦИЯ ВТОРОЙ ГАРМОНИКИ</w:t>
      </w:r>
    </w:p>
    <w:p>
      <w:pPr>
        <w:spacing w:after="20" w:before="0" w:lineRule="auto" w:line="276"/>
        <w:jc w:val="left"/>
      </w:pPr>
      <w:r>
        <w:rPr>
          <w:rFonts w:ascii="Times New Roman" w:hAnsi="Times New Roman" w:eastAsia="Times New Roman"/>
          <w:b w:val="0"/>
          <w:i w:val="0"/>
          <w:sz w:val="22"/>
        </w:rPr>
        <w:t xml:space="preserve">    6. ПРЕДЛОЖЕНИЕ АВТОРА: ДВУХПРОХОДНАЯ СХЕМА С ТЕРМОКОМПЕНСАЦИЕЙ</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40" w:before="0" w:lineRule="auto" w:line="276"/>
        <w:jc w:val="left"/>
      </w:pPr>
      <w:r>
        <w:rPr>
          <w:rFonts w:ascii="Times New Roman" w:hAnsi="Times New Roman" w:eastAsia="Times New Roman"/>
          <w:b w:val="0"/>
          <w:i w:val="0"/>
          <w:sz w:val="24"/>
        </w:rPr>
        <w:t>Глава 6. Геометрическая оптика: как линзы собирают луч в пятно</w:t>
      </w:r>
    </w:p>
    <w:p>
      <w:pPr>
        <w:spacing w:after="80" w:before="0" w:lineRule="auto" w:line="276"/>
        <w:jc w:val="left"/>
      </w:pPr>
      <w:r>
        <w:rPr>
          <w:rFonts w:ascii="Times New Roman" w:hAnsi="Times New Roman" w:eastAsia="Times New Roman"/>
          <w:b w:val="0"/>
          <w:i/>
          <w:sz w:val="22"/>
        </w:rPr>
        <w:t>Плотность мощности I = P/S, числовая апертура, DOF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ЗАКОН СНЕЛЛИУСА — КАК РАБОТАЕТ ЛИНЗА</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Число</w:t>
            </w:r>
          </w:p>
        </w:tc>
        <w:tc>
          <w:tcPr>
            <w:tcW w:type="dxa" w:w="2422"/>
          </w:tcPr>
          <w:p>
            <w:r/>
            <w:r>
              <w:rPr>
                <w:rFonts w:ascii="Times New Roman" w:hAnsi="Times New Roman" w:eastAsia="Times New Roman"/>
                <w:b/>
                <w:i w:val="0"/>
                <w:sz w:val="18"/>
              </w:rPr>
              <w:t>Обозначение</w:t>
            </w:r>
          </w:p>
        </w:tc>
        <w:tc>
          <w:tcPr>
            <w:tcW w:type="dxa" w:w="2422"/>
          </w:tcPr>
          <w:p>
            <w:r/>
            <w:r>
              <w:rPr>
                <w:rFonts w:ascii="Times New Roman" w:hAnsi="Times New Roman" w:eastAsia="Times New Roman"/>
                <w:b/>
                <w:i w:val="0"/>
                <w:sz w:val="18"/>
              </w:rPr>
              <w:t>Смысл</w:t>
            </w:r>
          </w:p>
        </w:tc>
        <w:tc>
          <w:tcPr>
            <w:tcW w:type="dxa" w:w="2422"/>
          </w:tcPr>
          <w:p>
            <w:r/>
            <w:r>
              <w:rPr>
                <w:rFonts w:ascii="Times New Roman" w:hAnsi="Times New Roman" w:eastAsia="Times New Roman"/>
                <w:b/>
                <w:i w:val="0"/>
                <w:sz w:val="18"/>
              </w:rPr>
              <w:t>Возможные значения</w:t>
            </w:r>
          </w:p>
        </w:tc>
      </w:tr>
      <w:tr>
        <w:tc>
          <w:tcPr>
            <w:tcW w:type="dxa" w:w="2422"/>
          </w:tcPr>
          <w:p>
            <w:r/>
            <w:r>
              <w:rPr>
                <w:rFonts w:ascii="Times New Roman" w:hAnsi="Times New Roman" w:eastAsia="Times New Roman"/>
                <w:b w:val="0"/>
                <w:i w:val="0"/>
                <w:sz w:val="18"/>
              </w:rPr>
              <w:t>Главное</w:t>
            </w:r>
          </w:p>
        </w:tc>
        <w:tc>
          <w:tcPr>
            <w:tcW w:type="dxa" w:w="2422"/>
          </w:tcPr>
          <w:p>
            <w:r/>
            <w:r>
              <w:rPr>
                <w:rFonts w:ascii="Times New Roman" w:hAnsi="Times New Roman" w:eastAsia="Times New Roman"/>
                <w:b w:val="0"/>
                <w:i w:val="0"/>
                <w:sz w:val="18"/>
              </w:rPr>
              <w:t>n</w:t>
            </w:r>
          </w:p>
        </w:tc>
        <w:tc>
          <w:tcPr>
            <w:tcW w:type="dxa" w:w="2422"/>
          </w:tcPr>
          <w:p>
            <w:r/>
            <w:r>
              <w:rPr>
                <w:rFonts w:ascii="Times New Roman" w:hAnsi="Times New Roman" w:eastAsia="Times New Roman"/>
                <w:b w:val="0"/>
                <w:i w:val="0"/>
                <w:sz w:val="18"/>
              </w:rPr>
              <w:t>Уровень / размер</w:t>
            </w:r>
          </w:p>
        </w:tc>
        <w:tc>
          <w:tcPr>
            <w:tcW w:type="dxa" w:w="2422"/>
          </w:tcPr>
          <w:p>
            <w:r/>
            <w:r>
              <w:rPr>
                <w:rFonts w:ascii="Times New Roman" w:hAnsi="Times New Roman" w:eastAsia="Times New Roman"/>
                <w:b w:val="0"/>
                <w:i w:val="0"/>
                <w:sz w:val="18"/>
              </w:rPr>
              <w:t>1, 2, 3, …</w:t>
            </w:r>
          </w:p>
        </w:tc>
      </w:tr>
      <w:tr>
        <w:tc>
          <w:tcPr>
            <w:tcW w:type="dxa" w:w="2422"/>
          </w:tcPr>
          <w:p>
            <w:r/>
            <w:r>
              <w:rPr>
                <w:rFonts w:ascii="Times New Roman" w:hAnsi="Times New Roman" w:eastAsia="Times New Roman"/>
                <w:b w:val="0"/>
                <w:i w:val="0"/>
                <w:sz w:val="18"/>
              </w:rPr>
              <w:t>Орбитальное</w:t>
            </w:r>
          </w:p>
        </w:tc>
        <w:tc>
          <w:tcPr>
            <w:tcW w:type="dxa" w:w="2422"/>
          </w:tcPr>
          <w:p>
            <w:r/>
            <w:r>
              <w:rPr>
                <w:rFonts w:ascii="Times New Roman" w:hAnsi="Times New Roman" w:eastAsia="Times New Roman"/>
                <w:b w:val="0"/>
                <w:i w:val="0"/>
                <w:sz w:val="18"/>
              </w:rPr>
              <w:t>l</w:t>
            </w:r>
          </w:p>
        </w:tc>
        <w:tc>
          <w:tcPr>
            <w:tcW w:type="dxa" w:w="2422"/>
          </w:tcPr>
          <w:p>
            <w:r/>
            <w:r>
              <w:rPr>
                <w:rFonts w:ascii="Times New Roman" w:hAnsi="Times New Roman" w:eastAsia="Times New Roman"/>
                <w:b w:val="0"/>
                <w:i w:val="0"/>
                <w:sz w:val="18"/>
              </w:rPr>
              <w:t>Форма орбитали</w:t>
            </w:r>
          </w:p>
        </w:tc>
        <w:tc>
          <w:tcPr>
            <w:tcW w:type="dxa" w:w="2422"/>
          </w:tcPr>
          <w:p>
            <w:r/>
            <w:r>
              <w:rPr>
                <w:rFonts w:ascii="Times New Roman" w:hAnsi="Times New Roman" w:eastAsia="Times New Roman"/>
                <w:b w:val="0"/>
                <w:i w:val="0"/>
                <w:sz w:val="18"/>
              </w:rPr>
              <w:t>0…n−1 (s, p, d, f, …)</w:t>
            </w:r>
          </w:p>
        </w:tc>
      </w:tr>
      <w:tr>
        <w:tc>
          <w:tcPr>
            <w:tcW w:type="dxa" w:w="2422"/>
          </w:tcPr>
          <w:p>
            <w:r/>
            <w:r>
              <w:rPr>
                <w:rFonts w:ascii="Times New Roman" w:hAnsi="Times New Roman" w:eastAsia="Times New Roman"/>
                <w:b w:val="0"/>
                <w:i w:val="0"/>
                <w:sz w:val="18"/>
              </w:rPr>
              <w:t>Магнитное</w:t>
            </w:r>
          </w:p>
        </w:tc>
        <w:tc>
          <w:tcPr>
            <w:tcW w:type="dxa" w:w="2422"/>
          </w:tcPr>
          <w:p>
            <w:r/>
            <w:r>
              <w:rPr>
                <w:rFonts w:ascii="Times New Roman" w:hAnsi="Times New Roman" w:eastAsia="Times New Roman"/>
                <w:b w:val="0"/>
                <w:i w:val="0"/>
                <w:sz w:val="18"/>
              </w:rPr>
              <w:t>mₗ</w:t>
            </w:r>
          </w:p>
        </w:tc>
        <w:tc>
          <w:tcPr>
            <w:tcW w:type="dxa" w:w="2422"/>
          </w:tcPr>
          <w:p>
            <w:r/>
            <w:r>
              <w:rPr>
                <w:rFonts w:ascii="Times New Roman" w:hAnsi="Times New Roman" w:eastAsia="Times New Roman"/>
                <w:b w:val="0"/>
                <w:i w:val="0"/>
                <w:sz w:val="18"/>
              </w:rPr>
              <w:t>Ориентация</w:t>
            </w:r>
          </w:p>
        </w:tc>
        <w:tc>
          <w:tcPr>
            <w:tcW w:type="dxa" w:w="2422"/>
          </w:tcPr>
          <w:p>
            <w:r/>
            <w:r>
              <w:rPr>
                <w:rFonts w:ascii="Times New Roman" w:hAnsi="Times New Roman" w:eastAsia="Times New Roman"/>
                <w:b w:val="0"/>
                <w:i w:val="0"/>
                <w:sz w:val="18"/>
              </w:rPr>
              <w:t>−l … +l</w:t>
            </w:r>
          </w:p>
        </w:tc>
      </w:tr>
      <w:tr>
        <w:tc>
          <w:tcPr>
            <w:tcW w:type="dxa" w:w="2422"/>
          </w:tcPr>
          <w:p>
            <w:r/>
            <w:r>
              <w:rPr>
                <w:rFonts w:ascii="Times New Roman" w:hAnsi="Times New Roman" w:eastAsia="Times New Roman"/>
                <w:b w:val="0"/>
                <w:i w:val="0"/>
                <w:sz w:val="18"/>
              </w:rPr>
              <w:t>Спиновое</w:t>
            </w:r>
          </w:p>
        </w:tc>
        <w:tc>
          <w:tcPr>
            <w:tcW w:type="dxa" w:w="2422"/>
          </w:tcPr>
          <w:p>
            <w:r/>
            <w:r>
              <w:rPr>
                <w:rFonts w:ascii="Times New Roman" w:hAnsi="Times New Roman" w:eastAsia="Times New Roman"/>
                <w:b w:val="0"/>
                <w:i w:val="0"/>
                <w:sz w:val="18"/>
              </w:rPr>
              <w:t>mₛ</w:t>
            </w:r>
          </w:p>
        </w:tc>
        <w:tc>
          <w:tcPr>
            <w:tcW w:type="dxa" w:w="2422"/>
          </w:tcPr>
          <w:p>
            <w:r/>
            <w:r>
              <w:rPr>
                <w:rFonts w:ascii="Times New Roman" w:hAnsi="Times New Roman" w:eastAsia="Times New Roman"/>
                <w:b w:val="0"/>
                <w:i w:val="0"/>
                <w:sz w:val="18"/>
              </w:rPr>
              <w:t>Спин электрона</w:t>
            </w:r>
          </w:p>
        </w:tc>
        <w:tc>
          <w:tcPr>
            <w:tcW w:type="dxa" w:w="2422"/>
          </w:tcPr>
          <w:p>
            <w:r/>
            <w:r>
              <w:rPr>
                <w:rFonts w:ascii="Times New Roman" w:hAnsi="Times New Roman" w:eastAsia="Times New Roman"/>
                <w:b w:val="0"/>
                <w:i w:val="0"/>
                <w:sz w:val="18"/>
              </w:rPr>
              <w:t>+1/2, −1/2</w:t>
            </w:r>
          </w:p>
        </w:tc>
      </w:tr>
    </w:tbl>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и это главное — почему же в одних случаях переход по энергетической схеме совпадает со сменой орбитали, а в других — нет? Потому что энергетический уровень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Eph = (6,63×10⁻³⁴ × 3×10⁸) / 1,07×10⁻⁶ ≈ 1,86×10⁻¹⁹ Дж ≈ 1,16 эВ. Лазер мощностью 200 Вт испускает N = P/Eph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3170323"/>
            <wp:docPr id="12" name="Picture 12"/>
            <wp:cNvGraphicFramePr>
              <a:graphicFrameLocks noChangeAspect="1"/>
            </wp:cNvGraphicFramePr>
            <a:graphic>
              <a:graphicData uri="http://schemas.openxmlformats.org/drawingml/2006/picture">
                <pic:pic>
                  <pic:nvPicPr>
                    <pic:cNvPr id="0" name="ch3_pump.png"/>
                    <pic:cNvPicPr/>
                  </pic:nvPicPr>
                  <pic:blipFill>
                    <a:blip r:embed="rId20"/>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before="160" w:after="80"/>
        <w:jc w:val="center"/>
      </w:pPr>
      <w:r>
        <w:drawing>
          <wp:inline xmlns:a="http://schemas.openxmlformats.org/drawingml/2006/main" xmlns:pic="http://schemas.openxmlformats.org/drawingml/2006/picture">
            <wp:extent cx="5040000" cy="2713846"/>
            <wp:docPr id="13" name="Picture 13"/>
            <wp:cNvGraphicFramePr>
              <a:graphicFrameLocks noChangeAspect="1"/>
            </wp:cNvGraphicFramePr>
            <a:graphic>
              <a:graphicData uri="http://schemas.openxmlformats.org/drawingml/2006/picture">
                <pic:pic>
                  <pic:nvPicPr>
                    <pic:cNvPr id="0" name="ch3_resonator.png"/>
                    <pic:cNvPicPr/>
                  </pic:nvPicPr>
                  <pic:blipFill>
                    <a:blip r:embed="rId21"/>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Волоконный</w:t>
            </w:r>
          </w:p>
        </w:tc>
        <w:tc>
          <w:tcPr>
            <w:tcW w:type="dxa" w:w="2422"/>
          </w:tcPr>
          <w:p>
            <w:r/>
            <w:r>
              <w:rPr>
                <w:rFonts w:ascii="Times New Roman" w:hAnsi="Times New Roman" w:eastAsia="Times New Roman"/>
                <w:b/>
                <w:i w:val="0"/>
                <w:sz w:val="18"/>
              </w:rPr>
              <w:t>Диодный</w:t>
            </w:r>
          </w:p>
        </w:tc>
        <w:tc>
          <w:tcPr>
            <w:tcW w:type="dxa" w:w="2422"/>
          </w:tcPr>
          <w:p>
            <w:r/>
            <w:r>
              <w:rPr>
                <w:rFonts w:ascii="Times New Roman" w:hAnsi="Times New Roman" w:eastAsia="Times New Roman"/>
                <w:b/>
                <w:i w:val="0"/>
                <w:sz w:val="18"/>
              </w:rPr>
              <w:t>CO₂</w:t>
            </w:r>
          </w:p>
        </w:tc>
      </w:tr>
      <w:tr>
        <w:tc>
          <w:tcPr>
            <w:tcW w:type="dxa" w:w="2422"/>
          </w:tcPr>
          <w:p>
            <w:r/>
            <w:r>
              <w:rPr>
                <w:rFonts w:ascii="Times New Roman" w:hAnsi="Times New Roman" w:eastAsia="Times New Roman"/>
                <w:b w:val="0"/>
                <w:i w:val="0"/>
                <w:sz w:val="18"/>
              </w:rPr>
              <w:t>Длина волны λ</w:t>
            </w:r>
          </w:p>
        </w:tc>
        <w:tc>
          <w:tcPr>
            <w:tcW w:type="dxa" w:w="2422"/>
          </w:tcPr>
          <w:p>
            <w:r/>
            <w:r>
              <w:rPr>
                <w:rFonts w:ascii="Times New Roman" w:hAnsi="Times New Roman" w:eastAsia="Times New Roman"/>
                <w:b w:val="0"/>
                <w:i w:val="0"/>
                <w:sz w:val="18"/>
              </w:rPr>
              <w:t>≈ 1070 нм</w:t>
            </w:r>
          </w:p>
        </w:tc>
        <w:tc>
          <w:tcPr>
            <w:tcW w:type="dxa" w:w="2422"/>
          </w:tcPr>
          <w:p>
            <w:r/>
            <w:r>
              <w:rPr>
                <w:rFonts w:ascii="Times New Roman" w:hAnsi="Times New Roman" w:eastAsia="Times New Roman"/>
                <w:b w:val="0"/>
                <w:i w:val="0"/>
                <w:sz w:val="18"/>
              </w:rPr>
              <w:t>808–980 нм</w:t>
            </w:r>
          </w:p>
        </w:tc>
        <w:tc>
          <w:tcPr>
            <w:tcW w:type="dxa" w:w="2422"/>
          </w:tcPr>
          <w:p>
            <w:r/>
            <w:r>
              <w:rPr>
                <w:rFonts w:ascii="Times New Roman" w:hAnsi="Times New Roman" w:eastAsia="Times New Roman"/>
                <w:b w:val="0"/>
                <w:i w:val="0"/>
                <w:sz w:val="18"/>
              </w:rPr>
              <w:t>10,6 мкм</w:t>
            </w:r>
          </w:p>
        </w:tc>
      </w:tr>
      <w:tr>
        <w:tc>
          <w:tcPr>
            <w:tcW w:type="dxa" w:w="2422"/>
          </w:tcPr>
          <w:p>
            <w:r/>
            <w:r>
              <w:rPr>
                <w:rFonts w:ascii="Times New Roman" w:hAnsi="Times New Roman" w:eastAsia="Times New Roman"/>
                <w:b w:val="0"/>
                <w:i w:val="0"/>
                <w:sz w:val="18"/>
              </w:rPr>
              <w:t>КПД η</w:t>
            </w:r>
          </w:p>
        </w:tc>
        <w:tc>
          <w:tcPr>
            <w:tcW w:type="dxa" w:w="2422"/>
          </w:tcPr>
          <w:p>
            <w:r/>
            <w:r>
              <w:rPr>
                <w:rFonts w:ascii="Times New Roman" w:hAnsi="Times New Roman" w:eastAsia="Times New Roman"/>
                <w:b w:val="0"/>
                <w:i w:val="0"/>
                <w:sz w:val="18"/>
              </w:rPr>
              <w:t>30–40 %</w:t>
            </w:r>
          </w:p>
        </w:tc>
        <w:tc>
          <w:tcPr>
            <w:tcW w:type="dxa" w:w="2422"/>
          </w:tcPr>
          <w:p>
            <w:r/>
            <w:r>
              <w:rPr>
                <w:rFonts w:ascii="Times New Roman" w:hAnsi="Times New Roman" w:eastAsia="Times New Roman"/>
                <w:b w:val="0"/>
                <w:i w:val="0"/>
                <w:sz w:val="18"/>
              </w:rPr>
              <w:t>50–70 %</w:t>
            </w:r>
          </w:p>
        </w:tc>
        <w:tc>
          <w:tcPr>
            <w:tcW w:type="dxa" w:w="2422"/>
          </w:tcPr>
          <w:p>
            <w:r/>
            <w:r>
              <w:rPr>
                <w:rFonts w:ascii="Times New Roman" w:hAnsi="Times New Roman" w:eastAsia="Times New Roman"/>
                <w:b w:val="0"/>
                <w:i w:val="0"/>
                <w:sz w:val="18"/>
              </w:rPr>
              <w:t>10–20 %</w:t>
            </w:r>
          </w:p>
        </w:tc>
      </w:tr>
      <w:tr>
        <w:tc>
          <w:tcPr>
            <w:tcW w:type="dxa" w:w="2422"/>
          </w:tcPr>
          <w:p>
            <w:r/>
            <w:r>
              <w:rPr>
                <w:rFonts w:ascii="Times New Roman" w:hAnsi="Times New Roman" w:eastAsia="Times New Roman"/>
                <w:b w:val="0"/>
                <w:i w:val="0"/>
                <w:sz w:val="18"/>
              </w:rPr>
              <w:t>Качество пучка M²</w:t>
            </w:r>
          </w:p>
        </w:tc>
        <w:tc>
          <w:tcPr>
            <w:tcW w:type="dxa" w:w="2422"/>
          </w:tcPr>
          <w:p>
            <w:r/>
            <w:r>
              <w:rPr>
                <w:rFonts w:ascii="Times New Roman" w:hAnsi="Times New Roman" w:eastAsia="Times New Roman"/>
                <w:b w:val="0"/>
                <w:i w:val="0"/>
                <w:sz w:val="18"/>
              </w:rPr>
              <w:t>&lt; 1,5</w:t>
            </w:r>
          </w:p>
        </w:tc>
        <w:tc>
          <w:tcPr>
            <w:tcW w:type="dxa" w:w="2422"/>
          </w:tcPr>
          <w:p>
            <w:r/>
            <w:r>
              <w:rPr>
                <w:rFonts w:ascii="Times New Roman" w:hAnsi="Times New Roman" w:eastAsia="Times New Roman"/>
                <w:b w:val="0"/>
                <w:i w:val="0"/>
                <w:sz w:val="18"/>
              </w:rPr>
              <w:t>&gt; 10 (часто 20–30)</w:t>
            </w:r>
          </w:p>
        </w:tc>
        <w:tc>
          <w:tcPr>
            <w:tcW w:type="dxa" w:w="2422"/>
          </w:tcPr>
          <w:p>
            <w:r/>
            <w:r>
              <w:rPr>
                <w:rFonts w:ascii="Times New Roman" w:hAnsi="Times New Roman" w:eastAsia="Times New Roman"/>
                <w:b w:val="0"/>
                <w:i w:val="0"/>
                <w:sz w:val="18"/>
              </w:rPr>
              <w:t>1–1,5</w:t>
            </w:r>
          </w:p>
        </w:tc>
      </w:tr>
      <w:tr>
        <w:tc>
          <w:tcPr>
            <w:tcW w:type="dxa" w:w="2422"/>
          </w:tcPr>
          <w:p>
            <w:r/>
            <w:r>
              <w:rPr>
                <w:rFonts w:ascii="Times New Roman" w:hAnsi="Times New Roman" w:eastAsia="Times New Roman"/>
                <w:b w:val="0"/>
                <w:i w:val="0"/>
                <w:sz w:val="18"/>
              </w:rPr>
              <w:t>Поглощение Al</w:t>
            </w:r>
          </w:p>
        </w:tc>
        <w:tc>
          <w:tcPr>
            <w:tcW w:type="dxa" w:w="2422"/>
          </w:tcPr>
          <w:p>
            <w:r/>
            <w:r>
              <w:rPr>
                <w:rFonts w:ascii="Times New Roman" w:hAnsi="Times New Roman" w:eastAsia="Times New Roman"/>
                <w:b w:val="0"/>
                <w:i w:val="0"/>
                <w:sz w:val="18"/>
              </w:rPr>
              <w:t>≈ 40 % @ 1070 нм</w:t>
            </w:r>
          </w:p>
        </w:tc>
        <w:tc>
          <w:tcPr>
            <w:tcW w:type="dxa" w:w="2422"/>
          </w:tcPr>
          <w:p>
            <w:r/>
            <w:r>
              <w:rPr>
                <w:rFonts w:ascii="Times New Roman" w:hAnsi="Times New Roman" w:eastAsia="Times New Roman"/>
                <w:b w:val="0"/>
                <w:i w:val="0"/>
                <w:sz w:val="18"/>
              </w:rPr>
              <w:t>— (накачка)</w:t>
            </w:r>
          </w:p>
        </w:tc>
        <w:tc>
          <w:tcPr>
            <w:tcW w:type="dxa" w:w="2422"/>
          </w:tcPr>
          <w:p>
            <w:r/>
            <w:r>
              <w:rPr>
                <w:rFonts w:ascii="Times New Roman" w:hAnsi="Times New Roman" w:eastAsia="Times New Roman"/>
                <w:b w:val="0"/>
                <w:i w:val="0"/>
                <w:sz w:val="18"/>
              </w:rPr>
              <w:t>&lt; 5 % (R &gt; 95 %)</w:t>
            </w:r>
          </w:p>
        </w:tc>
      </w:tr>
      <w:tr>
        <w:tc>
          <w:tcPr>
            <w:tcW w:type="dxa" w:w="2422"/>
          </w:tcPr>
          <w:p>
            <w:r/>
            <w:r>
              <w:rPr>
                <w:rFonts w:ascii="Times New Roman" w:hAnsi="Times New Roman" w:eastAsia="Times New Roman"/>
                <w:b w:val="0"/>
                <w:i w:val="0"/>
                <w:sz w:val="18"/>
              </w:rPr>
              <w:t>Роль в СЛП</w:t>
            </w:r>
          </w:p>
        </w:tc>
        <w:tc>
          <w:tcPr>
            <w:tcW w:type="dxa" w:w="2422"/>
          </w:tcPr>
          <w:p>
            <w:r/>
            <w:r>
              <w:rPr>
                <w:rFonts w:ascii="Times New Roman" w:hAnsi="Times New Roman" w:eastAsia="Times New Roman"/>
                <w:b w:val="0"/>
                <w:i w:val="0"/>
                <w:sz w:val="18"/>
              </w:rPr>
              <w:t>Основной источник</w:t>
            </w:r>
          </w:p>
        </w:tc>
        <w:tc>
          <w:tcPr>
            <w:tcW w:type="dxa" w:w="2422"/>
          </w:tcPr>
          <w:p>
            <w:r/>
            <w:r>
              <w:rPr>
                <w:rFonts w:ascii="Times New Roman" w:hAnsi="Times New Roman" w:eastAsia="Times New Roman"/>
                <w:b w:val="0"/>
                <w:i w:val="0"/>
                <w:sz w:val="18"/>
              </w:rPr>
              <w:t>Накачка волоконных</w:t>
            </w:r>
          </w:p>
        </w:tc>
        <w:tc>
          <w:tcPr>
            <w:tcW w:type="dxa" w:w="2422"/>
          </w:tcPr>
          <w:p>
            <w:r/>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Eакт (энергия активации): без достаточной энергии реакция сама не идёт. Синяя вертикаль Eph — энергия одного УФ-фотона. Если Eph ≥ Eакт,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w:t>
      </w:r>
      <w:r>
        <w:rPr>
          <w:rFonts w:ascii="Times New Roman" w:hAnsi="Times New Roman" w:eastAsia="Times New Roman"/>
          <w:b w:val="0"/>
          <w:i/>
          <w:sz w:val="20"/>
          <w:vertAlign w:val="subscript"/>
        </w:rPr>
        <w:t>ph</w:t>
      </w:r>
      <w:r>
        <w:rPr>
          <w:rFonts w:ascii="Times New Roman" w:hAnsi="Times New Roman" w:eastAsia="Times New Roman"/>
          <w:b w:val="0"/>
          <w:i/>
          <w:sz w:val="20"/>
        </w:rPr>
        <w:t xml:space="preserve"> ≥ E</w:t>
      </w:r>
      <w:r>
        <w:rPr>
          <w:rFonts w:ascii="Times New Roman" w:hAnsi="Times New Roman" w:eastAsia="Times New Roman"/>
          <w:b w:val="0"/>
          <w:i/>
          <w:sz w:val="20"/>
          <w:vertAlign w:val="subscript"/>
        </w:rPr>
        <w:t>акт</w:t>
      </w:r>
      <w:r>
        <w:rPr>
          <w:rFonts w:ascii="Times New Roman" w:hAnsi="Times New Roman" w:eastAsia="Times New Roman"/>
          <w:b w:val="0"/>
          <w:i/>
          <w:sz w:val="20"/>
        </w:rPr>
        <w:t>); справа — температура T во времени до T</w:t>
      </w:r>
      <w:r>
        <w:rPr>
          <w:rFonts w:ascii="Times New Roman" w:hAnsi="Times New Roman" w:eastAsia="Times New Roman"/>
          <w:b w:val="0"/>
          <w:i/>
          <w:sz w:val="20"/>
          <w:vertAlign w:val="subscript"/>
        </w:rPr>
        <w:t>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Pпоглощённая / Pпадающая.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Генерация зелёного излучения для аддитивных технологий</w:t>
      </w:r>
    </w:p>
    <w:p>
      <w:pPr>
        <w:spacing w:after="280" w:before="0" w:lineRule="auto" w:line="276"/>
        <w:jc w:val="left"/>
      </w:pPr>
      <w:r>
        <w:rPr>
          <w:rFonts w:ascii="Times New Roman" w:hAnsi="Times New Roman" w:eastAsia="Times New Roman"/>
          <w:b w:val="0"/>
          <w:i/>
          <w:sz w:val="24"/>
        </w:rPr>
        <w:t>Медь, проблема зелёного диапазона, SHG в PPLN и двухпроходная схема с термокомпенсацией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природа света, устройство лазера и спектральное поглощение — то, что определяет, плавится металл или нет.</w:t>
      </w:r>
    </w:p>
    <w:p>
      <w:pPr>
        <w:spacing w:after="160" w:before="0" w:lineRule="auto" w:line="276"/>
        <w:ind w:firstLine="709"/>
        <w:jc w:val="both"/>
      </w:pPr>
      <w:r>
        <w:rPr>
          <w:rFonts w:ascii="Times New Roman" w:hAnsi="Times New Roman" w:eastAsia="Times New Roman"/>
          <w:b w:val="0"/>
          <w:i w:val="0"/>
          <w:sz w:val="24"/>
        </w:rPr>
        <w:t>В этой главе разбирается проблема, которая стоит перед всей отраслью аддитивных технологий: почему медь — один из самых востребованных металлов в электронике и энергетике — так плохо поддаётся лазерной обработке.</w:t>
      </w:r>
    </w:p>
    <w:p>
      <w:pPr>
        <w:spacing w:after="160" w:before="0" w:lineRule="auto" w:line="276"/>
        <w:ind w:firstLine="709"/>
        <w:jc w:val="both"/>
      </w:pPr>
      <w:r>
        <w:rPr>
          <w:rFonts w:ascii="Times New Roman" w:hAnsi="Times New Roman" w:eastAsia="Times New Roman"/>
          <w:b w:val="0"/>
          <w:i w:val="0"/>
          <w:sz w:val="24"/>
        </w:rPr>
        <w:t>Главный вопрос главы: как эту проблему решить. Речь пойдёт о генерации зелёного излучения с длиной волны 535 нанометров — и о предложении, которое делает эту технологию экономически доступной.</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Почему медь — проблема для инфракрасных лазеров. Разберём спектральную поглощательную способность и покажем цифры.</w:t>
      </w:r>
    </w:p>
    <w:p>
      <w:pPr>
        <w:spacing w:after="160" w:before="0" w:lineRule="auto" w:line="276"/>
        <w:ind w:firstLine="709"/>
        <w:jc w:val="both"/>
      </w:pPr>
      <w:r>
        <w:rPr>
          <w:rFonts w:ascii="Times New Roman" w:hAnsi="Times New Roman" w:eastAsia="Times New Roman"/>
          <w:b w:val="0"/>
          <w:i w:val="0"/>
          <w:sz w:val="24"/>
        </w:rPr>
        <w:t>Второе. Почему зелёный свет решает проблему. Сравним поглощение на длинах волн 1070 и 535 нанометров.</w:t>
      </w:r>
    </w:p>
    <w:p>
      <w:pPr>
        <w:spacing w:after="160" w:before="0" w:lineRule="auto" w:line="276"/>
        <w:ind w:firstLine="709"/>
        <w:jc w:val="both"/>
      </w:pPr>
      <w:r>
        <w:rPr>
          <w:rFonts w:ascii="Times New Roman" w:hAnsi="Times New Roman" w:eastAsia="Times New Roman"/>
          <w:b w:val="0"/>
          <w:i w:val="0"/>
          <w:sz w:val="24"/>
        </w:rPr>
        <w:t>Третье. Прямая генерация зелёного света: почему полупроводниковые лазеры на нитриде галлия не могут дать нужную мощность. Это фундаментальное ограничение, называемое «проблемой зелёного диапазона».</w:t>
      </w:r>
    </w:p>
    <w:p>
      <w:pPr>
        <w:spacing w:after="160" w:before="0" w:lineRule="auto" w:line="276"/>
        <w:ind w:firstLine="709"/>
        <w:jc w:val="both"/>
      </w:pPr>
      <w:r>
        <w:rPr>
          <w:rFonts w:ascii="Times New Roman" w:hAnsi="Times New Roman" w:eastAsia="Times New Roman"/>
          <w:b w:val="0"/>
          <w:i w:val="0"/>
          <w:sz w:val="24"/>
        </w:rPr>
        <w:t>Четвёртое. Нелинейная оптика: как получить зелёный свет из инфракрасного. Генерация второй гармоники — базовая формула.</w:t>
      </w:r>
    </w:p>
    <w:p>
      <w:pPr>
        <w:spacing w:after="160" w:before="0" w:lineRule="auto" w:line="276"/>
        <w:ind w:firstLine="709"/>
        <w:jc w:val="both"/>
      </w:pPr>
      <w:r>
        <w:rPr>
          <w:rFonts w:ascii="Times New Roman" w:hAnsi="Times New Roman" w:eastAsia="Times New Roman"/>
          <w:b w:val="0"/>
          <w:i w:val="0"/>
          <w:sz w:val="24"/>
        </w:rPr>
        <w:t>Пятое. Предложение автора: двухпроходная схема с активной термокомпенсацией. Почему это позволяет снизить стоимость на порядок.</w:t>
      </w:r>
    </w:p>
    <w:p>
      <w:pPr>
        <w:spacing w:after="160" w:before="0" w:lineRule="auto" w:line="276"/>
        <w:jc w:val="left"/>
      </w:pPr>
      <w:r>
        <w:rPr>
          <w:rFonts w:ascii="Times New Roman" w:hAnsi="Times New Roman" w:eastAsia="Times New Roman"/>
          <w:b/>
          <w:i w:val="0"/>
          <w:sz w:val="26"/>
        </w:rPr>
        <w:t>3. ПОЧЕМУ МЕДЬ — ПРОБЛЕМА ДЛЯ ИК-ЛАЗЕРОВ</w:t>
      </w:r>
    </w:p>
    <w:p>
      <w:pPr>
        <w:spacing w:after="160" w:before="0" w:lineRule="auto" w:line="276"/>
        <w:ind w:firstLine="709"/>
        <w:jc w:val="both"/>
      </w:pPr>
      <w:r>
        <w:rPr>
          <w:rFonts w:ascii="Times New Roman" w:hAnsi="Times New Roman" w:eastAsia="Times New Roman"/>
          <w:b w:val="0"/>
          <w:i w:val="0"/>
          <w:sz w:val="24"/>
        </w:rPr>
        <w:t>Начнём с физики. Почему медь так плохо обрабатывается волоконными лазерами?</w:t>
      </w:r>
    </w:p>
    <w:p>
      <w:pPr>
        <w:spacing w:after="160" w:before="0" w:lineRule="auto" w:line="276"/>
        <w:ind w:firstLine="709"/>
        <w:jc w:val="both"/>
      </w:pPr>
      <w:r>
        <w:rPr>
          <w:rFonts w:ascii="Times New Roman" w:hAnsi="Times New Roman" w:eastAsia="Times New Roman"/>
          <w:b w:val="0"/>
          <w:i w:val="0"/>
          <w:sz w:val="24"/>
        </w:rPr>
        <w:t>Напомним ключевое понятие — спектральная поглощательная способность. Это доля энергии лазерного луча, которая поглощается материалом, а не отражается. Обозначим её буквой A (от английского absorbance).</w:t>
      </w:r>
    </w:p>
    <w:p>
      <w:pPr>
        <w:spacing w:before="160" w:after="80"/>
        <w:jc w:val="center"/>
      </w:pPr>
      <w:r>
        <w:drawing>
          <wp:inline xmlns:a="http://schemas.openxmlformats.org/drawingml/2006/main" xmlns:pic="http://schemas.openxmlformats.org/drawingml/2006/picture">
            <wp:extent cx="5040000" cy="3207273"/>
            <wp:docPr id="19" name="Picture 19"/>
            <wp:cNvGraphicFramePr>
              <a:graphicFrameLocks noChangeAspect="1"/>
            </wp:cNvGraphicFramePr>
            <a:graphic>
              <a:graphicData uri="http://schemas.openxmlformats.org/drawingml/2006/picture">
                <pic:pic>
                  <pic:nvPicPr>
                    <pic:cNvPr id="0" name="ch5_copper.png"/>
                    <pic:cNvPicPr/>
                  </pic:nvPicPr>
                  <pic:blipFill>
                    <a:blip r:embed="rId27"/>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5.1. Спектральная поглощательная способность меди A(λ): 1070 нм и 535 нм</w:t>
      </w:r>
    </w:p>
    <w:p>
      <w:pPr>
        <w:spacing w:before="160" w:after="80"/>
        <w:jc w:val="center"/>
      </w:pPr>
      <w:r>
        <w:rPr>
          <w:rFonts w:ascii="Times New Roman" w:hAnsi="Times New Roman" w:eastAsia="Times New Roman"/>
          <w:b w:val="0"/>
          <w:i/>
          <w:sz w:val="20"/>
        </w:rPr>
        <w:t>Таблица 5.1. Поглощение меди на 1070 нм и 535 нм</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Длина волны</w:t>
            </w:r>
          </w:p>
        </w:tc>
        <w:tc>
          <w:tcPr>
            <w:tcW w:type="dxa" w:w="3230"/>
          </w:tcPr>
          <w:p>
            <w:r/>
            <w:r>
              <w:rPr>
                <w:rFonts w:ascii="Times New Roman" w:hAnsi="Times New Roman" w:eastAsia="Times New Roman"/>
                <w:b/>
                <w:i w:val="0"/>
                <w:sz w:val="18"/>
              </w:rPr>
              <w:t>A(λ) меди</w:t>
            </w:r>
          </w:p>
        </w:tc>
        <w:tc>
          <w:tcPr>
            <w:tcW w:type="dxa" w:w="3230"/>
          </w:tcPr>
          <w:p>
            <w:r/>
            <w:r>
              <w:rPr>
                <w:rFonts w:ascii="Times New Roman" w:hAnsi="Times New Roman" w:eastAsia="Times New Roman"/>
                <w:b/>
                <w:i w:val="0"/>
                <w:sz w:val="18"/>
              </w:rPr>
              <w:t>Следствие</w:t>
            </w:r>
          </w:p>
        </w:tc>
      </w:tr>
      <w:tr>
        <w:tc>
          <w:tcPr>
            <w:tcW w:type="dxa" w:w="3230"/>
          </w:tcPr>
          <w:p>
            <w:r/>
            <w:r>
              <w:rPr>
                <w:rFonts w:ascii="Times New Roman" w:hAnsi="Times New Roman" w:eastAsia="Times New Roman"/>
                <w:b w:val="0"/>
                <w:i w:val="0"/>
                <w:sz w:val="18"/>
              </w:rPr>
              <w:t>1070 нм (ИК, волокно)</w:t>
            </w:r>
          </w:p>
        </w:tc>
        <w:tc>
          <w:tcPr>
            <w:tcW w:type="dxa" w:w="3230"/>
          </w:tcPr>
          <w:p>
            <w:r/>
            <w:r>
              <w:rPr>
                <w:rFonts w:ascii="Times New Roman" w:hAnsi="Times New Roman" w:eastAsia="Times New Roman"/>
                <w:b w:val="0"/>
                <w:i w:val="0"/>
                <w:sz w:val="18"/>
              </w:rPr>
              <w:t>≈ 5%</w:t>
            </w:r>
          </w:p>
        </w:tc>
        <w:tc>
          <w:tcPr>
            <w:tcW w:type="dxa" w:w="3230"/>
          </w:tcPr>
          <w:p>
            <w:r/>
            <w:r>
              <w:rPr>
                <w:rFonts w:ascii="Times New Roman" w:hAnsi="Times New Roman" w:eastAsia="Times New Roman"/>
                <w:b w:val="0"/>
                <w:i w:val="0"/>
                <w:sz w:val="18"/>
              </w:rPr>
              <w:t>95% отражается; поры, брызги, несплавления</w:t>
            </w:r>
          </w:p>
        </w:tc>
      </w:tr>
      <w:tr>
        <w:tc>
          <w:tcPr>
            <w:tcW w:type="dxa" w:w="3230"/>
          </w:tcPr>
          <w:p>
            <w:r/>
            <w:r>
              <w:rPr>
                <w:rFonts w:ascii="Times New Roman" w:hAnsi="Times New Roman" w:eastAsia="Times New Roman"/>
                <w:b w:val="0"/>
                <w:i w:val="0"/>
                <w:sz w:val="18"/>
              </w:rPr>
              <w:t>535 нм (зелёный)</w:t>
            </w:r>
          </w:p>
        </w:tc>
        <w:tc>
          <w:tcPr>
            <w:tcW w:type="dxa" w:w="3230"/>
          </w:tcPr>
          <w:p>
            <w:r/>
            <w:r>
              <w:rPr>
                <w:rFonts w:ascii="Times New Roman" w:hAnsi="Times New Roman" w:eastAsia="Times New Roman"/>
                <w:b w:val="0"/>
                <w:i w:val="0"/>
                <w:sz w:val="18"/>
              </w:rPr>
              <w:t>40–60%</w:t>
            </w:r>
          </w:p>
        </w:tc>
        <w:tc>
          <w:tcPr>
            <w:tcW w:type="dxa" w:w="3230"/>
          </w:tcPr>
          <w:p>
            <w:r/>
            <w:r>
              <w:rPr>
                <w:rFonts w:ascii="Times New Roman" w:hAnsi="Times New Roman" w:eastAsia="Times New Roman"/>
                <w:b w:val="0"/>
                <w:i w:val="0"/>
                <w:sz w:val="18"/>
              </w:rPr>
              <w:t>В 8–12 раз больше энергии в зоне; стабильный шов</w:t>
            </w:r>
          </w:p>
        </w:tc>
      </w:tr>
    </w:tbl>
    <w:p/>
    <w:p>
      <w:pPr>
        <w:spacing w:after="160" w:before="0" w:lineRule="auto" w:line="276"/>
        <w:ind w:firstLine="709"/>
        <w:jc w:val="both"/>
      </w:pPr>
      <w:r>
        <w:rPr>
          <w:rFonts w:ascii="Times New Roman" w:hAnsi="Times New Roman" w:eastAsia="Times New Roman"/>
          <w:b w:val="0"/>
          <w:i w:val="0"/>
          <w:sz w:val="24"/>
        </w:rPr>
        <w:t>Для меди ситуация драматична. На длине волны 1070 нанометров — это стандарт для мощных иттербиевых волоконных лазеров — поглощательная способность меди составляет всего около 5 процентов. Это означает, что 95 процентов энергии просто отражается от поверхности.</w:t>
      </w:r>
    </w:p>
    <w:p>
      <w:pPr>
        <w:spacing w:after="160" w:before="0" w:lineRule="auto" w:line="276"/>
        <w:ind w:firstLine="709"/>
        <w:jc w:val="both"/>
      </w:pPr>
      <w:r>
        <w:rPr>
          <w:rFonts w:ascii="Times New Roman" w:hAnsi="Times New Roman" w:eastAsia="Times New Roman"/>
          <w:b w:val="0"/>
          <w:i w:val="0"/>
          <w:sz w:val="24"/>
        </w:rPr>
        <w:t>Что происходит с этими пятью процентами? Они нагревают тонкий поверхностный слой. Но этого недостаточно для стабильного расплава. Процесс становится нестабильным: то есть плавление, то нет. Появляются поры, брызги, несплавления.</w:t>
      </w:r>
    </w:p>
    <w:p>
      <w:pPr>
        <w:spacing w:after="160" w:before="0" w:lineRule="auto" w:line="276"/>
        <w:ind w:firstLine="709"/>
        <w:jc w:val="both"/>
      </w:pPr>
      <w:r>
        <w:rPr>
          <w:rFonts w:ascii="Times New Roman" w:hAnsi="Times New Roman" w:eastAsia="Times New Roman"/>
          <w:b w:val="0"/>
          <w:i w:val="0"/>
          <w:sz w:val="24"/>
        </w:rPr>
        <w:t>Рассмотрим зелёный диапазон. На длине волны 535 нанометров поглощательная способность меди возрастает до 40–60 процентов. Это в 8–12 раз больше!</w:t>
      </w:r>
    </w:p>
    <w:p>
      <w:pPr>
        <w:spacing w:after="160" w:before="0" w:lineRule="auto" w:line="276"/>
        <w:ind w:firstLine="709"/>
        <w:jc w:val="both"/>
      </w:pPr>
      <w:r>
        <w:rPr>
          <w:rFonts w:ascii="Times New Roman" w:hAnsi="Times New Roman" w:eastAsia="Times New Roman"/>
          <w:b w:val="0"/>
          <w:i w:val="0"/>
          <w:sz w:val="24"/>
        </w:rPr>
        <w:t>Что это означает на практике? При той же мощности лазера в зону обработки попадает в 8–12 раз больше энергии. Процесс становится стабильным. Шов формируется без разрывов. Именно поэтому зелёные лазеры так востребованы для сварки медных шин в электромобилях и для 3D-печати медных теплообменников.</w:t>
      </w:r>
    </w:p>
    <w:p>
      <w:pPr>
        <w:spacing w:after="160" w:before="0" w:lineRule="auto" w:line="276"/>
        <w:ind w:firstLine="709"/>
        <w:jc w:val="both"/>
      </w:pPr>
      <w:r>
        <w:rPr>
          <w:rFonts w:ascii="Times New Roman" w:hAnsi="Times New Roman" w:eastAsia="Times New Roman"/>
          <w:b w:val="0"/>
          <w:i w:val="0"/>
          <w:sz w:val="24"/>
        </w:rPr>
        <w:t>Вывод: технически зелёный лазер идеален для меди. Проблема не в физике, а в экономике.</w:t>
      </w:r>
    </w:p>
    <w:p>
      <w:pPr>
        <w:spacing w:after="160" w:before="0" w:lineRule="auto" w:line="276"/>
        <w:jc w:val="left"/>
      </w:pPr>
      <w:r>
        <w:rPr>
          <w:rFonts w:ascii="Times New Roman" w:hAnsi="Times New Roman" w:eastAsia="Times New Roman"/>
          <w:b/>
          <w:i w:val="0"/>
          <w:sz w:val="26"/>
        </w:rPr>
        <w:t>4. ПРЯМАЯ ГЕНЕРАЦИЯ ЗЕЛЁНОГО СВЕТА: ПОЧЕМУ НЕ РАБОТАЕТ</w:t>
      </w:r>
    </w:p>
    <w:p>
      <w:pPr>
        <w:spacing w:after="160" w:before="0" w:lineRule="auto" w:line="276"/>
        <w:ind w:firstLine="709"/>
        <w:jc w:val="both"/>
      </w:pPr>
      <w:r>
        <w:rPr>
          <w:rFonts w:ascii="Times New Roman" w:hAnsi="Times New Roman" w:eastAsia="Times New Roman"/>
          <w:b w:val="0"/>
          <w:i w:val="0"/>
          <w:sz w:val="24"/>
        </w:rPr>
        <w:t>Закономерный вопрос: почему бы не создать лазер, который сразу генерирует зелёный свет? Такие лазеры существуют — это полупроводниковые диодные лазеры на основе нитрида индия-галлия, InGaN.</w:t>
      </w:r>
    </w:p>
    <w:p>
      <w:pPr>
        <w:spacing w:after="160" w:before="0" w:lineRule="auto" w:line="276"/>
        <w:ind w:firstLine="709"/>
        <w:jc w:val="both"/>
      </w:pPr>
      <w:r>
        <w:rPr>
          <w:rFonts w:ascii="Times New Roman" w:hAnsi="Times New Roman" w:eastAsia="Times New Roman"/>
          <w:b w:val="0"/>
          <w:i w:val="0"/>
          <w:sz w:val="24"/>
        </w:rPr>
        <w:t>Но здесь мы сталкиваемся с фундаментальным ограничением, которое в научной литературе называется «проблемой зелёного диапазона» (green gap).</w:t>
      </w:r>
    </w:p>
    <w:p>
      <w:pPr>
        <w:spacing w:before="160" w:after="80"/>
        <w:jc w:val="center"/>
      </w:pPr>
      <w:r>
        <w:drawing>
          <wp:inline xmlns:a="http://schemas.openxmlformats.org/drawingml/2006/main" xmlns:pic="http://schemas.openxmlformats.org/drawingml/2006/picture">
            <wp:extent cx="5040000" cy="3207273"/>
            <wp:docPr id="20" name="Picture 20"/>
            <wp:cNvGraphicFramePr>
              <a:graphicFrameLocks noChangeAspect="1"/>
            </wp:cNvGraphicFramePr>
            <a:graphic>
              <a:graphicData uri="http://schemas.openxmlformats.org/drawingml/2006/picture">
                <pic:pic>
                  <pic:nvPicPr>
                    <pic:cNvPr id="0" name="ch5_green_gap.png"/>
                    <pic:cNvPicPr/>
                  </pic:nvPicPr>
                  <pic:blipFill>
                    <a:blip r:embed="rId28"/>
                    <a:stretch>
                      <a:fillRect/>
                    </a:stretch>
                  </pic:blipFill>
                  <pic:spPr>
                    <a:xfrm>
                      <a:off x="0" y="0"/>
                      <a:ext cx="5040000" cy="3207273"/>
                    </a:xfrm>
                    <a:prstGeom prst="rect"/>
                  </pic:spPr>
                </pic:pic>
              </a:graphicData>
            </a:graphic>
          </wp:inline>
        </w:drawing>
      </w:r>
    </w:p>
    <w:p>
      <w:pPr>
        <w:spacing w:after="200"/>
        <w:jc w:val="center"/>
      </w:pPr>
      <w:r>
        <w:rPr>
          <w:rFonts w:ascii="Times New Roman" w:hAnsi="Times New Roman" w:eastAsia="Times New Roman"/>
          <w:b w:val="0"/>
          <w:i/>
          <w:sz w:val="20"/>
        </w:rPr>
        <w:t>Рис. 5.2. Прямая генерация 535 нм на InGaN: «проблема зелёного диапазона» и разрыв мощности</w:t>
      </w:r>
    </w:p>
    <w:p>
      <w:pPr>
        <w:spacing w:before="160" w:after="80"/>
        <w:jc w:val="center"/>
      </w:pPr>
      <w:r>
        <w:drawing>
          <wp:inline xmlns:a="http://schemas.openxmlformats.org/drawingml/2006/main" xmlns:pic="http://schemas.openxmlformats.org/drawingml/2006/picture">
            <wp:extent cx="5040000" cy="1127368"/>
            <wp:docPr id="21" name="Picture 21"/>
            <wp:cNvGraphicFramePr>
              <a:graphicFrameLocks noChangeAspect="1"/>
            </wp:cNvGraphicFramePr>
            <a:graphic>
              <a:graphicData uri="http://schemas.openxmlformats.org/drawingml/2006/picture">
                <pic:pic>
                  <pic:nvPicPr>
                    <pic:cNvPr id="0" name="ch5_photon_energy.png"/>
                    <pic:cNvPicPr/>
                  </pic:nvPicPr>
                  <pic:blipFill>
                    <a:blip r:embed="rId29"/>
                    <a:stretch>
                      <a:fillRect/>
                    </a:stretch>
                  </pic:blipFill>
                  <pic:spPr>
                    <a:xfrm>
                      <a:off x="0" y="0"/>
                      <a:ext cx="5040000" cy="1127368"/>
                    </a:xfrm>
                    <a:prstGeom prst="rect"/>
                  </pic:spPr>
                </pic:pic>
              </a:graphicData>
            </a:graphic>
          </wp:inline>
        </w:drawing>
      </w:r>
    </w:p>
    <w:p>
      <w:pPr>
        <w:spacing w:after="200"/>
        <w:jc w:val="center"/>
      </w:pPr>
      <w:r>
        <w:rPr>
          <w:rFonts w:ascii="Times New Roman" w:hAnsi="Times New Roman" w:eastAsia="Times New Roman"/>
          <w:b w:val="0"/>
          <w:i/>
          <w:sz w:val="20"/>
        </w:rPr>
        <w:t>Рис. 5.3. Энергия фотона E = h·c/λ для λ = 535 нм</w:t>
      </w:r>
    </w:p>
    <w:p>
      <w:pPr>
        <w:spacing w:before="160" w:after="80"/>
        <w:jc w:val="center"/>
      </w:pPr>
      <w:r>
        <w:rPr>
          <w:rFonts w:ascii="Times New Roman" w:hAnsi="Times New Roman" w:eastAsia="Times New Roman"/>
          <w:b w:val="0"/>
          <w:i/>
          <w:sz w:val="20"/>
        </w:rPr>
        <w:t>Таблица 5.2. Проблема зелёного диапазона InGaN: параметры</w:t>
      </w:r>
    </w:p>
    <w:tbl>
      <w:tblPr>
        <w:tblStyle w:val="TableGrid"/>
        <w:tblW w:type="auto" w:w="0"/>
        <w:jc w:val="center"/>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i w:val="0"/>
                <w:sz w:val="18"/>
              </w:rPr>
              <w:t>Параметр</w:t>
            </w:r>
          </w:p>
        </w:tc>
        <w:tc>
          <w:tcPr>
            <w:tcW w:type="dxa" w:w="4844"/>
          </w:tcPr>
          <w:p>
            <w:r/>
            <w:r>
              <w:rPr>
                <w:rFonts w:ascii="Times New Roman" w:hAnsi="Times New Roman" w:eastAsia="Times New Roman"/>
                <w:b/>
                <w:i w:val="0"/>
                <w:sz w:val="18"/>
              </w:rPr>
              <w:t>Значение</w:t>
            </w:r>
          </w:p>
        </w:tc>
      </w:tr>
      <w:tr>
        <w:tc>
          <w:tcPr>
            <w:tcW w:type="dxa" w:w="4844"/>
          </w:tcPr>
          <w:p>
            <w:r/>
            <w:r>
              <w:rPr>
                <w:rFonts w:ascii="Times New Roman" w:hAnsi="Times New Roman" w:eastAsia="Times New Roman"/>
                <w:b w:val="0"/>
                <w:i w:val="0"/>
                <w:sz w:val="18"/>
              </w:rPr>
              <w:t>Энергия фотона 535 нм</w:t>
            </w:r>
          </w:p>
        </w:tc>
        <w:tc>
          <w:tcPr>
            <w:tcW w:type="dxa" w:w="4844"/>
          </w:tcPr>
          <w:p>
            <w:r/>
            <w:r>
              <w:rPr>
                <w:rFonts w:ascii="Times New Roman" w:hAnsi="Times New Roman" w:eastAsia="Times New Roman"/>
                <w:b w:val="0"/>
                <w:i w:val="0"/>
                <w:sz w:val="18"/>
              </w:rPr>
              <w:t>≈ 3,7·10⁻¹⁹ Дж ≈ 2,3 эВ</w:t>
            </w:r>
          </w:p>
        </w:tc>
      </w:tr>
      <w:tr>
        <w:tc>
          <w:tcPr>
            <w:tcW w:type="dxa" w:w="4844"/>
          </w:tcPr>
          <w:p>
            <w:r/>
            <w:r>
              <w:rPr>
                <w:rFonts w:ascii="Times New Roman" w:hAnsi="Times New Roman" w:eastAsia="Times New Roman"/>
                <w:b w:val="0"/>
                <w:i w:val="0"/>
                <w:sz w:val="18"/>
              </w:rPr>
              <w:t>Нужная ширина запрещённой зоны</w:t>
            </w:r>
          </w:p>
        </w:tc>
        <w:tc>
          <w:tcPr>
            <w:tcW w:type="dxa" w:w="4844"/>
          </w:tcPr>
          <w:p>
            <w:r/>
            <w:r>
              <w:rPr>
                <w:rFonts w:ascii="Times New Roman" w:hAnsi="Times New Roman" w:eastAsia="Times New Roman"/>
                <w:b w:val="0"/>
                <w:i w:val="0"/>
                <w:sz w:val="18"/>
              </w:rPr>
              <w:t>2,3 эВ</w:t>
            </w:r>
          </w:p>
        </w:tc>
      </w:tr>
      <w:tr>
        <w:tc>
          <w:tcPr>
            <w:tcW w:type="dxa" w:w="4844"/>
          </w:tcPr>
          <w:p>
            <w:r/>
            <w:r>
              <w:rPr>
                <w:rFonts w:ascii="Times New Roman" w:hAnsi="Times New Roman" w:eastAsia="Times New Roman"/>
                <w:b w:val="0"/>
                <w:i w:val="0"/>
                <w:sz w:val="18"/>
              </w:rPr>
              <w:t>Концентрация индия в InGaN</w:t>
            </w:r>
          </w:p>
        </w:tc>
        <w:tc>
          <w:tcPr>
            <w:tcW w:type="dxa" w:w="4844"/>
          </w:tcPr>
          <w:p>
            <w:r/>
            <w:r>
              <w:rPr>
                <w:rFonts w:ascii="Times New Roman" w:hAnsi="Times New Roman" w:eastAsia="Times New Roman"/>
                <w:b w:val="0"/>
                <w:i w:val="0"/>
                <w:sz w:val="18"/>
              </w:rPr>
              <w:t>&gt; 30%</w:t>
            </w:r>
          </w:p>
        </w:tc>
      </w:tr>
      <w:tr>
        <w:tc>
          <w:tcPr>
            <w:tcW w:type="dxa" w:w="4844"/>
          </w:tcPr>
          <w:p>
            <w:r/>
            <w:r>
              <w:rPr>
                <w:rFonts w:ascii="Times New Roman" w:hAnsi="Times New Roman" w:eastAsia="Times New Roman"/>
                <w:b w:val="0"/>
                <w:i w:val="0"/>
                <w:sz w:val="18"/>
              </w:rPr>
              <w:t>Дефекты решётки</w:t>
            </w:r>
          </w:p>
        </w:tc>
        <w:tc>
          <w:tcPr>
            <w:tcW w:type="dxa" w:w="4844"/>
          </w:tcPr>
          <w:p>
            <w:r/>
            <w:r>
              <w:rPr>
                <w:rFonts w:ascii="Times New Roman" w:hAnsi="Times New Roman" w:eastAsia="Times New Roman"/>
                <w:b w:val="0"/>
                <w:i w:val="0"/>
                <w:sz w:val="18"/>
              </w:rPr>
              <w:t>V-дефекты (ловушки электронов)</w:t>
            </w:r>
          </w:p>
        </w:tc>
      </w:tr>
      <w:tr>
        <w:tc>
          <w:tcPr>
            <w:tcW w:type="dxa" w:w="4844"/>
          </w:tcPr>
          <w:p>
            <w:r/>
            <w:r>
              <w:rPr>
                <w:rFonts w:ascii="Times New Roman" w:hAnsi="Times New Roman" w:eastAsia="Times New Roman"/>
                <w:b w:val="0"/>
                <w:i w:val="0"/>
                <w:sz w:val="18"/>
              </w:rPr>
              <w:t>Квантово-размерный эффект Штарка</w:t>
            </w:r>
          </w:p>
        </w:tc>
        <w:tc>
          <w:tcPr>
            <w:tcW w:type="dxa" w:w="4844"/>
          </w:tcPr>
          <w:p>
            <w:r/>
            <w:r>
              <w:rPr>
                <w:rFonts w:ascii="Times New Roman" w:hAnsi="Times New Roman" w:eastAsia="Times New Roman"/>
                <w:b w:val="0"/>
                <w:i w:val="0"/>
                <w:sz w:val="18"/>
              </w:rPr>
              <w:t>QCSE: e и h разведены полем</w:t>
            </w:r>
          </w:p>
        </w:tc>
      </w:tr>
      <w:tr>
        <w:tc>
          <w:tcPr>
            <w:tcW w:type="dxa" w:w="4844"/>
          </w:tcPr>
          <w:p>
            <w:r/>
            <w:r>
              <w:rPr>
                <w:rFonts w:ascii="Times New Roman" w:hAnsi="Times New Roman" w:eastAsia="Times New Roman"/>
                <w:b w:val="0"/>
                <w:i w:val="0"/>
                <w:sz w:val="18"/>
              </w:rPr>
              <w:t>Мощность лабораторных образцов</w:t>
            </w:r>
          </w:p>
        </w:tc>
        <w:tc>
          <w:tcPr>
            <w:tcW w:type="dxa" w:w="4844"/>
          </w:tcPr>
          <w:p>
            <w:r/>
            <w:r>
              <w:rPr>
                <w:rFonts w:ascii="Times New Roman" w:hAnsi="Times New Roman" w:eastAsia="Times New Roman"/>
                <w:b w:val="0"/>
                <w:i w:val="0"/>
                <w:sz w:val="18"/>
              </w:rPr>
              <w:t>≤ 0,18 Вт (нужны кВт)</w:t>
            </w:r>
          </w:p>
        </w:tc>
      </w:tr>
    </w:tbl>
    <w:p/>
    <w:p>
      <w:pPr>
        <w:spacing w:after="160" w:before="0" w:lineRule="auto" w:line="276"/>
        <w:ind w:firstLine="709"/>
        <w:jc w:val="both"/>
      </w:pPr>
      <w:r>
        <w:rPr>
          <w:rFonts w:ascii="Times New Roman" w:hAnsi="Times New Roman" w:eastAsia="Times New Roman"/>
          <w:b w:val="0"/>
          <w:i w:val="0"/>
          <w:sz w:val="24"/>
        </w:rPr>
        <w:t>Физика процесса такова. Энергия фотона определяется формулой:</w:t>
      </w:r>
    </w:p>
    <w:p>
      <w:pPr>
        <w:spacing w:after="160" w:before="0" w:lineRule="auto" w:line="276"/>
        <w:ind w:firstLine="709"/>
        <w:jc w:val="both"/>
      </w:pPr>
      <w:r>
        <w:rPr>
          <w:rFonts w:ascii="Times New Roman" w:hAnsi="Times New Roman" w:eastAsia="Times New Roman"/>
          <w:b w:val="0"/>
          <w:i w:val="0"/>
          <w:sz w:val="24"/>
        </w:rPr>
        <w:t>E = hc/λ. Расшифровка: E — энергия фотона (Дж); h — постоянная Планка (Дж·с); c — скорость света (3·10⁸ м/с); λ — длина волны (м). Для зелёного света 535 нм энергия фотона составляет примерно 3,7·10⁻¹⁹ Дж, или 2,3 электрон-вольта.</w:t>
      </w:r>
    </w:p>
    <w:p>
      <w:pPr>
        <w:spacing w:after="160" w:before="0" w:lineRule="auto" w:line="276"/>
        <w:ind w:firstLine="709"/>
        <w:jc w:val="both"/>
      </w:pPr>
      <w:r>
        <w:rPr>
          <w:rFonts w:ascii="Times New Roman" w:hAnsi="Times New Roman" w:eastAsia="Times New Roman"/>
          <w:b w:val="0"/>
          <w:i w:val="0"/>
          <w:sz w:val="24"/>
        </w:rPr>
        <w:t>Чтобы получить такую энергию в полупроводниковом лазере, нужно создать материал с шириной запрещённой зоны 2,3 эВ. Для InGaN это требует добавления более 30 процентов индия в кристаллическую решётку.</w:t>
      </w:r>
    </w:p>
    <w:p>
      <w:pPr>
        <w:spacing w:after="160" w:before="0" w:lineRule="auto" w:line="276"/>
        <w:ind w:firstLine="709"/>
        <w:jc w:val="both"/>
      </w:pPr>
      <w:r>
        <w:rPr>
          <w:rFonts w:ascii="Times New Roman" w:hAnsi="Times New Roman" w:eastAsia="Times New Roman"/>
          <w:b w:val="0"/>
          <w:i w:val="0"/>
          <w:sz w:val="24"/>
        </w:rPr>
        <w:t>И вот здесь начинаются проблемы. Атомы индия значительно крупнее атомов галлия. При такой высокой концентрации кристаллическая решётка становится нестабильной. Возникают дефекты, которые называются V-дефектами. Они работают как ловушки для электронов — вместо излучения света энергия превращается в тепло.</w:t>
      </w:r>
    </w:p>
    <w:p>
      <w:pPr>
        <w:spacing w:after="160" w:before="0" w:lineRule="auto" w:line="276"/>
        <w:ind w:firstLine="709"/>
        <w:jc w:val="both"/>
      </w:pPr>
      <w:r>
        <w:rPr>
          <w:rFonts w:ascii="Times New Roman" w:hAnsi="Times New Roman" w:eastAsia="Times New Roman"/>
          <w:b w:val="0"/>
          <w:i w:val="0"/>
          <w:sz w:val="24"/>
        </w:rPr>
        <w:t>Дополнительный фактор — квантово-размерный эффект Штарка (QCSE). Пьезоэлектрическое поле внутри квантовой ямы разводит электрон и дырку в пространстве, снижая вероятность их рекомбинации с излучением фотона.</w:t>
      </w:r>
    </w:p>
    <w:p>
      <w:pPr>
        <w:spacing w:after="160" w:before="0" w:lineRule="auto" w:line="276"/>
        <w:ind w:firstLine="709"/>
        <w:jc w:val="both"/>
      </w:pPr>
      <w:r>
        <w:rPr>
          <w:rFonts w:ascii="Times New Roman" w:hAnsi="Times New Roman" w:eastAsia="Times New Roman"/>
          <w:b w:val="0"/>
          <w:i w:val="0"/>
          <w:sz w:val="24"/>
        </w:rPr>
        <w:t>Результат: эффективность падает, пороговый ток растёт, а мощность ограничивается. Современные лабораторные образцы зелёных диодных лазеров демонстрируют мощность 180 милливатт — это 0,18 ватта. Для 3D-печати меди нужны киловатты. Разрыв в 10 000 раз.</w:t>
      </w:r>
    </w:p>
    <w:p>
      <w:pPr>
        <w:spacing w:after="160" w:before="0" w:lineRule="auto" w:line="276"/>
        <w:ind w:firstLine="709"/>
        <w:jc w:val="both"/>
      </w:pPr>
      <w:r>
        <w:rPr>
          <w:rFonts w:ascii="Times New Roman" w:hAnsi="Times New Roman" w:eastAsia="Times New Roman"/>
          <w:b w:val="0"/>
          <w:i w:val="0"/>
          <w:sz w:val="24"/>
        </w:rPr>
        <w:t>Вывод: прямая генерация зелёного света на полупроводниках не может конкурировать с мощными волоконными лазерами. Нужен другой путь.</w:t>
      </w:r>
    </w:p>
    <w:p>
      <w:pPr>
        <w:spacing w:after="160" w:before="0" w:lineRule="auto" w:line="276"/>
        <w:jc w:val="left"/>
      </w:pPr>
      <w:r>
        <w:rPr>
          <w:rFonts w:ascii="Times New Roman" w:hAnsi="Times New Roman" w:eastAsia="Times New Roman"/>
          <w:b/>
          <w:i w:val="0"/>
          <w:sz w:val="26"/>
        </w:rPr>
        <w:t>5. НЕЛИНЕЙНАЯ ОПТИКА: ГЕНЕРАЦИЯ ВТОРОЙ ГАРМОНИКИ</w:t>
      </w:r>
    </w:p>
    <w:p>
      <w:pPr>
        <w:spacing w:after="160" w:before="0" w:lineRule="auto" w:line="276"/>
        <w:ind w:firstLine="709"/>
        <w:jc w:val="both"/>
      </w:pPr>
      <w:r>
        <w:rPr>
          <w:rFonts w:ascii="Times New Roman" w:hAnsi="Times New Roman" w:eastAsia="Times New Roman"/>
          <w:b w:val="0"/>
          <w:i w:val="0"/>
          <w:sz w:val="24"/>
        </w:rPr>
        <w:t>Пойдём другим путём: возьмём мощный и дешёвый инфракрасный лазер на 1070 нанометров и «превратим» его излучение в зелёное с помощью нелинейной оптики.</w:t>
      </w:r>
    </w:p>
    <w:p>
      <w:pPr>
        <w:spacing w:after="160" w:before="0" w:lineRule="auto" w:line="276"/>
        <w:ind w:firstLine="709"/>
        <w:jc w:val="both"/>
      </w:pPr>
      <w:r>
        <w:rPr>
          <w:rFonts w:ascii="Times New Roman" w:hAnsi="Times New Roman" w:eastAsia="Times New Roman"/>
          <w:b w:val="0"/>
          <w:i w:val="0"/>
          <w:sz w:val="24"/>
        </w:rPr>
        <w:t>Этот процесс называется генерацией второй гармоники (Second Harmonic Generation, SHG). Разберём его математику.</w:t>
      </w:r>
    </w:p>
    <w:p>
      <w:pPr>
        <w:spacing w:before="160" w:after="80"/>
        <w:jc w:val="center"/>
      </w:pPr>
      <w:r>
        <w:drawing>
          <wp:inline xmlns:a="http://schemas.openxmlformats.org/drawingml/2006/main" xmlns:pic="http://schemas.openxmlformats.org/drawingml/2006/picture">
            <wp:extent cx="5040000" cy="3035455"/>
            <wp:docPr id="22" name="Picture 22"/>
            <wp:cNvGraphicFramePr>
              <a:graphicFrameLocks noChangeAspect="1"/>
            </wp:cNvGraphicFramePr>
            <a:graphic>
              <a:graphicData uri="http://schemas.openxmlformats.org/drawingml/2006/picture">
                <pic:pic>
                  <pic:nvPicPr>
                    <pic:cNvPr id="0" name="ch5_asym.png"/>
                    <pic:cNvPicPr/>
                  </pic:nvPicPr>
                  <pic:blipFill>
                    <a:blip r:embed="rId30"/>
                    <a:stretch>
                      <a:fillRect/>
                    </a:stretch>
                  </pic:blipFill>
                  <pic:spPr>
                    <a:xfrm>
                      <a:off x="0" y="0"/>
                      <a:ext cx="5040000" cy="3035455"/>
                    </a:xfrm>
                    <a:prstGeom prst="rect"/>
                  </pic:spPr>
                </pic:pic>
              </a:graphicData>
            </a:graphic>
          </wp:inline>
        </w:drawing>
      </w:r>
    </w:p>
    <w:p>
      <w:pPr>
        <w:spacing w:after="200"/>
        <w:jc w:val="center"/>
      </w:pPr>
      <w:r>
        <w:rPr>
          <w:rFonts w:ascii="Times New Roman" w:hAnsi="Times New Roman" w:eastAsia="Times New Roman"/>
          <w:b w:val="0"/>
          <w:i/>
          <w:sz w:val="20"/>
        </w:rPr>
        <w:t>Рис. 5.4. Почему в ниобате лития отклик нелинейный: симметричная и асимметричная ямы</w:t>
      </w:r>
    </w:p>
    <w:p>
      <w:pPr>
        <w:spacing w:before="160" w:after="80"/>
        <w:jc w:val="center"/>
      </w:pPr>
      <w:r>
        <w:drawing>
          <wp:inline xmlns:a="http://schemas.openxmlformats.org/drawingml/2006/main" xmlns:pic="http://schemas.openxmlformats.org/drawingml/2006/picture">
            <wp:extent cx="5040000" cy="2978182"/>
            <wp:docPr id="23" name="Picture 23"/>
            <wp:cNvGraphicFramePr>
              <a:graphicFrameLocks noChangeAspect="1"/>
            </wp:cNvGraphicFramePr>
            <a:graphic>
              <a:graphicData uri="http://schemas.openxmlformats.org/drawingml/2006/picture">
                <pic:pic>
                  <pic:nvPicPr>
                    <pic:cNvPr id="0" name="ch5_shg.png"/>
                    <pic:cNvPicPr/>
                  </pic:nvPicPr>
                  <pic:blipFill>
                    <a:blip r:embed="rId31"/>
                    <a:stretch>
                      <a:fillRect/>
                    </a:stretch>
                  </pic:blipFill>
                  <pic:spPr>
                    <a:xfrm>
                      <a:off x="0" y="0"/>
                      <a:ext cx="5040000" cy="2978182"/>
                    </a:xfrm>
                    <a:prstGeom prst="rect"/>
                  </pic:spPr>
                </pic:pic>
              </a:graphicData>
            </a:graphic>
          </wp:inline>
        </w:drawing>
      </w:r>
    </w:p>
    <w:p>
      <w:pPr>
        <w:spacing w:after="200"/>
        <w:jc w:val="center"/>
      </w:pPr>
      <w:r>
        <w:rPr>
          <w:rFonts w:ascii="Times New Roman" w:hAnsi="Times New Roman" w:eastAsia="Times New Roman"/>
          <w:b w:val="0"/>
          <w:i/>
          <w:sz w:val="20"/>
        </w:rPr>
        <w:t>Рис. 5.5. Генерация второй гармоники (SHG) в кристалле PPLN: 1070 нм (ω) → 535 нм (2ω)</w:t>
      </w:r>
    </w:p>
    <w:p>
      <w:pPr>
        <w:spacing w:before="160" w:after="80"/>
        <w:jc w:val="center"/>
      </w:pPr>
      <w:r>
        <w:drawing>
          <wp:inline xmlns:a="http://schemas.openxmlformats.org/drawingml/2006/main" xmlns:pic="http://schemas.openxmlformats.org/drawingml/2006/picture">
            <wp:extent cx="5040000" cy="1536585"/>
            <wp:docPr id="24" name="Picture 24"/>
            <wp:cNvGraphicFramePr>
              <a:graphicFrameLocks noChangeAspect="1"/>
            </wp:cNvGraphicFramePr>
            <a:graphic>
              <a:graphicData uri="http://schemas.openxmlformats.org/drawingml/2006/picture">
                <pic:pic>
                  <pic:nvPicPr>
                    <pic:cNvPr id="0" name="ch5_cos2.png"/>
                    <pic:cNvPicPr/>
                  </pic:nvPicPr>
                  <pic:blipFill>
                    <a:blip r:embed="rId32"/>
                    <a:stretch>
                      <a:fillRect/>
                    </a:stretch>
                  </pic:blipFill>
                  <pic:spPr>
                    <a:xfrm>
                      <a:off x="0" y="0"/>
                      <a:ext cx="5040000" cy="1536585"/>
                    </a:xfrm>
                    <a:prstGeom prst="rect"/>
                  </pic:spPr>
                </pic:pic>
              </a:graphicData>
            </a:graphic>
          </wp:inline>
        </w:drawing>
      </w:r>
    </w:p>
    <w:p>
      <w:pPr>
        <w:spacing w:after="200"/>
        <w:jc w:val="center"/>
      </w:pPr>
      <w:r>
        <w:rPr>
          <w:rFonts w:ascii="Times New Roman" w:hAnsi="Times New Roman" w:eastAsia="Times New Roman"/>
          <w:b w:val="0"/>
          <w:i/>
          <w:sz w:val="20"/>
        </w:rPr>
        <w:t>Рис. 5.6. Поле накачки E(t) и квадратичный отклик: cos²(ω·t) = (1 + cos(2ω·t))/2</w:t>
      </w:r>
    </w:p>
    <w:p>
      <w:pPr>
        <w:spacing w:before="160" w:after="80"/>
        <w:jc w:val="center"/>
      </w:pPr>
      <w:r>
        <w:rPr>
          <w:rFonts w:ascii="Times New Roman" w:hAnsi="Times New Roman" w:eastAsia="Times New Roman"/>
          <w:b w:val="0"/>
          <w:i/>
          <w:sz w:val="20"/>
        </w:rPr>
        <w:t>Таблица 5.3. Символы разложения поляризации P(E)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Символ</w:t>
            </w:r>
          </w:p>
        </w:tc>
        <w:tc>
          <w:tcPr>
            <w:tcW w:type="dxa" w:w="2422"/>
          </w:tcPr>
          <w:p>
            <w:r/>
            <w:r>
              <w:rPr>
                <w:rFonts w:ascii="Times New Roman" w:hAnsi="Times New Roman" w:eastAsia="Times New Roman"/>
                <w:b/>
                <w:i w:val="0"/>
                <w:sz w:val="18"/>
              </w:rPr>
              <w:t>Название</w:t>
            </w:r>
          </w:p>
        </w:tc>
        <w:tc>
          <w:tcPr>
            <w:tcW w:type="dxa" w:w="2422"/>
          </w:tcPr>
          <w:p>
            <w:r/>
            <w:r>
              <w:rPr>
                <w:rFonts w:ascii="Times New Roman" w:hAnsi="Times New Roman" w:eastAsia="Times New Roman"/>
                <w:b/>
                <w:i w:val="0"/>
                <w:sz w:val="18"/>
              </w:rPr>
              <w:t>Единица</w:t>
            </w:r>
          </w:p>
        </w:tc>
        <w:tc>
          <w:tcPr>
            <w:tcW w:type="dxa" w:w="2422"/>
          </w:tcPr>
          <w:p>
            <w:r/>
            <w:r>
              <w:rPr>
                <w:rFonts w:ascii="Times New Roman" w:hAnsi="Times New Roman" w:eastAsia="Times New Roman"/>
                <w:b/>
                <w:i w:val="0"/>
                <w:sz w:val="18"/>
              </w:rPr>
              <w:t>Физический смысл</w:t>
            </w:r>
          </w:p>
        </w:tc>
      </w:tr>
      <w:tr>
        <w:tc>
          <w:tcPr>
            <w:tcW w:type="dxa" w:w="2422"/>
          </w:tcPr>
          <w:p>
            <w:r/>
            <w:r>
              <w:rPr>
                <w:rFonts w:ascii="Times New Roman" w:hAnsi="Times New Roman" w:eastAsia="Times New Roman"/>
                <w:b w:val="0"/>
                <w:i w:val="0"/>
                <w:sz w:val="18"/>
              </w:rPr>
              <w:t>P</w:t>
            </w:r>
          </w:p>
        </w:tc>
        <w:tc>
          <w:tcPr>
            <w:tcW w:type="dxa" w:w="2422"/>
          </w:tcPr>
          <w:p>
            <w:r/>
            <w:r>
              <w:rPr>
                <w:rFonts w:ascii="Times New Roman" w:hAnsi="Times New Roman" w:eastAsia="Times New Roman"/>
                <w:b w:val="0"/>
                <w:i w:val="0"/>
                <w:sz w:val="18"/>
              </w:rPr>
              <w:t>Поляризация среды</w:t>
            </w:r>
          </w:p>
        </w:tc>
        <w:tc>
          <w:tcPr>
            <w:tcW w:type="dxa" w:w="2422"/>
          </w:tcPr>
          <w:p>
            <w:r/>
            <w:r>
              <w:rPr>
                <w:rFonts w:ascii="Times New Roman" w:hAnsi="Times New Roman" w:eastAsia="Times New Roman"/>
                <w:b w:val="0"/>
                <w:i w:val="0"/>
                <w:sz w:val="18"/>
              </w:rPr>
              <w:t>Кл/м²</w:t>
            </w:r>
          </w:p>
        </w:tc>
        <w:tc>
          <w:tcPr>
            <w:tcW w:type="dxa" w:w="2422"/>
          </w:tcPr>
          <w:p>
            <w:r/>
            <w:r>
              <w:rPr>
                <w:rFonts w:ascii="Times New Roman" w:hAnsi="Times New Roman" w:eastAsia="Times New Roman"/>
                <w:b w:val="0"/>
                <w:i w:val="0"/>
                <w:sz w:val="18"/>
              </w:rPr>
              <w:t>Дипольный момент единицы объёма</w:t>
            </w:r>
          </w:p>
        </w:tc>
      </w:tr>
      <w:tr>
        <w:tc>
          <w:tcPr>
            <w:tcW w:type="dxa" w:w="2422"/>
          </w:tcPr>
          <w:p>
            <w:r/>
            <w:r>
              <w:rPr>
                <w:rFonts w:ascii="Times New Roman" w:hAnsi="Times New Roman" w:eastAsia="Times New Roman"/>
                <w:b w:val="0"/>
                <w:i w:val="0"/>
                <w:sz w:val="18"/>
              </w:rPr>
              <w:t>ε₀</w:t>
            </w:r>
          </w:p>
        </w:tc>
        <w:tc>
          <w:tcPr>
            <w:tcW w:type="dxa" w:w="2422"/>
          </w:tcPr>
          <w:p>
            <w:r/>
            <w:r>
              <w:rPr>
                <w:rFonts w:ascii="Times New Roman" w:hAnsi="Times New Roman" w:eastAsia="Times New Roman"/>
                <w:b w:val="0"/>
                <w:i w:val="0"/>
                <w:sz w:val="18"/>
              </w:rPr>
              <w:t>Электрическая постоянная</w:t>
            </w:r>
          </w:p>
        </w:tc>
        <w:tc>
          <w:tcPr>
            <w:tcW w:type="dxa" w:w="2422"/>
          </w:tcPr>
          <w:p>
            <w:r/>
            <w:r>
              <w:rPr>
                <w:rFonts w:ascii="Times New Roman" w:hAnsi="Times New Roman" w:eastAsia="Times New Roman"/>
                <w:b w:val="0"/>
                <w:i w:val="0"/>
                <w:sz w:val="18"/>
              </w:rPr>
              <w:t>Ф/м</w:t>
            </w:r>
          </w:p>
        </w:tc>
        <w:tc>
          <w:tcPr>
            <w:tcW w:type="dxa" w:w="2422"/>
          </w:tcPr>
          <w:p>
            <w:r/>
            <w:r>
              <w:rPr>
                <w:rFonts w:ascii="Times New Roman" w:hAnsi="Times New Roman" w:eastAsia="Times New Roman"/>
                <w:b w:val="0"/>
                <w:i w:val="0"/>
                <w:sz w:val="18"/>
              </w:rPr>
              <w:t>8,85·10⁻¹² Ф/м; Ф (фарад) = Кл/В</w:t>
            </w:r>
          </w:p>
        </w:tc>
      </w:tr>
      <w:tr>
        <w:tc>
          <w:tcPr>
            <w:tcW w:type="dxa" w:w="2422"/>
          </w:tcPr>
          <w:p>
            <w:r/>
            <w:r>
              <w:rPr>
                <w:rFonts w:ascii="Times New Roman" w:hAnsi="Times New Roman" w:eastAsia="Times New Roman"/>
                <w:b w:val="0"/>
                <w:i w:val="0"/>
                <w:sz w:val="18"/>
              </w:rPr>
              <w:t>E</w:t>
            </w:r>
          </w:p>
        </w:tc>
        <w:tc>
          <w:tcPr>
            <w:tcW w:type="dxa" w:w="2422"/>
          </w:tcPr>
          <w:p>
            <w:r/>
            <w:r>
              <w:rPr>
                <w:rFonts w:ascii="Times New Roman" w:hAnsi="Times New Roman" w:eastAsia="Times New Roman"/>
                <w:b w:val="0"/>
                <w:i w:val="0"/>
                <w:sz w:val="18"/>
              </w:rPr>
              <w:t>Напряжённость поля волны</w:t>
            </w:r>
          </w:p>
        </w:tc>
        <w:tc>
          <w:tcPr>
            <w:tcW w:type="dxa" w:w="2422"/>
          </w:tcPr>
          <w:p>
            <w:r/>
            <w:r>
              <w:rPr>
                <w:rFonts w:ascii="Times New Roman" w:hAnsi="Times New Roman" w:eastAsia="Times New Roman"/>
                <w:b w:val="0"/>
                <w:i w:val="0"/>
                <w:sz w:val="18"/>
              </w:rPr>
              <w:t>В/м</w:t>
            </w:r>
          </w:p>
        </w:tc>
        <w:tc>
          <w:tcPr>
            <w:tcW w:type="dxa" w:w="2422"/>
          </w:tcPr>
          <w:p>
            <w:r/>
            <w:r>
              <w:rPr>
                <w:rFonts w:ascii="Times New Roman" w:hAnsi="Times New Roman" w:eastAsia="Times New Roman"/>
                <w:b w:val="0"/>
                <w:i w:val="0"/>
                <w:sz w:val="18"/>
              </w:rPr>
              <w:t>Поле лазерного луча</w:t>
            </w:r>
          </w:p>
        </w:tc>
      </w:tr>
      <w:tr>
        <w:tc>
          <w:tcPr>
            <w:tcW w:type="dxa" w:w="2422"/>
          </w:tcPr>
          <w:p>
            <w:r/>
            <w:r>
              <w:rPr>
                <w:rFonts w:ascii="Times New Roman" w:hAnsi="Times New Roman" w:eastAsia="Times New Roman"/>
                <w:b w:val="0"/>
                <w:i w:val="0"/>
                <w:sz w:val="18"/>
              </w:rPr>
              <w:t>χ⁽¹⁾</w:t>
            </w:r>
          </w:p>
        </w:tc>
        <w:tc>
          <w:tcPr>
            <w:tcW w:type="dxa" w:w="2422"/>
          </w:tcPr>
          <w:p>
            <w:r/>
            <w:r>
              <w:rPr>
                <w:rFonts w:ascii="Times New Roman" w:hAnsi="Times New Roman" w:eastAsia="Times New Roman"/>
                <w:b w:val="0"/>
                <w:i w:val="0"/>
                <w:sz w:val="18"/>
              </w:rPr>
              <w:t>Линейная восприимчивость</w:t>
            </w:r>
          </w:p>
        </w:tc>
        <w:tc>
          <w:tcPr>
            <w:tcW w:type="dxa" w:w="2422"/>
          </w:tcPr>
          <w:p>
            <w:r/>
            <w:r>
              <w:rPr>
                <w:rFonts w:ascii="Times New Roman" w:hAnsi="Times New Roman" w:eastAsia="Times New Roman"/>
                <w:b w:val="0"/>
                <w:i w:val="0"/>
                <w:sz w:val="18"/>
              </w:rPr>
              <w:t>безразм.</w:t>
            </w:r>
          </w:p>
        </w:tc>
        <w:tc>
          <w:tcPr>
            <w:tcW w:type="dxa" w:w="2422"/>
          </w:tcPr>
          <w:p>
            <w:r/>
            <w:r>
              <w:rPr>
                <w:rFonts w:ascii="Times New Roman" w:hAnsi="Times New Roman" w:eastAsia="Times New Roman"/>
                <w:b w:val="0"/>
                <w:i w:val="0"/>
                <w:sz w:val="18"/>
              </w:rPr>
              <w:t>Отвечает за преломление</w:t>
            </w:r>
          </w:p>
        </w:tc>
      </w:tr>
      <w:tr>
        <w:tc>
          <w:tcPr>
            <w:tcW w:type="dxa" w:w="2422"/>
          </w:tcPr>
          <w:p>
            <w:r/>
            <w:r>
              <w:rPr>
                <w:rFonts w:ascii="Times New Roman" w:hAnsi="Times New Roman" w:eastAsia="Times New Roman"/>
                <w:b w:val="0"/>
                <w:i w:val="0"/>
                <w:sz w:val="18"/>
              </w:rPr>
              <w:t>χ⁽²⁾</w:t>
            </w:r>
          </w:p>
        </w:tc>
        <w:tc>
          <w:tcPr>
            <w:tcW w:type="dxa" w:w="2422"/>
          </w:tcPr>
          <w:p>
            <w:r/>
            <w:r>
              <w:rPr>
                <w:rFonts w:ascii="Times New Roman" w:hAnsi="Times New Roman" w:eastAsia="Times New Roman"/>
                <w:b w:val="0"/>
                <w:i w:val="0"/>
                <w:sz w:val="18"/>
              </w:rPr>
              <w:t>Квадратичная восприимчивость</w:t>
            </w:r>
          </w:p>
        </w:tc>
        <w:tc>
          <w:tcPr>
            <w:tcW w:type="dxa" w:w="2422"/>
          </w:tcPr>
          <w:p>
            <w:r/>
            <w:r>
              <w:rPr>
                <w:rFonts w:ascii="Times New Roman" w:hAnsi="Times New Roman" w:eastAsia="Times New Roman"/>
                <w:b w:val="0"/>
                <w:i w:val="0"/>
                <w:sz w:val="18"/>
              </w:rPr>
              <w:t>м/В</w:t>
            </w:r>
          </w:p>
        </w:tc>
        <w:tc>
          <w:tcPr>
            <w:tcW w:type="dxa" w:w="2422"/>
          </w:tcPr>
          <w:p>
            <w:r/>
            <w:r>
              <w:rPr>
                <w:rFonts w:ascii="Times New Roman" w:hAnsi="Times New Roman" w:eastAsia="Times New Roman"/>
                <w:b w:val="0"/>
                <w:i w:val="0"/>
                <w:sz w:val="18"/>
              </w:rPr>
              <w:t>Отвечает за удвоение частоты</w:t>
            </w:r>
          </w:p>
        </w:tc>
      </w:tr>
      <w:tr>
        <w:tc>
          <w:tcPr>
            <w:tcW w:type="dxa" w:w="2422"/>
          </w:tcPr>
          <w:p>
            <w:r/>
            <w:r>
              <w:rPr>
                <w:rFonts w:ascii="Times New Roman" w:hAnsi="Times New Roman" w:eastAsia="Times New Roman"/>
                <w:b w:val="0"/>
                <w:i w:val="0"/>
                <w:sz w:val="18"/>
              </w:rPr>
              <w:t>χ⁽³⁾</w:t>
            </w:r>
          </w:p>
        </w:tc>
        <w:tc>
          <w:tcPr>
            <w:tcW w:type="dxa" w:w="2422"/>
          </w:tcPr>
          <w:p>
            <w:r/>
            <w:r>
              <w:rPr>
                <w:rFonts w:ascii="Times New Roman" w:hAnsi="Times New Roman" w:eastAsia="Times New Roman"/>
                <w:b w:val="0"/>
                <w:i w:val="0"/>
                <w:sz w:val="18"/>
              </w:rPr>
              <w:t>Кубическая восприимчивость</w:t>
            </w:r>
          </w:p>
        </w:tc>
        <w:tc>
          <w:tcPr>
            <w:tcW w:type="dxa" w:w="2422"/>
          </w:tcPr>
          <w:p>
            <w:r/>
            <w:r>
              <w:rPr>
                <w:rFonts w:ascii="Times New Roman" w:hAnsi="Times New Roman" w:eastAsia="Times New Roman"/>
                <w:b w:val="0"/>
                <w:i w:val="0"/>
                <w:sz w:val="18"/>
              </w:rPr>
              <w:t>м²/В²</w:t>
            </w:r>
          </w:p>
        </w:tc>
        <w:tc>
          <w:tcPr>
            <w:tcW w:type="dxa" w:w="2422"/>
          </w:tcPr>
          <w:p>
            <w:r/>
            <w:r>
              <w:rPr>
                <w:rFonts w:ascii="Times New Roman" w:hAnsi="Times New Roman" w:eastAsia="Times New Roman"/>
                <w:b w:val="0"/>
                <w:i w:val="0"/>
                <w:sz w:val="18"/>
              </w:rPr>
              <w:t>Мала, пренебрегаем</w:t>
            </w:r>
          </w:p>
        </w:tc>
      </w:tr>
    </w:tbl>
    <w:p/>
    <w:p>
      <w:pPr>
        <w:spacing w:after="160" w:before="0" w:lineRule="auto" w:line="276"/>
        <w:ind w:firstLine="709"/>
        <w:jc w:val="both"/>
      </w:pPr>
      <w:r>
        <w:rPr>
          <w:rFonts w:ascii="Times New Roman" w:hAnsi="Times New Roman" w:eastAsia="Times New Roman"/>
          <w:b w:val="0"/>
          <w:i w:val="0"/>
          <w:sz w:val="24"/>
        </w:rPr>
        <w:t>Почему в кристалле возникает нелинейность?</w:t>
      </w:r>
    </w:p>
    <w:p>
      <w:pPr>
        <w:spacing w:after="160" w:before="0" w:lineRule="auto" w:line="276"/>
        <w:ind w:firstLine="709"/>
        <w:jc w:val="both"/>
      </w:pPr>
      <w:r>
        <w:rPr>
          <w:rFonts w:ascii="Times New Roman" w:hAnsi="Times New Roman" w:eastAsia="Times New Roman"/>
          <w:b w:val="0"/>
          <w:i w:val="0"/>
          <w:sz w:val="24"/>
        </w:rPr>
        <w:t>В обычной среде — стекле, воздухе, воде — электроны колеблются симметрично относительно положения равновесия. Представьте шарик, лежащий на дне круглой чаши: если его толкнуть, он будет колебаться с той же частотой, что и толчок. Это линейный отклик.</w:t>
      </w:r>
    </w:p>
    <w:p>
      <w:pPr>
        <w:spacing w:after="160" w:before="0" w:lineRule="auto" w:line="276"/>
        <w:ind w:firstLine="709"/>
        <w:jc w:val="both"/>
      </w:pPr>
      <w:r>
        <w:rPr>
          <w:rFonts w:ascii="Times New Roman" w:hAnsi="Times New Roman" w:eastAsia="Times New Roman"/>
          <w:b w:val="0"/>
          <w:i w:val="0"/>
          <w:sz w:val="24"/>
        </w:rPr>
        <w:t>Но в нелинейном кристалле — например, в ниобате лития — ситуация иная. Потенциальная яма здесь — это график зависимости потенциальной энергии электрона от его смещения относительно ядра. В ниобате лития этот график асимметричен: с одной стороны яма круче, с другой — положе.</w:t>
      </w:r>
    </w:p>
    <w:p>
      <w:pPr>
        <w:spacing w:after="160" w:before="0" w:lineRule="auto" w:line="276"/>
        <w:ind w:firstLine="709"/>
        <w:jc w:val="both"/>
      </w:pPr>
      <w:r>
        <w:rPr>
          <w:rFonts w:ascii="Times New Roman" w:hAnsi="Times New Roman" w:eastAsia="Times New Roman"/>
          <w:b w:val="0"/>
          <w:i w:val="0"/>
          <w:sz w:val="24"/>
        </w:rPr>
        <w:t>Представьте шарик в чаше, у которой один край отвесный, а другой — пологий. Если толкнуть шарик, он будет колебаться несимметрично: смещение в одну сторону будет больше, чем в другую.</w:t>
      </w:r>
    </w:p>
    <w:p>
      <w:pPr>
        <w:spacing w:after="160" w:before="0" w:lineRule="auto" w:line="276"/>
        <w:ind w:firstLine="709"/>
        <w:jc w:val="both"/>
      </w:pPr>
      <w:r>
        <w:rPr>
          <w:rFonts w:ascii="Times New Roman" w:hAnsi="Times New Roman" w:eastAsia="Times New Roman"/>
          <w:b w:val="0"/>
          <w:i w:val="0"/>
          <w:sz w:val="24"/>
        </w:rPr>
        <w:t>Это приводит к тому, что отклик электрона на внешнее поле становится нелинейным — он содержит не только основную частоту, но и её гармоники.</w:t>
      </w:r>
    </w:p>
    <w:p>
      <w:pPr>
        <w:spacing w:after="160" w:before="0" w:lineRule="auto" w:line="276"/>
        <w:ind w:firstLine="709"/>
        <w:jc w:val="both"/>
      </w:pPr>
      <w:r>
        <w:rPr>
          <w:rFonts w:ascii="Times New Roman" w:hAnsi="Times New Roman" w:eastAsia="Times New Roman"/>
          <w:b w:val="0"/>
          <w:i w:val="0"/>
          <w:sz w:val="24"/>
        </w:rPr>
        <w:t>Математически это описывается степенным рядом: P = ε₀·(χ⁽¹⁾·E + χ⁽²⁾·E² + χ⁽³⁾·E³ + …).</w:t>
      </w:r>
    </w:p>
    <w:p>
      <w:pPr>
        <w:spacing w:after="160" w:before="0" w:lineRule="auto" w:line="276"/>
        <w:ind w:firstLine="709"/>
        <w:jc w:val="both"/>
      </w:pPr>
      <w:r>
        <w:rPr>
          <w:rFonts w:ascii="Times New Roman" w:hAnsi="Times New Roman" w:eastAsia="Times New Roman"/>
          <w:b w:val="0"/>
          <w:i w:val="0"/>
          <w:sz w:val="24"/>
        </w:rPr>
        <w:t>Расшифровка каждого символа (та же таблица есть на рисунке — с ней можно работать и без презентации): P — поляризация среды (Кл/м²), дипольный момент единицы объёма; ε₀ — электрическая постоянная, 8,85·10⁻¹² Ф/м, где Ф (фарад) = Кл/В (кулон на вольт); E — напряжённость электрического поля волны (В/м); χ⁽¹⁾ — линейная восприимчивость, безразмерная — отвечает за преломление; χ⁽²⁾ — квадратичная восприимчивость (м/В) — отвечает за удвоение частоты; χ⁽³⁾ — кубическая восприимчивость (м²/В²) — мала, ею пренебрегаем.</w:t>
      </w:r>
    </w:p>
    <w:p>
      <w:pPr>
        <w:spacing w:after="160" w:before="0" w:lineRule="auto" w:line="276"/>
        <w:ind w:firstLine="709"/>
        <w:jc w:val="both"/>
      </w:pPr>
      <w:r>
        <w:rPr>
          <w:rFonts w:ascii="Times New Roman" w:hAnsi="Times New Roman" w:eastAsia="Times New Roman"/>
          <w:b w:val="0"/>
          <w:i w:val="0"/>
          <w:sz w:val="24"/>
        </w:rPr>
        <w:t>Важно: индекс в скобках — это порядок нелинейности, а не степень числа.</w:t>
      </w:r>
    </w:p>
    <w:p>
      <w:pPr>
        <w:spacing w:after="160" w:before="0" w:lineRule="auto" w:line="276"/>
        <w:ind w:firstLine="709"/>
        <w:jc w:val="both"/>
      </w:pPr>
      <w:r>
        <w:rPr>
          <w:rFonts w:ascii="Times New Roman" w:hAnsi="Times New Roman" w:eastAsia="Times New Roman"/>
          <w:b w:val="0"/>
          <w:i w:val="0"/>
          <w:sz w:val="24"/>
        </w:rPr>
        <w:t>Почему мы пренебрегаем первым и третьим членами ряда? Первый член — линейный — описывает обычное преломление света. Он важен для понимания того, как волна распространяется в кристалле, но он не создаёт новых частот. Нас интересует именно рождение зелёного света, поэтому этот член мы не рассматриваем в рамках данной задачи.</w:t>
      </w:r>
    </w:p>
    <w:p>
      <w:pPr>
        <w:spacing w:after="160" w:before="0" w:lineRule="auto" w:line="276"/>
        <w:ind w:firstLine="709"/>
        <w:jc w:val="both"/>
      </w:pPr>
      <w:r>
        <w:rPr>
          <w:rFonts w:ascii="Times New Roman" w:hAnsi="Times New Roman" w:eastAsia="Times New Roman"/>
          <w:b w:val="0"/>
          <w:i w:val="0"/>
          <w:sz w:val="24"/>
        </w:rPr>
        <w:t>Третий член (χ⁽³⁾) — кубическая нелинейность. Она отвечает за такие эффекты, как самофокусировка и четырёхволновое смешение. Однако для ниобата лития χ⁽³⁾ на несколько порядков меньше χ⁽²⁾. При умеренных интенсивностях вкладом этого члена можно пренебречь. Он начинает играть роль только при экстремально высоких мощностях.</w:t>
      </w:r>
    </w:p>
    <w:p>
      <w:pPr>
        <w:spacing w:after="160" w:before="0" w:lineRule="auto" w:line="276"/>
        <w:ind w:firstLine="709"/>
        <w:jc w:val="both"/>
      </w:pPr>
      <w:r>
        <w:rPr>
          <w:rFonts w:ascii="Times New Roman" w:hAnsi="Times New Roman" w:eastAsia="Times New Roman"/>
          <w:b w:val="0"/>
          <w:i w:val="0"/>
          <w:sz w:val="24"/>
        </w:rPr>
        <w:t>Таким образом, второй член (χ⁽²⁾·E²) — это единственный член, который эффективно генерирует вторую гармонику в наших условиях. Именно его оставляем.</w:t>
      </w:r>
    </w:p>
    <w:p>
      <w:pPr>
        <w:spacing w:after="160" w:before="0" w:lineRule="auto" w:line="276"/>
        <w:ind w:firstLine="709"/>
        <w:jc w:val="both"/>
      </w:pPr>
      <w:r>
        <w:rPr>
          <w:rFonts w:ascii="Times New Roman" w:hAnsi="Times New Roman" w:eastAsia="Times New Roman"/>
          <w:b w:val="0"/>
          <w:i w:val="0"/>
          <w:sz w:val="24"/>
        </w:rPr>
        <w:t>Пусть на кристалл падает волна с частотой ω: E(t) = E₀·cos(ω·t). Здесь E₀ — амплитуда поля; ω — циклическая частота (рад/с), связана с длиной волны формулой ω = 2πc/λ; t — время (с).</w:t>
      </w:r>
    </w:p>
    <w:p>
      <w:pPr>
        <w:spacing w:after="160" w:before="0" w:lineRule="auto" w:line="276"/>
        <w:ind w:firstLine="709"/>
        <w:jc w:val="both"/>
      </w:pPr>
      <w:r>
        <w:rPr>
          <w:rFonts w:ascii="Times New Roman" w:hAnsi="Times New Roman" w:eastAsia="Times New Roman"/>
          <w:b w:val="0"/>
          <w:i w:val="0"/>
          <w:sz w:val="24"/>
        </w:rPr>
        <w:t>Подставляем это поле во второй член разложения: P⁽²⁾(t) ∝ χ⁽²⁾·E₀²·cos²(ω·t). Знак «∝» читается «пропорционально». Он убирает постоянные множители, чтобы мы видели только форму колебания.</w:t>
      </w:r>
    </w:p>
    <w:p>
      <w:pPr>
        <w:spacing w:after="160" w:before="0" w:lineRule="auto" w:line="276"/>
        <w:ind w:firstLine="709"/>
        <w:jc w:val="both"/>
      </w:pPr>
      <w:r>
        <w:rPr>
          <w:rFonts w:ascii="Times New Roman" w:hAnsi="Times New Roman" w:eastAsia="Times New Roman"/>
          <w:b w:val="0"/>
          <w:i w:val="0"/>
          <w:sz w:val="24"/>
        </w:rPr>
        <w:t>Используем тригонометрическое тождество: cos²(ω·t) = (1 + cos(2ω·t)) / 2.</w:t>
      </w:r>
    </w:p>
    <w:p>
      <w:pPr>
        <w:spacing w:after="160" w:before="0" w:lineRule="auto" w:line="276"/>
        <w:ind w:firstLine="709"/>
        <w:jc w:val="both"/>
      </w:pPr>
      <w:r>
        <w:rPr>
          <w:rFonts w:ascii="Times New Roman" w:hAnsi="Times New Roman" w:eastAsia="Times New Roman"/>
          <w:b w:val="0"/>
          <w:i w:val="0"/>
          <w:sz w:val="24"/>
        </w:rPr>
        <w:t>Физический вывод: первое слагаемое (1/2) — постоянное. Что оно означает физически? Это эффект оптического выпрямления (optical rectification). Под действием мощной световой волны в кристалле возникает постоянное электрическое поле — как если бы свет «выпрямился» и создал напряжение. Это поле не колеблется во времени, а значит, не излучает электромагнитные волны. Оно просто слегка смещает электроны в новое равновесное положение. Для нашей задачи генерации зелёного света это слагаемое бесполезно, и мы его игнорируем.</w:t>
      </w:r>
    </w:p>
    <w:p>
      <w:pPr>
        <w:spacing w:after="160" w:before="0" w:lineRule="auto" w:line="276"/>
        <w:ind w:firstLine="709"/>
        <w:jc w:val="both"/>
      </w:pPr>
      <w:r>
        <w:rPr>
          <w:rFonts w:ascii="Times New Roman" w:hAnsi="Times New Roman" w:eastAsia="Times New Roman"/>
          <w:b w:val="0"/>
          <w:i w:val="0"/>
          <w:sz w:val="24"/>
        </w:rPr>
        <w:t>Второе слагаемое cos(2ωt) означает, что среда колеблется с удвоенной частотой. Энергия фотона удваивается, а длина волны, согласно ω = 2πc/λ, уменьшается ровно в два раза: λ</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1070 нм / 2 = 535 нм.</w:t>
      </w:r>
    </w:p>
    <w:p>
      <w:pPr>
        <w:spacing w:after="160" w:before="0" w:lineRule="auto" w:line="276"/>
        <w:ind w:firstLine="709"/>
        <w:jc w:val="both"/>
      </w:pPr>
      <w:r>
        <w:rPr>
          <w:rFonts w:ascii="Times New Roman" w:hAnsi="Times New Roman" w:eastAsia="Times New Roman"/>
          <w:b w:val="0"/>
          <w:i w:val="0"/>
          <w:sz w:val="24"/>
        </w:rPr>
        <w:t>Теперь — ключевая проблема. Волна накачки (ω) и рождённая зелёная волна (2ω) движутся в кристалле с разными скоростями из-за дисперсии. Они рассинхронизируются, и зелёные волны, рождённые в разных точках кристалла, начинают гасить друг друга.</w:t>
      </w:r>
    </w:p>
    <w:p>
      <w:pPr>
        <w:spacing w:after="160" w:before="0" w:lineRule="auto" w:line="276"/>
        <w:ind w:firstLine="709"/>
        <w:jc w:val="both"/>
      </w:pPr>
      <w:r>
        <w:rPr>
          <w:rFonts w:ascii="Times New Roman" w:hAnsi="Times New Roman" w:eastAsia="Times New Roman"/>
          <w:b w:val="0"/>
          <w:i w:val="0"/>
          <w:sz w:val="24"/>
        </w:rPr>
        <w:t>Для решения этой проблемы мы используем периодически поляризованный ниобат лития (PPLN — Periodically Poled Lithium Niobate). Это кристалл, в котором через каждые Λ микрон направление кристаллической оси перевёрнуто на 180 градусов. Это меняет знак χ⁽²⁾ и компенсирует набег фазы.</w:t>
      </w:r>
    </w:p>
    <w:p>
      <w:pPr>
        <w:spacing w:after="160" w:before="0" w:lineRule="auto" w:line="276"/>
        <w:ind w:firstLine="709"/>
        <w:jc w:val="both"/>
      </w:pPr>
      <w:r>
        <w:rPr>
          <w:rFonts w:ascii="Times New Roman" w:hAnsi="Times New Roman" w:eastAsia="Times New Roman"/>
          <w:b w:val="0"/>
          <w:i w:val="0"/>
          <w:sz w:val="24"/>
        </w:rPr>
        <w:t>Условие синхронизма записывается так: Δk = k</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xml:space="preserve"> − 2k</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2π/Λ. Где k — волновые числа; Λ (прописная греческая лямбда) — период решётки переполяризации (мкм). Для нашей задачи Λ ≈ 6,96 мкм.</w:t>
      </w:r>
    </w:p>
    <w:p>
      <w:pPr>
        <w:spacing w:after="160" w:before="0" w:lineRule="auto" w:line="276"/>
        <w:jc w:val="left"/>
      </w:pPr>
      <w:r>
        <w:rPr>
          <w:rFonts w:ascii="Times New Roman" w:hAnsi="Times New Roman" w:eastAsia="Times New Roman"/>
          <w:b/>
          <w:i w:val="0"/>
          <w:sz w:val="26"/>
        </w:rPr>
        <w:t>6. ПРЕДЛОЖЕНИЕ АВТОРА: ДВУХПРОХОДНАЯ СХЕМА С ТЕРМОКОМПЕНСАЦИЕЙ</w:t>
      </w:r>
    </w:p>
    <w:p>
      <w:pPr>
        <w:spacing w:after="160" w:before="0" w:lineRule="auto" w:line="276"/>
        <w:ind w:firstLine="709"/>
        <w:jc w:val="both"/>
      </w:pPr>
      <w:r>
        <w:rPr>
          <w:rFonts w:ascii="Times New Roman" w:hAnsi="Times New Roman" w:eastAsia="Times New Roman"/>
          <w:b w:val="0"/>
          <w:i w:val="0"/>
          <w:sz w:val="24"/>
        </w:rPr>
        <w:t>Далее — ключевой практический вопрос: почему зелёные лазеры так дороги и что предлагается.</w:t>
      </w:r>
    </w:p>
    <w:p>
      <w:pPr>
        <w:spacing w:after="160" w:before="0" w:lineRule="auto" w:line="276"/>
        <w:ind w:firstLine="709"/>
        <w:jc w:val="both"/>
      </w:pPr>
      <w:r>
        <w:rPr>
          <w:rFonts w:ascii="Times New Roman" w:hAnsi="Times New Roman" w:eastAsia="Times New Roman"/>
          <w:b w:val="0"/>
          <w:i w:val="0"/>
          <w:sz w:val="24"/>
        </w:rPr>
        <w:t>Стандартная схема — однопроходная. Луч проходит через кристалл один раз. КПД преобразования при этом составляет около 10–15 процентов. Для получения 150 ватт зелёного света нужен киловатт инфракрасного. Остальное уходит в тепло.</w:t>
      </w:r>
    </w:p>
    <w:p>
      <w:pPr>
        <w:spacing w:before="160" w:after="80"/>
        <w:jc w:val="center"/>
      </w:pPr>
      <w:r>
        <w:drawing>
          <wp:inline xmlns:a="http://schemas.openxmlformats.org/drawingml/2006/main" xmlns:pic="http://schemas.openxmlformats.org/drawingml/2006/picture">
            <wp:extent cx="5760000" cy="3584000"/>
            <wp:docPr id="25" name="Picture 25"/>
            <wp:cNvGraphicFramePr>
              <a:graphicFrameLocks noChangeAspect="1"/>
            </wp:cNvGraphicFramePr>
            <a:graphic>
              <a:graphicData uri="http://schemas.openxmlformats.org/drawingml/2006/picture">
                <pic:pic>
                  <pic:nvPicPr>
                    <pic:cNvPr id="0" name="ch5_twopass.png"/>
                    <pic:cNvPicPr/>
                  </pic:nvPicPr>
                  <pic:blipFill>
                    <a:blip r:embed="rId33"/>
                    <a:stretch>
                      <a:fillRect/>
                    </a:stretch>
                  </pic:blipFill>
                  <pic:spPr>
                    <a:xfrm>
                      <a:off x="0" y="0"/>
                      <a:ext cx="5760000" cy="3584000"/>
                    </a:xfrm>
                    <a:prstGeom prst="rect"/>
                  </pic:spPr>
                </pic:pic>
              </a:graphicData>
            </a:graphic>
          </wp:inline>
        </w:drawing>
      </w:r>
    </w:p>
    <w:p>
      <w:pPr>
        <w:spacing w:after="200"/>
        <w:jc w:val="center"/>
      </w:pPr>
      <w:r>
        <w:rPr>
          <w:rFonts w:ascii="Times New Roman" w:hAnsi="Times New Roman" w:eastAsia="Times New Roman"/>
          <w:b w:val="0"/>
          <w:i/>
          <w:sz w:val="20"/>
        </w:rPr>
        <w:t>Рис. 5.7. Двухпроходная схема с активной клиновидной термокомпенсацией</w:t>
      </w:r>
    </w:p>
    <w:p>
      <w:pPr>
        <w:spacing w:before="160" w:after="80"/>
        <w:jc w:val="center"/>
      </w:pPr>
      <w:r>
        <w:drawing>
          <wp:inline xmlns:a="http://schemas.openxmlformats.org/drawingml/2006/main" xmlns:pic="http://schemas.openxmlformats.org/drawingml/2006/picture">
            <wp:extent cx="5040000" cy="3195000"/>
            <wp:docPr id="26" name="Picture 26"/>
            <wp:cNvGraphicFramePr>
              <a:graphicFrameLocks noChangeAspect="1"/>
            </wp:cNvGraphicFramePr>
            <a:graphic>
              <a:graphicData uri="http://schemas.openxmlformats.org/drawingml/2006/picture">
                <pic:pic>
                  <pic:nvPicPr>
                    <pic:cNvPr id="0" name="ch5_sinc2.png"/>
                    <pic:cNvPicPr/>
                  </pic:nvPicPr>
                  <pic:blipFill>
                    <a:blip r:embed="rId34"/>
                    <a:stretch>
                      <a:fillRect/>
                    </a:stretch>
                  </pic:blipFill>
                  <pic:spPr>
                    <a:xfrm>
                      <a:off x="0" y="0"/>
                      <a:ext cx="5040000" cy="3195000"/>
                    </a:xfrm>
                    <a:prstGeom prst="rect"/>
                  </pic:spPr>
                </pic:pic>
              </a:graphicData>
            </a:graphic>
          </wp:inline>
        </w:drawing>
      </w:r>
    </w:p>
    <w:p>
      <w:pPr>
        <w:spacing w:after="200"/>
        <w:jc w:val="center"/>
      </w:pPr>
      <w:r>
        <w:rPr>
          <w:rFonts w:ascii="Times New Roman" w:hAnsi="Times New Roman" w:eastAsia="Times New Roman"/>
          <w:b w:val="0"/>
          <w:i/>
          <w:sz w:val="20"/>
        </w:rPr>
        <w:t>Рис. 5.8. Функция sinc²(Δk·L/2): максимум при синхронизме и гашение при рассогласовании фаз</w:t>
      </w:r>
    </w:p>
    <w:p>
      <w:pPr>
        <w:spacing w:before="160" w:after="80"/>
        <w:jc w:val="center"/>
      </w:pPr>
      <w:r>
        <w:drawing>
          <wp:inline xmlns:a="http://schemas.openxmlformats.org/drawingml/2006/main" xmlns:pic="http://schemas.openxmlformats.org/drawingml/2006/picture">
            <wp:extent cx="5760000" cy="1184000"/>
            <wp:docPr id="27" name="Picture 27"/>
            <wp:cNvGraphicFramePr>
              <a:graphicFrameLocks noChangeAspect="1"/>
            </wp:cNvGraphicFramePr>
            <a:graphic>
              <a:graphicData uri="http://schemas.openxmlformats.org/drawingml/2006/picture">
                <pic:pic>
                  <pic:nvPicPr>
                    <pic:cNvPr id="0" name="ch5_eta.png"/>
                    <pic:cNvPicPr/>
                  </pic:nvPicPr>
                  <pic:blipFill>
                    <a:blip r:embed="rId35"/>
                    <a:stretch>
                      <a:fillRect/>
                    </a:stretch>
                  </pic:blipFill>
                  <pic:spPr>
                    <a:xfrm>
                      <a:off x="0" y="0"/>
                      <a:ext cx="5760000" cy="1184000"/>
                    </a:xfrm>
                    <a:prstGeom prst="rect"/>
                  </pic:spPr>
                </pic:pic>
              </a:graphicData>
            </a:graphic>
          </wp:inline>
        </w:drawing>
      </w:r>
    </w:p>
    <w:p>
      <w:pPr>
        <w:spacing w:after="200"/>
        <w:jc w:val="center"/>
      </w:pPr>
      <w:r>
        <w:rPr>
          <w:rFonts w:ascii="Times New Roman" w:hAnsi="Times New Roman" w:eastAsia="Times New Roman"/>
          <w:b w:val="0"/>
          <w:i/>
          <w:sz w:val="20"/>
        </w:rPr>
        <w:t>Рис. 5.9. Эффективность преобразования η в приближении неистощённой накачки</w:t>
      </w:r>
    </w:p>
    <w:p>
      <w:pPr>
        <w:spacing w:before="160" w:after="80"/>
        <w:jc w:val="center"/>
      </w:pPr>
      <w:r>
        <w:rPr>
          <w:rFonts w:ascii="Times New Roman" w:hAnsi="Times New Roman" w:eastAsia="Times New Roman"/>
          <w:b w:val="0"/>
          <w:i/>
          <w:sz w:val="20"/>
        </w:rPr>
        <w:t>Таблица 5.4. Символы формулы эффективности преобразования η</w:t>
      </w:r>
    </w:p>
    <w:tbl>
      <w:tblPr>
        <w:tblStyle w:val="TableGrid"/>
        <w:tblW w:type="auto" w:w="0"/>
        <w:jc w:val="center"/>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i w:val="0"/>
                <w:sz w:val="18"/>
              </w:rPr>
              <w:t>Символ</w:t>
            </w:r>
          </w:p>
        </w:tc>
        <w:tc>
          <w:tcPr>
            <w:tcW w:type="dxa" w:w="3230"/>
          </w:tcPr>
          <w:p>
            <w:r/>
            <w:r>
              <w:rPr>
                <w:rFonts w:ascii="Times New Roman" w:hAnsi="Times New Roman" w:eastAsia="Times New Roman"/>
                <w:b/>
                <w:i w:val="0"/>
                <w:sz w:val="18"/>
              </w:rPr>
              <w:t>Название</w:t>
            </w:r>
          </w:p>
        </w:tc>
        <w:tc>
          <w:tcPr>
            <w:tcW w:type="dxa" w:w="3230"/>
          </w:tcPr>
          <w:p>
            <w:r/>
            <w:r>
              <w:rPr>
                <w:rFonts w:ascii="Times New Roman" w:hAnsi="Times New Roman" w:eastAsia="Times New Roman"/>
                <w:b/>
                <w:i w:val="0"/>
                <w:sz w:val="18"/>
              </w:rPr>
              <w:t>Физический смысл</w:t>
            </w:r>
          </w:p>
        </w:tc>
      </w:tr>
      <w:tr>
        <w:tc>
          <w:tcPr>
            <w:tcW w:type="dxa" w:w="3230"/>
          </w:tcPr>
          <w:p>
            <w:r/>
            <w:r>
              <w:rPr>
                <w:rFonts w:ascii="Times New Roman" w:hAnsi="Times New Roman" w:eastAsia="Times New Roman"/>
                <w:b w:val="0"/>
                <w:i w:val="0"/>
                <w:sz w:val="18"/>
              </w:rPr>
              <w:t>η</w:t>
            </w:r>
          </w:p>
        </w:tc>
        <w:tc>
          <w:tcPr>
            <w:tcW w:type="dxa" w:w="3230"/>
          </w:tcPr>
          <w:p>
            <w:r/>
            <w:r>
              <w:rPr>
                <w:rFonts w:ascii="Times New Roman" w:hAnsi="Times New Roman" w:eastAsia="Times New Roman"/>
                <w:b w:val="0"/>
                <w:i w:val="0"/>
                <w:sz w:val="18"/>
              </w:rPr>
              <w:t>Эффективность</w:t>
            </w:r>
          </w:p>
        </w:tc>
        <w:tc>
          <w:tcPr>
            <w:tcW w:type="dxa" w:w="3230"/>
          </w:tcPr>
          <w:p>
            <w:r/>
            <w:r>
              <w:rPr>
                <w:rFonts w:ascii="Times New Roman" w:hAnsi="Times New Roman" w:eastAsia="Times New Roman"/>
                <w:b w:val="0"/>
                <w:i w:val="0"/>
                <w:sz w:val="18"/>
              </w:rPr>
              <w:t>Отношение P</w:t>
            </w:r>
            <w:r>
              <w:rPr>
                <w:rFonts w:ascii="Times New Roman" w:hAnsi="Times New Roman" w:eastAsia="Times New Roman"/>
                <w:b w:val="0"/>
                <w:i w:val="0"/>
                <w:sz w:val="18"/>
                <w:vertAlign w:val="subscript"/>
              </w:rPr>
              <w:t>2ω</w:t>
            </w:r>
            <w:r>
              <w:rPr>
                <w:rFonts w:ascii="Times New Roman" w:hAnsi="Times New Roman" w:eastAsia="Times New Roman"/>
                <w:b w:val="0"/>
                <w:i w:val="0"/>
                <w:sz w:val="18"/>
              </w:rPr>
              <w:t xml:space="preserve"> / P</w:t>
            </w:r>
            <w:r>
              <w:rPr>
                <w:rFonts w:ascii="Times New Roman" w:hAnsi="Times New Roman" w:eastAsia="Times New Roman"/>
                <w:b w:val="0"/>
                <w:i w:val="0"/>
                <w:sz w:val="18"/>
                <w:vertAlign w:val="subscript"/>
              </w:rPr>
              <w:t>ω</w:t>
            </w:r>
          </w:p>
        </w:tc>
      </w:tr>
      <w:tr>
        <w:tc>
          <w:tcPr>
            <w:tcW w:type="dxa" w:w="3230"/>
          </w:tcPr>
          <w:p>
            <w:r/>
            <w:r>
              <w:rPr>
                <w:rFonts w:ascii="Times New Roman" w:hAnsi="Times New Roman" w:eastAsia="Times New Roman"/>
                <w:b w:val="0"/>
                <w:i w:val="0"/>
                <w:sz w:val="18"/>
              </w:rPr>
              <w:t>d</w:t>
            </w:r>
            <w:r>
              <w:rPr>
                <w:rFonts w:ascii="Times New Roman" w:hAnsi="Times New Roman" w:eastAsia="Times New Roman"/>
                <w:b w:val="0"/>
                <w:i w:val="0"/>
                <w:sz w:val="18"/>
                <w:vertAlign w:val="subscript"/>
              </w:rPr>
              <w:t>eff</w:t>
            </w:r>
          </w:p>
        </w:tc>
        <w:tc>
          <w:tcPr>
            <w:tcW w:type="dxa" w:w="3230"/>
          </w:tcPr>
          <w:p>
            <w:r/>
            <w:r>
              <w:rPr>
                <w:rFonts w:ascii="Times New Roman" w:hAnsi="Times New Roman" w:eastAsia="Times New Roman"/>
                <w:b w:val="0"/>
                <w:i w:val="0"/>
                <w:sz w:val="18"/>
              </w:rPr>
              <w:t>Эффективная нелинейность</w:t>
            </w:r>
          </w:p>
        </w:tc>
        <w:tc>
          <w:tcPr>
            <w:tcW w:type="dxa" w:w="3230"/>
          </w:tcPr>
          <w:p>
            <w:r/>
            <w:r>
              <w:rPr>
                <w:rFonts w:ascii="Times New Roman" w:hAnsi="Times New Roman" w:eastAsia="Times New Roman"/>
                <w:b w:val="0"/>
                <w:i w:val="0"/>
                <w:sz w:val="18"/>
              </w:rPr>
              <w:t>для MgO:PPLN d₃₃ ≈ 25 пм/В</w:t>
            </w:r>
          </w:p>
        </w:tc>
      </w:tr>
      <w:tr>
        <w:tc>
          <w:tcPr>
            <w:tcW w:type="dxa" w:w="3230"/>
          </w:tcPr>
          <w:p>
            <w:r/>
            <w:r>
              <w:rPr>
                <w:rFonts w:ascii="Times New Roman" w:hAnsi="Times New Roman" w:eastAsia="Times New Roman"/>
                <w:b w:val="0"/>
                <w:i w:val="0"/>
                <w:sz w:val="18"/>
              </w:rPr>
              <w:t>L</w:t>
            </w:r>
          </w:p>
        </w:tc>
        <w:tc>
          <w:tcPr>
            <w:tcW w:type="dxa" w:w="3230"/>
          </w:tcPr>
          <w:p>
            <w:r/>
            <w:r>
              <w:rPr>
                <w:rFonts w:ascii="Times New Roman" w:hAnsi="Times New Roman" w:eastAsia="Times New Roman"/>
                <w:b w:val="0"/>
                <w:i w:val="0"/>
                <w:sz w:val="18"/>
              </w:rPr>
              <w:t>Длина кристалла</w:t>
            </w:r>
          </w:p>
        </w:tc>
        <w:tc>
          <w:tcPr>
            <w:tcW w:type="dxa" w:w="3230"/>
          </w:tcPr>
          <w:p>
            <w:r/>
            <w:r>
              <w:rPr>
                <w:rFonts w:ascii="Times New Roman" w:hAnsi="Times New Roman" w:eastAsia="Times New Roman"/>
                <w:b w:val="0"/>
                <w:i w:val="0"/>
                <w:sz w:val="18"/>
              </w:rPr>
              <w:t>мм (здесь 50 мм)</w:t>
            </w:r>
          </w:p>
        </w:tc>
      </w:tr>
      <w:tr>
        <w:tc>
          <w:tcPr>
            <w:tcW w:type="dxa" w:w="3230"/>
          </w:tcPr>
          <w:p>
            <w:r/>
            <w:r>
              <w:rPr>
                <w:rFonts w:ascii="Times New Roman" w:hAnsi="Times New Roman" w:eastAsia="Times New Roman"/>
                <w:b w:val="0"/>
                <w:i w:val="0"/>
                <w:sz w:val="18"/>
              </w:rPr>
              <w:t>n</w:t>
            </w:r>
            <w:r>
              <w:rPr>
                <w:rFonts w:ascii="Times New Roman" w:hAnsi="Times New Roman" w:eastAsia="Times New Roman"/>
                <w:b w:val="0"/>
                <w:i w:val="0"/>
                <w:sz w:val="18"/>
                <w:vertAlign w:val="subscript"/>
              </w:rPr>
              <w:t>ω</w:t>
            </w:r>
            <w:r>
              <w:rPr>
                <w:rFonts w:ascii="Times New Roman" w:hAnsi="Times New Roman" w:eastAsia="Times New Roman"/>
                <w:b w:val="0"/>
                <w:i w:val="0"/>
                <w:sz w:val="18"/>
              </w:rPr>
              <w:t>, n</w:t>
            </w:r>
            <w:r>
              <w:rPr>
                <w:rFonts w:ascii="Times New Roman" w:hAnsi="Times New Roman" w:eastAsia="Times New Roman"/>
                <w:b w:val="0"/>
                <w:i w:val="0"/>
                <w:sz w:val="18"/>
                <w:vertAlign w:val="subscript"/>
              </w:rPr>
              <w:t>2ω</w:t>
            </w:r>
          </w:p>
        </w:tc>
        <w:tc>
          <w:tcPr>
            <w:tcW w:type="dxa" w:w="3230"/>
          </w:tcPr>
          <w:p>
            <w:r/>
            <w:r>
              <w:rPr>
                <w:rFonts w:ascii="Times New Roman" w:hAnsi="Times New Roman" w:eastAsia="Times New Roman"/>
                <w:b w:val="0"/>
                <w:i w:val="0"/>
                <w:sz w:val="18"/>
              </w:rPr>
              <w:t>Показатели преломления</w:t>
            </w:r>
          </w:p>
        </w:tc>
        <w:tc>
          <w:tcPr>
            <w:tcW w:type="dxa" w:w="3230"/>
          </w:tcPr>
          <w:p>
            <w:r/>
            <w:r>
              <w:rPr>
                <w:rFonts w:ascii="Times New Roman" w:hAnsi="Times New Roman" w:eastAsia="Times New Roman"/>
                <w:b w:val="0"/>
                <w:i w:val="0"/>
                <w:sz w:val="18"/>
              </w:rPr>
              <w:t>≈ 2,13 и ≈ 2,23</w:t>
            </w:r>
          </w:p>
        </w:tc>
      </w:tr>
      <w:tr>
        <w:tc>
          <w:tcPr>
            <w:tcW w:type="dxa" w:w="3230"/>
          </w:tcPr>
          <w:p>
            <w:r/>
            <w:r>
              <w:rPr>
                <w:rFonts w:ascii="Times New Roman" w:hAnsi="Times New Roman" w:eastAsia="Times New Roman"/>
                <w:b w:val="0"/>
                <w:i w:val="0"/>
                <w:sz w:val="18"/>
              </w:rPr>
              <w:t>A</w:t>
            </w:r>
          </w:p>
        </w:tc>
        <w:tc>
          <w:tcPr>
            <w:tcW w:type="dxa" w:w="3230"/>
          </w:tcPr>
          <w:p>
            <w:r/>
            <w:r>
              <w:rPr>
                <w:rFonts w:ascii="Times New Roman" w:hAnsi="Times New Roman" w:eastAsia="Times New Roman"/>
                <w:b w:val="0"/>
                <w:i w:val="0"/>
                <w:sz w:val="18"/>
              </w:rPr>
              <w:t>Площадь пятна</w:t>
            </w:r>
          </w:p>
        </w:tc>
        <w:tc>
          <w:tcPr>
            <w:tcW w:type="dxa" w:w="3230"/>
          </w:tcPr>
          <w:p>
            <w:r/>
            <w:r>
              <w:rPr>
                <w:rFonts w:ascii="Times New Roman" w:hAnsi="Times New Roman" w:eastAsia="Times New Roman"/>
                <w:b w:val="0"/>
                <w:i w:val="0"/>
                <w:sz w:val="18"/>
              </w:rPr>
              <w:t>мм²</w:t>
            </w:r>
          </w:p>
        </w:tc>
      </w:tr>
    </w:tbl>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активной термокомпенсацией.</w:t>
      </w:r>
    </w:p>
    <w:p>
      <w:pPr>
        <w:spacing w:after="160" w:before="0" w:lineRule="auto" w:line="276"/>
        <w:ind w:firstLine="709"/>
        <w:jc w:val="both"/>
      </w:pPr>
      <w:r>
        <w:rPr>
          <w:rFonts w:ascii="Times New Roman" w:hAnsi="Times New Roman" w:eastAsia="Times New Roman"/>
          <w:b w:val="0"/>
          <w:i w:val="0"/>
          <w:sz w:val="24"/>
        </w:rPr>
        <w:t>Прежде чем описывать схему, важно оговорить: двухпроходная схема сама по себе не является уникальной. Исследования в этой области ведутся с 1998 года. В классической работе Имешева и Феджера (Imeshev, Fejer) была предложена и экспериментально проверена двухпроходная схема с клиновидным кристаллом для компенсации фазовых сдвигов, вносимых зеркалами. В их эксперименте с 5-сантиметровым кристаллом PPLN было показано ожидаемое увеличение эффективности преобразования.</w:t>
      </w:r>
    </w:p>
    <w:p>
      <w:pPr>
        <w:spacing w:after="160" w:before="0" w:lineRule="auto" w:line="276"/>
        <w:ind w:firstLine="709"/>
        <w:jc w:val="both"/>
      </w:pPr>
      <w:r>
        <w:rPr>
          <w:rFonts w:ascii="Times New Roman" w:hAnsi="Times New Roman" w:eastAsia="Times New Roman"/>
          <w:b w:val="0"/>
          <w:i w:val="0"/>
          <w:sz w:val="24"/>
        </w:rPr>
        <w:t>Что именно является предложением этой главы? Предложение автора — это применение двухпроходной схемы с активной клиновидной термокомпенсацией для мощных непрерывных волоконных лазеров (1 кВт и выше) с целью обработки меди в аддитивных технологиях. Вот что здесь нового:</w:t>
      </w:r>
    </w:p>
    <w:p>
      <w:pPr>
        <w:spacing w:after="160" w:before="0" w:lineRule="auto" w:line="276"/>
        <w:ind w:firstLine="709"/>
        <w:jc w:val="both"/>
      </w:pPr>
      <w:r>
        <w:rPr>
          <w:rFonts w:ascii="Times New Roman" w:hAnsi="Times New Roman" w:eastAsia="Times New Roman"/>
          <w:b w:val="0"/>
          <w:i w:val="0"/>
          <w:sz w:val="24"/>
        </w:rPr>
        <w:t>1. Масштаб мощности: существующие работы с двухпроходными схемами выполнены на маломощных лазерах. При переходе к киловаттному уровню возникает проблема тепловой деградации кристалла, которую стандартные схемы не решают.</w:t>
      </w:r>
    </w:p>
    <w:p>
      <w:pPr>
        <w:spacing w:after="160" w:before="0" w:lineRule="auto" w:line="276"/>
        <w:ind w:firstLine="709"/>
        <w:jc w:val="both"/>
      </w:pPr>
      <w:r>
        <w:rPr>
          <w:rFonts w:ascii="Times New Roman" w:hAnsi="Times New Roman" w:eastAsia="Times New Roman"/>
          <w:b w:val="0"/>
          <w:i w:val="0"/>
          <w:sz w:val="24"/>
        </w:rPr>
        <w:t>2. Активная клиновидная компенсация: вместо пассивной термостабилизации кристалла в печи предлагается использовать подвижную клиновидную пластину из плавленого кварца, которая механически подстраивает фазу в реальном времени, компенсируя тепловые искажения.</w:t>
      </w:r>
    </w:p>
    <w:p>
      <w:pPr>
        <w:spacing w:after="160" w:before="0" w:lineRule="auto" w:line="276"/>
        <w:ind w:firstLine="709"/>
        <w:jc w:val="both"/>
      </w:pPr>
      <w:r>
        <w:rPr>
          <w:rFonts w:ascii="Times New Roman" w:hAnsi="Times New Roman" w:eastAsia="Times New Roman"/>
          <w:b w:val="0"/>
          <w:i w:val="0"/>
          <w:sz w:val="24"/>
        </w:rPr>
        <w:t>Целевое применение: фокус именно на аддитивных технологиях для меди, где требуется высокая стабильность мощности в течение длительного времени.</w:t>
      </w:r>
    </w:p>
    <w:p>
      <w:pPr>
        <w:spacing w:after="160" w:before="0" w:lineRule="auto" w:line="276"/>
        <w:ind w:firstLine="709"/>
        <w:jc w:val="both"/>
      </w:pPr>
      <w:r>
        <w:rPr>
          <w:rFonts w:ascii="Times New Roman" w:hAnsi="Times New Roman" w:eastAsia="Times New Roman"/>
          <w:b w:val="0"/>
          <w:i w:val="0"/>
          <w:sz w:val="24"/>
        </w:rPr>
        <w:t>Важное уточнение: печь и клин — это не альтернативы, а дополнения.</w:t>
      </w:r>
    </w:p>
    <w:p>
      <w:pPr>
        <w:spacing w:after="160" w:before="0" w:lineRule="auto" w:line="276"/>
        <w:ind w:firstLine="709"/>
        <w:jc w:val="both"/>
      </w:pPr>
      <w:r>
        <w:rPr>
          <w:rFonts w:ascii="Times New Roman" w:hAnsi="Times New Roman" w:eastAsia="Times New Roman"/>
          <w:b w:val="0"/>
          <w:i w:val="0"/>
          <w:sz w:val="24"/>
        </w:rPr>
        <w:t>Печь (термостабилизация кристалла) нужна в любом случае. Квазифазовый синхронизм в PPLN критически зависит от температуры: при изменении температуры на 1 °C меняется показатель преломления, и условие синхронизма нарушается. Поэтому кристалл обязательно помещают в термостабилизированную печь с точностью ±0,1 °C. Без неё КПД упадёт с 15% до почти нуля.</w:t>
      </w:r>
    </w:p>
    <w:p>
      <w:pPr>
        <w:spacing w:after="160" w:before="0" w:lineRule="auto" w:line="276"/>
        <w:ind w:firstLine="709"/>
        <w:jc w:val="both"/>
      </w:pPr>
      <w:r>
        <w:rPr>
          <w:rFonts w:ascii="Times New Roman" w:hAnsi="Times New Roman" w:eastAsia="Times New Roman"/>
          <w:b w:val="0"/>
          <w:i w:val="0"/>
          <w:sz w:val="24"/>
        </w:rPr>
        <w:t>Кварцевый клин решает другую задачу — компенсацию фазового сдвига между прямым и обратным проходом в двухпроходной схеме. Когда луч отражается от зеркала и идёт обратно через кристалл, он накапливает дополнительный фазовый сдвиг. Клин позволяет этот сдвиг скомпенсировать, чтобы оба прохода работали синфазно.</w:t>
      </w:r>
    </w:p>
    <w:p>
      <w:pPr>
        <w:spacing w:after="160" w:before="0" w:lineRule="auto" w:line="276"/>
        <w:ind w:firstLine="709"/>
        <w:jc w:val="both"/>
      </w:pPr>
      <w:r>
        <w:rPr>
          <w:rFonts w:ascii="Times New Roman" w:hAnsi="Times New Roman" w:eastAsia="Times New Roman"/>
          <w:b w:val="0"/>
          <w:i w:val="0"/>
          <w:sz w:val="24"/>
        </w:rPr>
        <w:t>Почему именно плавленый кварц? Выбор материала для клиновидной пластины — это не произвольное решение. Логика выбора материала:</w:t>
      </w:r>
    </w:p>
    <w:p>
      <w:pPr>
        <w:spacing w:after="160" w:before="0" w:lineRule="auto" w:line="276"/>
        <w:ind w:firstLine="709"/>
        <w:jc w:val="both"/>
      </w:pPr>
      <w:r>
        <w:rPr>
          <w:rFonts w:ascii="Times New Roman" w:hAnsi="Times New Roman" w:eastAsia="Times New Roman"/>
          <w:b w:val="0"/>
          <w:i w:val="0"/>
          <w:sz w:val="24"/>
        </w:rPr>
        <w:t>Аргумент 1: Известные оптические свойства. Плавленый кварц (fused silica) — это один из самых изученных оптических материалов. Его показатель преломления и его температурная зависимость (термооптический коэффициент dn/dT) измерены с высокой точностью. Например, в работе NASA Goddard Space Flight Center (2013) абсолютный показатель преломления плавленого кварца измерен с точностью до ±1·10⁻⁵ в диапазоне от 0,4 до 2,6 мкм. Это означает, что можно точно рассчитать, как пластина будет влиять на фазу.</w:t>
      </w:r>
    </w:p>
    <w:p>
      <w:pPr>
        <w:spacing w:after="160" w:before="0" w:lineRule="auto" w:line="276"/>
        <w:ind w:firstLine="709"/>
        <w:jc w:val="both"/>
      </w:pPr>
      <w:r>
        <w:rPr>
          <w:rFonts w:ascii="Times New Roman" w:hAnsi="Times New Roman" w:eastAsia="Times New Roman"/>
          <w:b w:val="0"/>
          <w:i w:val="0"/>
          <w:sz w:val="24"/>
        </w:rPr>
        <w:t>Аргумент 2: Положительный термооптический коэффициент. Исследования 1971 года показали, что термооптический коэффициент плавленого кварца положителен и составляет около +9·10⁻⁶ К⁻¹ при комнатной температуре. Это критически важно: при нагреве показатель преломления увеличивается, что позволяет компенсировать тепловые искажения в кристалле PPLN.</w:t>
      </w:r>
    </w:p>
    <w:p>
      <w:pPr>
        <w:spacing w:after="160" w:before="0" w:lineRule="auto" w:line="276"/>
        <w:ind w:firstLine="709"/>
        <w:jc w:val="both"/>
      </w:pPr>
      <w:r>
        <w:rPr>
          <w:rFonts w:ascii="Times New Roman" w:hAnsi="Times New Roman" w:eastAsia="Times New Roman"/>
          <w:b w:val="0"/>
          <w:i w:val="0"/>
          <w:sz w:val="24"/>
        </w:rPr>
        <w:t>Аргумент 3: Прозрачность в нужном диапазоне. Плавленый кварц прозрачен как для инфракрасного излучения 1070 нм, так и для зелёного 535 нм. Это означает, что клиновидная пластина может стоять на пути луча без существенных потерь.</w:t>
      </w:r>
    </w:p>
    <w:p>
      <w:pPr>
        <w:spacing w:after="160" w:before="0" w:lineRule="auto" w:line="276"/>
        <w:ind w:firstLine="709"/>
        <w:jc w:val="both"/>
      </w:pPr>
      <w:r>
        <w:rPr>
          <w:rFonts w:ascii="Times New Roman" w:hAnsi="Times New Roman" w:eastAsia="Times New Roman"/>
          <w:b w:val="0"/>
          <w:i w:val="0"/>
          <w:sz w:val="24"/>
        </w:rPr>
        <w:t>Аргумент 4: Технологичность. Плавленый кварц легко обрабатывается, шлифуется и полируется. Из него можно изготовить клин с высокой точностью угла.</w:t>
      </w:r>
    </w:p>
    <w:p>
      <w:pPr>
        <w:spacing w:after="160" w:before="0" w:lineRule="auto" w:line="276"/>
        <w:ind w:firstLine="709"/>
        <w:jc w:val="both"/>
      </w:pPr>
      <w:r>
        <w:rPr>
          <w:rFonts w:ascii="Times New Roman" w:hAnsi="Times New Roman" w:eastAsia="Times New Roman"/>
          <w:b w:val="0"/>
          <w:i w:val="0"/>
          <w:sz w:val="24"/>
        </w:rPr>
        <w:t>Аргумент 5: Прецедент в литературе. В работе Имешева и Феджера (1998) для компенсации фазовых сдвигов использовался именно клиновидный элемент. Хотя в той работе клин был изготовлен из самого нелинейного кристалла, сама идея использования клина для фазовой компенсации подтверждена экспериментально. Предложение автора — использовать отдельный клин из плавленого кварца, что технологически проще и дешевле.</w:t>
      </w:r>
    </w:p>
    <w:p>
      <w:pPr>
        <w:spacing w:after="160" w:before="0" w:lineRule="auto" w:line="276"/>
        <w:ind w:firstLine="709"/>
        <w:jc w:val="both"/>
      </w:pPr>
      <w:r>
        <w:rPr>
          <w:rFonts w:ascii="Times New Roman" w:hAnsi="Times New Roman" w:eastAsia="Times New Roman"/>
          <w:b w:val="0"/>
          <w:i w:val="0"/>
          <w:sz w:val="24"/>
        </w:rPr>
        <w:t>Таким образом, выбор плавленого кварца обоснован как с точки зрения его известных оптических свойств, так и с точки зрения технологичности и наличия прецедентов в литературе.</w:t>
      </w:r>
    </w:p>
    <w:p>
      <w:pPr>
        <w:spacing w:after="160" w:before="0" w:lineRule="auto" w:line="276"/>
        <w:ind w:firstLine="709"/>
        <w:jc w:val="both"/>
      </w:pPr>
      <w:r>
        <w:rPr>
          <w:rFonts w:ascii="Times New Roman" w:hAnsi="Times New Roman" w:eastAsia="Times New Roman"/>
          <w:b w:val="0"/>
          <w:i w:val="0"/>
          <w:sz w:val="24"/>
        </w:rPr>
        <w:t>Сравним предложенную схему с работой Имешева и Феджера подробнее. Цель и там, и там одна: скомпенсировать фазовый сдвиг, который накапливается между прямым и обратным проходом из-за отражения от зеркала. Это одна и та же физическая задача. Различия — в реализации, и они принципиальны.</w:t>
      </w:r>
    </w:p>
    <w:p>
      <w:pPr>
        <w:spacing w:after="160" w:before="0" w:lineRule="auto" w:line="276"/>
        <w:ind w:firstLine="709"/>
        <w:jc w:val="both"/>
      </w:pPr>
      <w:r>
        <w:rPr>
          <w:rFonts w:ascii="Times New Roman" w:hAnsi="Times New Roman" w:eastAsia="Times New Roman"/>
          <w:b w:val="0"/>
          <w:i w:val="0"/>
          <w:sz w:val="24"/>
        </w:rPr>
        <w:t>Различие первое — где стоит компенсирующий клин. У Имешева клин — это сам нелинейный кристалл PPLN (периодически поляризованный ниобат лития). В предложенной схеме клин — отдельная пластина из плавленого кварца, стоящая вне кристалла.</w:t>
      </w:r>
    </w:p>
    <w:p>
      <w:pPr>
        <w:spacing w:after="160" w:before="0" w:lineRule="auto" w:line="276"/>
        <w:ind w:firstLine="709"/>
        <w:jc w:val="both"/>
      </w:pPr>
      <w:r>
        <w:rPr>
          <w:rFonts w:ascii="Times New Roman" w:hAnsi="Times New Roman" w:eastAsia="Times New Roman"/>
          <w:b w:val="0"/>
          <w:i w:val="0"/>
          <w:sz w:val="24"/>
        </w:rPr>
        <w:t>Различие второе — активность компенсации. У Имешева клин пассивный: угол задан при изготовлении, и после этого изменить его нельзя. В предложенной схеме клин подвижный: его можно смещать в реальном времени, подстраивая фазу.</w:t>
      </w:r>
    </w:p>
    <w:p>
      <w:pPr>
        <w:spacing w:after="160" w:before="0" w:lineRule="auto" w:line="276"/>
        <w:ind w:firstLine="709"/>
        <w:jc w:val="both"/>
      </w:pPr>
      <w:r>
        <w:rPr>
          <w:rFonts w:ascii="Times New Roman" w:hAnsi="Times New Roman" w:eastAsia="Times New Roman"/>
          <w:b w:val="0"/>
          <w:i w:val="0"/>
          <w:sz w:val="24"/>
        </w:rPr>
        <w:t>Почему при мощностях 1 киловатт и выше выигрывает предложенная схема? Четыре причины.</w:t>
      </w:r>
    </w:p>
    <w:p>
      <w:pPr>
        <w:spacing w:after="160" w:before="0" w:lineRule="auto" w:line="276"/>
        <w:ind w:firstLine="709"/>
        <w:jc w:val="both"/>
      </w:pPr>
      <w:r>
        <w:rPr>
          <w:rFonts w:ascii="Times New Roman" w:hAnsi="Times New Roman" w:eastAsia="Times New Roman"/>
          <w:b w:val="0"/>
          <w:i w:val="0"/>
          <w:sz w:val="24"/>
        </w:rPr>
        <w:t>Причина первая — тепловая деградация PPLN (периодически поляризованного ниобата лития). При киловаттных мощностях кристалл сильно нагревается: даже доли процента поглощения дают десятки ватт тепла в объёме кристалла. Возникает тепловой дефазинг: показатель преломления меняется, условие квазифазового синхронизма нарушается, КПД падает. Если клин — сам PPLN (периодически поляризованный ниобат лития), как у Имешева, то тепловые искажения одновременно портят и нелинейный процесс, и работу клина: два эффекта накладываются, и разделить их невозможно. Если же клин — отдельная кварцевая пластина, как в предложенной схеме, то кристалл термостабилизируется в печи с точностью ±0,1 °C — стандартная практика для PPLN (периодически поляризованный ниобат лития), — а фазу компенсирует внешний подвижный клин. Печь и клин работают независимо, каждый решает свою задачу.</w:t>
      </w:r>
    </w:p>
    <w:p>
      <w:pPr>
        <w:spacing w:after="160" w:before="0" w:lineRule="auto" w:line="276"/>
        <w:ind w:firstLine="709"/>
        <w:jc w:val="both"/>
      </w:pPr>
      <w:r>
        <w:rPr>
          <w:rFonts w:ascii="Times New Roman" w:hAnsi="Times New Roman" w:eastAsia="Times New Roman"/>
          <w:b w:val="0"/>
          <w:i w:val="0"/>
          <w:sz w:val="24"/>
        </w:rPr>
        <w:t>Причина вторая — технологичность. Шлифовка PPLN (периодически поляризованного ниобата лития) под углом с микронной точностью — дорогая и сложная операция. Плавленый кварц, напротив, дёшев, легко шлифуется и полируется, его оптические свойства хорошо изучены.</w:t>
      </w:r>
    </w:p>
    <w:p>
      <w:pPr>
        <w:spacing w:after="160" w:before="0" w:lineRule="auto" w:line="276"/>
        <w:ind w:firstLine="709"/>
        <w:jc w:val="both"/>
      </w:pPr>
      <w:r>
        <w:rPr>
          <w:rFonts w:ascii="Times New Roman" w:hAnsi="Times New Roman" w:eastAsia="Times New Roman"/>
          <w:b w:val="0"/>
          <w:i w:val="0"/>
          <w:sz w:val="24"/>
        </w:rPr>
        <w:t>Причина третья — ремонтопригодность. Если клин встроен в кристалл, выход из строя любого элемента означает замену всего узла. Отдельную кварцевую пластину можно заменить, не трогая дорогой кристалл.</w:t>
      </w:r>
    </w:p>
    <w:p>
      <w:pPr>
        <w:spacing w:after="160" w:before="0" w:lineRule="auto" w:line="276"/>
        <w:ind w:firstLine="709"/>
        <w:jc w:val="both"/>
      </w:pPr>
      <w:r>
        <w:rPr>
          <w:rFonts w:ascii="Times New Roman" w:hAnsi="Times New Roman" w:eastAsia="Times New Roman"/>
          <w:b w:val="0"/>
          <w:i w:val="0"/>
          <w:sz w:val="24"/>
        </w:rPr>
        <w:t>Причина четвёртая — динамическая подстройка. По мере нагрева кристалла фаза уходит, и клин смещается, возвращая синфазность в реальном времени. У Имешева такой возможности нет: его клин настроен один раз и навсегда.</w:t>
      </w:r>
    </w:p>
    <w:p>
      <w:pPr>
        <w:spacing w:after="160" w:before="0" w:lineRule="auto" w:line="276"/>
        <w:ind w:firstLine="709"/>
        <w:jc w:val="both"/>
      </w:pPr>
      <w:r>
        <w:rPr>
          <w:rFonts w:ascii="Times New Roman" w:hAnsi="Times New Roman" w:eastAsia="Times New Roman"/>
          <w:b w:val="0"/>
          <w:i w:val="0"/>
          <w:sz w:val="24"/>
        </w:rPr>
        <w:t>Формула эффективности преобразования: η = P</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 xml:space="preserve"> · (2ω²·d</w:t>
      </w:r>
      <w:r>
        <w:rPr>
          <w:rFonts w:ascii="Times New Roman" w:hAnsi="Times New Roman" w:eastAsia="Times New Roman"/>
          <w:b w:val="0"/>
          <w:i w:val="0"/>
          <w:sz w:val="24"/>
          <w:vertAlign w:val="subscript"/>
        </w:rPr>
        <w:t>eff</w:t>
      </w:r>
      <w:r>
        <w:rPr>
          <w:rFonts w:ascii="Times New Roman" w:hAnsi="Times New Roman" w:eastAsia="Times New Roman"/>
          <w:b w:val="0"/>
          <w:i w:val="0"/>
          <w:sz w:val="24"/>
        </w:rPr>
        <w:t>²·L²) / (ε₀·c³·n</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²·n</w:t>
      </w:r>
      <w:r>
        <w:rPr>
          <w:rFonts w:ascii="Times New Roman" w:hAnsi="Times New Roman" w:eastAsia="Times New Roman"/>
          <w:b w:val="0"/>
          <w:i w:val="0"/>
          <w:sz w:val="24"/>
          <w:vertAlign w:val="subscript"/>
        </w:rPr>
        <w:t>2ω</w:t>
      </w:r>
      <w:r>
        <w:rPr>
          <w:rFonts w:ascii="Times New Roman" w:hAnsi="Times New Roman" w:eastAsia="Times New Roman"/>
          <w:b w:val="0"/>
          <w:i w:val="0"/>
          <w:sz w:val="24"/>
        </w:rPr>
        <w:t>) · (P</w:t>
      </w:r>
      <w:r>
        <w:rPr>
          <w:rFonts w:ascii="Times New Roman" w:hAnsi="Times New Roman" w:eastAsia="Times New Roman"/>
          <w:b w:val="0"/>
          <w:i w:val="0"/>
          <w:sz w:val="24"/>
          <w:vertAlign w:val="subscript"/>
        </w:rPr>
        <w:t>ω</w:t>
      </w:r>
      <w:r>
        <w:rPr>
          <w:rFonts w:ascii="Times New Roman" w:hAnsi="Times New Roman" w:eastAsia="Times New Roman"/>
          <w:b w:val="0"/>
          <w:i w:val="0"/>
          <w:sz w:val="24"/>
        </w:rPr>
        <w:t>/A) · sinc²(Δk·L/2).</w:t>
      </w:r>
    </w:p>
    <w:p>
      <w:pPr>
        <w:spacing w:after="160" w:before="0" w:lineRule="auto" w:line="276"/>
        <w:ind w:firstLine="709"/>
        <w:jc w:val="both"/>
      </w:pPr>
      <w:r>
        <w:rPr>
          <w:rFonts w:ascii="Times New Roman" w:hAnsi="Times New Roman" w:eastAsia="Times New Roman"/>
          <w:b w:val="0"/>
          <w:i w:val="0"/>
          <w:sz w:val="24"/>
        </w:rPr>
        <w:t>Откуда взялась эта формула? Она выводится из системы уравнений связанных волн (coupled-wave equations) — фундаментальных уравнений нелинейной оптики, впервые полученных в 1960-х годах. Эти уравнения описывают, как амплитуды двух волн — накачки и второй гармоники — изменяются по мере распространения через нелинейную среду.</w:t>
      </w:r>
    </w:p>
    <w:p>
      <w:pPr>
        <w:spacing w:after="160" w:before="0" w:lineRule="auto" w:line="276"/>
        <w:ind w:firstLine="709"/>
        <w:jc w:val="both"/>
      </w:pPr>
      <w:r>
        <w:rPr>
          <w:rFonts w:ascii="Times New Roman" w:hAnsi="Times New Roman" w:eastAsia="Times New Roman"/>
          <w:b w:val="0"/>
          <w:i w:val="0"/>
          <w:sz w:val="24"/>
        </w:rPr>
        <w:t>В приближении неистощённой накачки (когда мощность инфракрасного луча &gt;&gt; мощности зелёного) решение этих уравнений даёт приведённую формулу. Расшифровка символов — в таблице ниже.</w:t>
      </w:r>
    </w:p>
    <w:p>
      <w:pPr>
        <w:spacing w:after="160" w:before="0" w:lineRule="auto" w:line="276"/>
        <w:ind w:firstLine="709"/>
        <w:jc w:val="both"/>
      </w:pPr>
      <w:r>
        <w:rPr>
          <w:rFonts w:ascii="Times New Roman" w:hAnsi="Times New Roman" w:eastAsia="Times New Roman"/>
          <w:b w:val="0"/>
          <w:i w:val="0"/>
          <w:sz w:val="24"/>
        </w:rPr>
        <w:t>Почему здесь появляется sinc? Функция sinc(x) определяется как sinc(x) = sin(x)/x. Она возникает из-за фазового рассогласования между волнами накачки и второй гармоники.</w:t>
      </w:r>
    </w:p>
    <w:p>
      <w:pPr>
        <w:spacing w:after="160" w:before="0" w:lineRule="auto" w:line="276"/>
        <w:ind w:firstLine="709"/>
        <w:jc w:val="both"/>
      </w:pPr>
      <w:r>
        <w:rPr>
          <w:rFonts w:ascii="Times New Roman" w:hAnsi="Times New Roman" w:eastAsia="Times New Roman"/>
          <w:b w:val="0"/>
          <w:i w:val="0"/>
          <w:sz w:val="24"/>
        </w:rPr>
        <w:t>Представьте: по мере распространения через кристалл зелёная волна, рождённая в начале, и зелёная волна, рождённая в конце, накапливают разность фаз. Если эта разность мала (Δk·L/2 → 0), все волны складываются синфазно, и sinc²(0) = 1 — максимальная эффективность. Если разность фаз растёт, волны начинают гасить друг друга, и sinc² падает.</w:t>
      </w:r>
    </w:p>
    <w:p>
      <w:pPr>
        <w:spacing w:after="160" w:before="0" w:lineRule="auto" w:line="276"/>
        <w:ind w:firstLine="709"/>
        <w:jc w:val="both"/>
      </w:pPr>
      <w:r>
        <w:rPr>
          <w:rFonts w:ascii="Times New Roman" w:hAnsi="Times New Roman" w:eastAsia="Times New Roman"/>
          <w:b w:val="0"/>
          <w:i w:val="0"/>
          <w:sz w:val="24"/>
        </w:rPr>
        <w:t>Именно поэтому для эффективной генерации нужно точное выполнение условия синхронизма — либо через точный подбор периода решётки Λ, либо через температурную подстройку.</w:t>
      </w:r>
    </w:p>
    <w:p>
      <w:pPr>
        <w:spacing w:after="160" w:before="0" w:lineRule="auto" w:line="276"/>
        <w:ind w:firstLine="709"/>
        <w:jc w:val="both"/>
      </w:pPr>
      <w:r>
        <w:rPr>
          <w:rFonts w:ascii="Times New Roman" w:hAnsi="Times New Roman" w:eastAsia="Times New Roman"/>
          <w:b w:val="0"/>
          <w:i w:val="0"/>
          <w:sz w:val="24"/>
        </w:rPr>
        <w:t>Замечание об экономике. Реализация данной установки будет стоить на порядок меньше, чем покупка полноценного мощного станка зелёного лазера. По данным рынка, промышленные зелёные лазеры мощностью 100–200 Вт стоят от 150 000 до 300 000 долларов. Наша модернизация существующего волоконного лазера потребует лишь внешнего модуля, стоимость которого на порядок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Зафиксируем пять тезисов.</w:t>
      </w:r>
    </w:p>
    <w:p>
      <w:pPr>
        <w:spacing w:after="160" w:before="0" w:lineRule="auto" w:line="276"/>
        <w:ind w:firstLine="709"/>
        <w:jc w:val="both"/>
      </w:pPr>
      <w:r>
        <w:rPr>
          <w:rFonts w:ascii="Times New Roman" w:hAnsi="Times New Roman" w:eastAsia="Times New Roman"/>
          <w:b w:val="0"/>
          <w:i w:val="0"/>
          <w:sz w:val="24"/>
        </w:rPr>
        <w:t>Первое. Медь плохо поглощает инфракрасное излучение (5%), но хорошо поглощает зелёное (40–60%). Это делает зелёные лазеры идеальными для обработки меди.</w:t>
      </w:r>
    </w:p>
    <w:p>
      <w:pPr>
        <w:spacing w:before="160" w:after="80"/>
        <w:jc w:val="center"/>
      </w:pPr>
      <w:r>
        <w:drawing>
          <wp:inline xmlns:a="http://schemas.openxmlformats.org/drawingml/2006/main" xmlns:pic="http://schemas.openxmlformats.org/drawingml/2006/picture">
            <wp:extent cx="5040000" cy="2520000"/>
            <wp:docPr id="28" name="Picture 28"/>
            <wp:cNvGraphicFramePr>
              <a:graphicFrameLocks noChangeAspect="1"/>
            </wp:cNvGraphicFramePr>
            <a:graphic>
              <a:graphicData uri="http://schemas.openxmlformats.org/drawingml/2006/picture">
                <pic:pic>
                  <pic:nvPicPr>
                    <pic:cNvPr id="0" name="ch5_economy.png"/>
                    <pic:cNvPicPr/>
                  </pic:nvPicPr>
                  <pic:blipFill>
                    <a:blip r:embed="rId36"/>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eastAsia="Times New Roman"/>
          <w:b w:val="0"/>
          <w:i/>
          <w:sz w:val="20"/>
        </w:rPr>
        <w:t>Рис. 5.10. Экономика решения: промышленный зелёный лазер и внешний SHG-модуль</w:t>
      </w:r>
    </w:p>
    <w:p>
      <w:pPr>
        <w:spacing w:after="160" w:before="0" w:lineRule="auto" w:line="276"/>
        <w:ind w:firstLine="709"/>
        <w:jc w:val="both"/>
      </w:pPr>
      <w:r>
        <w:rPr>
          <w:rFonts w:ascii="Times New Roman" w:hAnsi="Times New Roman" w:eastAsia="Times New Roman"/>
          <w:b w:val="0"/>
          <w:i w:val="0"/>
          <w:sz w:val="24"/>
        </w:rPr>
        <w:t>Второе. Прямая генерация зелёного света на полупроводниках ограничена «проблемой зелёного диапазона»: мощность не превышает 180 милливатт. Для промышленности нужны киловатты.</w:t>
      </w:r>
    </w:p>
    <w:p>
      <w:pPr>
        <w:spacing w:after="160" w:before="0" w:lineRule="auto" w:line="276"/>
        <w:ind w:firstLine="709"/>
        <w:jc w:val="both"/>
      </w:pPr>
      <w:r>
        <w:rPr>
          <w:rFonts w:ascii="Times New Roman" w:hAnsi="Times New Roman" w:eastAsia="Times New Roman"/>
          <w:b w:val="0"/>
          <w:i w:val="0"/>
          <w:sz w:val="24"/>
        </w:rPr>
        <w:t>Третье. Генерация второй гармоники в кристалле PPLN позволяет преобразовать инфракрасное излучение 1070 нм в зелёное 535 нм с КПД до 15–20%.</w:t>
      </w:r>
    </w:p>
    <w:p>
      <w:pPr>
        <w:spacing w:after="160" w:before="0" w:lineRule="auto" w:line="276"/>
        <w:ind w:firstLine="709"/>
        <w:jc w:val="both"/>
      </w:pPr>
      <w:r>
        <w:rPr>
          <w:rFonts w:ascii="Times New Roman" w:hAnsi="Times New Roman" w:eastAsia="Times New Roman"/>
          <w:b w:val="0"/>
          <w:i w:val="0"/>
          <w:sz w:val="24"/>
        </w:rPr>
        <w:t>Четвёртое. Предложение автора — двухпроходная схема с активной клиновидной термокомпенсацией из плавленого кварца для мощных волоконных лазеров. Существующие работы с двухпроходными схемами выполнены на маломощных лазерах, и их масштабирование на киловаттный уровень является новой инженерной задачей.</w:t>
      </w:r>
    </w:p>
    <w:p>
      <w:pPr>
        <w:spacing w:after="160" w:before="0" w:lineRule="auto" w:line="276"/>
        <w:ind w:firstLine="709"/>
        <w:jc w:val="both"/>
      </w:pPr>
      <w:r>
        <w:rPr>
          <w:rFonts w:ascii="Times New Roman" w:hAnsi="Times New Roman" w:eastAsia="Times New Roman"/>
          <w:b w:val="0"/>
          <w:i w:val="0"/>
          <w:sz w:val="24"/>
        </w:rPr>
        <w:t>Пятое. Реализация данной установки будет стоить на порядок меньше, чем покупка полноценного зелёного лазера.</w:t>
      </w:r>
    </w:p>
    <w:p>
      <w:pPr>
        <w:spacing w:after="160" w:before="0" w:lineRule="auto" w:line="276"/>
        <w:ind w:firstLine="709"/>
        <w:jc w:val="both"/>
      </w:pPr>
      <w:r>
        <w:rPr>
          <w:rFonts w:ascii="Times New Roman" w:hAnsi="Times New Roman" w:eastAsia="Times New Roman"/>
          <w:b w:val="0"/>
          <w:i w:val="0"/>
          <w:sz w:val="24"/>
        </w:rPr>
        <w:t>Итак, разобрана физика генерации зелёного излучения для аддитивных технологий. Ключевые моменты: медь требует зелёного света, прямая генерация ограничена «проблемой зелёного диапазона», а нелинейная оптика позволяет обойти это ограничение.</w:t>
      </w:r>
    </w:p>
    <w:p>
      <w:pPr>
        <w:spacing w:after="160" w:before="0" w:lineRule="auto" w:line="276"/>
        <w:ind w:firstLine="709"/>
        <w:jc w:val="both"/>
      </w:pPr>
      <w:r>
        <w:rPr>
          <w:rFonts w:ascii="Times New Roman" w:hAnsi="Times New Roman" w:eastAsia="Times New Roman"/>
          <w:b w:val="0"/>
          <w:i w:val="0"/>
          <w:sz w:val="24"/>
        </w:rPr>
        <w:t>Предложение автора — двухпроходная схема с клиновидной термокомпенсацией — открывает путь к созданию доступных зелёных лазеров для промышленности.</w:t>
      </w:r>
    </w:p>
    <w:p>
      <w:r>
        <w:br w:type="page"/>
      </w:r>
    </w:p>
    <w:p>
      <w:pPr>
        <w:spacing w:after="120" w:before="0" w:lineRule="auto" w:line="276"/>
        <w:jc w:val="left"/>
      </w:pPr>
      <w:r>
        <w:rPr>
          <w:rFonts w:ascii="Times New Roman" w:hAnsi="Times New Roman" w:eastAsia="Times New Roman"/>
          <w:b/>
          <w:i w:val="0"/>
          <w:sz w:val="36"/>
        </w:rPr>
        <w:t>Глава 6. Геометрическая оптика: как линзы собирают луч в пятно</w:t>
      </w:r>
    </w:p>
    <w:p>
      <w:pPr>
        <w:spacing w:after="280" w:before="0" w:lineRule="auto" w:line="276"/>
        <w:jc w:val="left"/>
      </w:pPr>
      <w:r>
        <w:rPr>
          <w:rFonts w:ascii="Times New Roman" w:hAnsi="Times New Roman" w:eastAsia="Times New Roman"/>
          <w:b w:val="0"/>
          <w:i/>
          <w:sz w:val="24"/>
        </w:rPr>
        <w:t>Плотность мощности I = P/S, числовая апертура, DOF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курс. В Главе 2 мы выяснили главное: сталь плавится не от мощности как таковой, а от плотности мощности — сколько ватт пришлось на каждый квадратный сантиметр пятна.</w:t>
      </w:r>
    </w:p>
    <w:p>
      <w:pPr>
        <w:spacing w:after="160" w:before="0" w:lineRule="auto" w:line="276"/>
        <w:ind w:firstLine="709"/>
        <w:jc w:val="both"/>
      </w:pPr>
      <w:r>
        <w:rPr>
          <w:rFonts w:ascii="Times New Roman" w:hAnsi="Times New Roman" w:eastAsia="Times New Roman"/>
          <w:b w:val="0"/>
          <w:i w:val="0"/>
          <w:sz w:val="24"/>
        </w:rPr>
        <w:t>В этой главе разбирается инструмент, которым управляют этой плотностью: оптическую систему.</w:t>
      </w:r>
    </w:p>
    <w:p>
      <w:pPr>
        <w:spacing w:after="160" w:before="0" w:lineRule="auto" w:line="276"/>
        <w:ind w:firstLine="709"/>
        <w:jc w:val="both"/>
      </w:pPr>
      <w:r>
        <w:rPr>
          <w:rFonts w:ascii="Times New Roman" w:hAnsi="Times New Roman" w:eastAsia="Times New Roman"/>
          <w:b w:val="0"/>
          <w:i w:val="0"/>
          <w:sz w:val="24"/>
        </w:rPr>
        <w:t>Рассматриваются три вопроса: как линза собирает свет в пятно; почему пятно не может быть бесконечно малым; что такое глубина резкости (DOF) и почему она критична для 3D-печати.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Связь с Главой 2: ещё раз про плотность мощности I — на примерах с расчётами.</w:t>
      </w:r>
    </w:p>
    <w:p>
      <w:pPr>
        <w:spacing w:after="160" w:before="0" w:lineRule="auto" w:line="276"/>
        <w:ind w:firstLine="709"/>
        <w:jc w:val="both"/>
      </w:pPr>
      <w:r>
        <w:rPr>
          <w:rFonts w:ascii="Times New Roman" w:hAnsi="Times New Roman" w:eastAsia="Times New Roman"/>
          <w:b w:val="0"/>
          <w:i w:val="0"/>
          <w:sz w:val="24"/>
        </w:rPr>
        <w:t>Второе. Как работает линза: закон преломления Снеллиуса — базовая формула с расшифровкой.</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От чего он зависит и почему нельзя получить пятно 1 мкм на типичном СЛП-станке. Введём понятие числовой апертуры (NA).</w:t>
      </w:r>
    </w:p>
    <w:p>
      <w:pPr>
        <w:spacing w:after="160" w:before="0" w:lineRule="auto" w:line="276"/>
        <w:ind w:firstLine="709"/>
        <w:jc w:val="both"/>
      </w:pPr>
      <w:r>
        <w:rPr>
          <w:rFonts w:ascii="Times New Roman" w:hAnsi="Times New Roman" w:eastAsia="Times New Roman"/>
          <w:b w:val="0"/>
          <w:i w:val="0"/>
          <w:sz w:val="24"/>
        </w:rPr>
        <w:t>Четвёртое. Формула №2: глубина резкости (DOF). Почему уменьшение пятна требует идеально ровного слоя порошка. Разберём три случая — NA = 0,1, 0,4 и 0,5.</w:t>
      </w:r>
    </w:p>
    <w:p>
      <w:pPr>
        <w:spacing w:after="160" w:before="0" w:lineRule="auto" w:line="276"/>
        <w:ind w:firstLine="709"/>
        <w:jc w:val="both"/>
      </w:pPr>
      <w:r>
        <w:rPr>
          <w:rFonts w:ascii="Times New Roman" w:hAnsi="Times New Roman" w:eastAsia="Times New Roman"/>
          <w:b w:val="0"/>
          <w:i w:val="0"/>
          <w:sz w:val="24"/>
        </w:rPr>
        <w:t>Пятое. Формула №3: качество пучка M². Почему плохой пучок сводит на нет все преимущества хорошей оптики.</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Напомним ключевое понятие из Главы 2 — плотность мощности, или интенсивность I. Это отношение мощности лазера P к площади пятна S: I = P / S.</w:t>
      </w:r>
    </w:p>
    <w:p>
      <w:pPr>
        <w:spacing w:after="160" w:before="0" w:lineRule="auto" w:line="276"/>
        <w:ind w:firstLine="709"/>
        <w:jc w:val="both"/>
      </w:pPr>
      <w:r>
        <w:rPr>
          <w:rFonts w:ascii="Times New Roman" w:hAnsi="Times New Roman" w:eastAsia="Times New Roman"/>
          <w:b w:val="0"/>
          <w:i w:val="0"/>
          <w:sz w:val="24"/>
        </w:rPr>
        <w:t>Размерность I: ватт на квадратный сантиметр (Вт/см²) или ватт на квадратный миллиметр (Вт/мм²).</w:t>
      </w:r>
    </w:p>
    <w:p>
      <w:pPr>
        <w:spacing w:before="160" w:after="80"/>
        <w:jc w:val="center"/>
      </w:pPr>
      <w:r>
        <w:drawing>
          <wp:inline xmlns:a="http://schemas.openxmlformats.org/drawingml/2006/main" xmlns:pic="http://schemas.openxmlformats.org/drawingml/2006/picture">
            <wp:extent cx="5040000" cy="3251613"/>
            <wp:docPr id="29" name="Picture 29"/>
            <wp:cNvGraphicFramePr>
              <a:graphicFrameLocks noChangeAspect="1"/>
            </wp:cNvGraphicFramePr>
            <a:graphic>
              <a:graphicData uri="http://schemas.openxmlformats.org/drawingml/2006/picture">
                <pic:pic>
                  <pic:nvPicPr>
                    <pic:cNvPr id="0" name="ch5_intensity.png"/>
                    <pic:cNvPicPr/>
                  </pic:nvPicPr>
                  <pic:blipFill>
                    <a:blip r:embed="rId3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Рассмотрим два сценария. Ниже — расчёты двух сценариев.</w:t>
      </w:r>
    </w:p>
    <w:p>
      <w:pPr>
        <w:spacing w:after="160" w:before="0" w:lineRule="auto" w:line="276"/>
        <w:ind w:firstLine="709"/>
        <w:jc w:val="both"/>
      </w:pPr>
      <w:r>
        <w:rPr>
          <w:rFonts w:ascii="Times New Roman" w:hAnsi="Times New Roman" w:eastAsia="Times New Roman"/>
          <w:b w:val="0"/>
          <w:i w:val="0"/>
          <w:sz w:val="24"/>
        </w:rPr>
        <w:t>Сценарий 1. Без фокусировки. Пусть диаметр пятна d = 1 мм. Переводим в сантиметры: 1 мм = 0,1 см. Площадь круга: S = π (d/2)² = π (0,05)² ≈ 3,14 · 0,0025 = 0,00785 см². Округлим до 0,008 см².</w:t>
      </w:r>
    </w:p>
    <w:p>
      <w:pPr>
        <w:spacing w:after="160" w:before="0" w:lineRule="auto" w:line="276"/>
        <w:ind w:firstLine="709"/>
        <w:jc w:val="both"/>
      </w:pPr>
      <w:r>
        <w:rPr>
          <w:rFonts w:ascii="Times New Roman" w:hAnsi="Times New Roman" w:eastAsia="Times New Roman"/>
          <w:b w:val="0"/>
          <w:i w:val="0"/>
          <w:sz w:val="24"/>
        </w:rPr>
        <w:t>Мощность лазера P = 200 Вт. Плотность мощности: I = 200 / 0,008 = 25 000 Вт/см² = 25 кВт/см².</w:t>
      </w:r>
    </w:p>
    <w:p>
      <w:pPr>
        <w:spacing w:after="160" w:before="0" w:lineRule="auto" w:line="276"/>
        <w:ind w:firstLine="709"/>
        <w:jc w:val="both"/>
      </w:pPr>
      <w:r>
        <w:rPr>
          <w:rFonts w:ascii="Times New Roman" w:hAnsi="Times New Roman" w:eastAsia="Times New Roman"/>
          <w:b w:val="0"/>
          <w:i w:val="0"/>
          <w:sz w:val="24"/>
        </w:rPr>
        <w:t>Что произойдёт с металлом при I = 25 кВт/см²? Он нагреется, может даже покраснеть. Но стабильного расплава не будет — слишком мало энергии на единицу площади.</w:t>
      </w:r>
    </w:p>
    <w:p>
      <w:pPr>
        <w:spacing w:after="160" w:before="0" w:lineRule="auto" w:line="276"/>
        <w:ind w:firstLine="709"/>
        <w:jc w:val="both"/>
      </w:pPr>
      <w:r>
        <w:rPr>
          <w:rFonts w:ascii="Times New Roman" w:hAnsi="Times New Roman" w:eastAsia="Times New Roman"/>
          <w:b w:val="0"/>
          <w:i w:val="0"/>
          <w:sz w:val="24"/>
        </w:rPr>
        <w:t>Сценарий 2. С фокусировкой. Ставим линзу и сжимаем луч в пятно d = 50 мкм. Переводим: 50 мкм = 0,005 см. Радиус r = 0,0025 см.</w:t>
      </w:r>
    </w:p>
    <w:p>
      <w:pPr>
        <w:spacing w:after="160" w:before="0" w:lineRule="auto" w:line="276"/>
        <w:ind w:firstLine="709"/>
        <w:jc w:val="both"/>
      </w:pPr>
      <w:r>
        <w:rPr>
          <w:rFonts w:ascii="Times New Roman" w:hAnsi="Times New Roman" w:eastAsia="Times New Roman"/>
          <w:b w:val="0"/>
          <w:i w:val="0"/>
          <w:sz w:val="24"/>
        </w:rPr>
        <w:t>Площадь: S = π r² = 3,14 · (0,0025)² = 3,14 · 6,25·10⁻⁶ ≈ 1,96·10⁻⁵ см². Округлим до 2·10⁻⁵ см².</w:t>
      </w:r>
    </w:p>
    <w:p>
      <w:pPr>
        <w:spacing w:after="160" w:before="0" w:lineRule="auto" w:line="276"/>
        <w:ind w:firstLine="709"/>
        <w:jc w:val="both"/>
      </w:pPr>
      <w:r>
        <w:rPr>
          <w:rFonts w:ascii="Times New Roman" w:hAnsi="Times New Roman" w:eastAsia="Times New Roman"/>
          <w:b w:val="0"/>
          <w:i w:val="0"/>
          <w:sz w:val="24"/>
        </w:rPr>
        <w:t>I = 200 / (2·10⁻⁵) = 10 000 000 Вт/см² = 10 МВт/см². Это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одна и та же мощность P, но результат кардинально разный. Вся магия — в линзе. Она не создаёт энергию, она её сжимает в пространстве. Поэтому оптика — главный усилитель лазерного станка.</w:t>
      </w:r>
    </w:p>
    <w:p>
      <w:pPr>
        <w:spacing w:after="160" w:before="0" w:lineRule="auto" w:line="276"/>
        <w:ind w:firstLine="709"/>
        <w:jc w:val="both"/>
      </w:pPr>
      <w:r>
        <w:rPr>
          <w:rFonts w:ascii="Times New Roman" w:hAnsi="Times New Roman" w:eastAsia="Times New Roman"/>
          <w:b w:val="0"/>
          <w:i w:val="0"/>
          <w:sz w:val="24"/>
        </w:rPr>
        <w:t>Вопрос: почему мы не можем сжать луч в бесконечно маленькое пятно d? Потому что есть физические ограничения — дифракция и глубина резкости (DOF). Об этом дальше.</w:t>
      </w:r>
    </w:p>
    <w:p>
      <w:pPr>
        <w:spacing w:after="160" w:before="0" w:lineRule="auto" w:line="276"/>
        <w:jc w:val="left"/>
      </w:pPr>
      <w:r>
        <w:rPr>
          <w:rFonts w:ascii="Times New Roman" w:hAnsi="Times New Roman" w:eastAsia="Times New Roman"/>
          <w:b/>
          <w:i w:val="0"/>
          <w:sz w:val="26"/>
        </w:rPr>
        <w:t>4. ЗАКОН СНЕЛЛИУСА — КАК РАБОТАЕТ ЛИНЗА</w:t>
      </w:r>
    </w:p>
    <w:p>
      <w:pPr>
        <w:spacing w:after="160" w:before="0" w:lineRule="auto" w:line="276"/>
        <w:ind w:firstLine="709"/>
        <w:jc w:val="both"/>
      </w:pPr>
      <w:r>
        <w:rPr>
          <w:rFonts w:ascii="Times New Roman" w:hAnsi="Times New Roman" w:eastAsia="Times New Roman"/>
          <w:b w:val="0"/>
          <w:i w:val="0"/>
          <w:sz w:val="24"/>
        </w:rPr>
        <w:t>Рассмотрим, как линза работает. В основе лежит закон преломления Снеллиуса. Это базовая формула геометрической оптики.</w:t>
      </w:r>
    </w:p>
    <w:p>
      <w:pPr>
        <w:spacing w:after="160" w:before="0" w:lineRule="auto" w:line="276"/>
        <w:ind w:firstLine="709"/>
        <w:jc w:val="both"/>
      </w:pPr>
      <w:r>
        <w:rPr>
          <w:rFonts w:ascii="Times New Roman" w:hAnsi="Times New Roman" w:eastAsia="Times New Roman"/>
          <w:b w:val="0"/>
          <w:i w:val="0"/>
          <w:sz w:val="24"/>
        </w:rPr>
        <w:t>n₁ · sin(θ₁) = n₂ · sin(θ₂).</w:t>
      </w:r>
    </w:p>
    <w:p>
      <w:pPr>
        <w:spacing w:before="160" w:after="80"/>
        <w:jc w:val="center"/>
      </w:pPr>
      <w:r>
        <w:drawing>
          <wp:inline xmlns:a="http://schemas.openxmlformats.org/drawingml/2006/main" xmlns:pic="http://schemas.openxmlformats.org/drawingml/2006/picture">
            <wp:extent cx="5040000" cy="3251613"/>
            <wp:docPr id="30" name="Picture 30"/>
            <wp:cNvGraphicFramePr>
              <a:graphicFrameLocks noChangeAspect="1"/>
            </wp:cNvGraphicFramePr>
            <a:graphic>
              <a:graphicData uri="http://schemas.openxmlformats.org/drawingml/2006/picture">
                <pic:pic>
                  <pic:nvPicPr>
                    <pic:cNvPr id="0" name="ch5_snell.png"/>
                    <pic:cNvPicPr/>
                  </pic:nvPicPr>
                  <pic:blipFill>
                    <a:blip r:embed="rId38"/>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6.2. Закон Снеллиуса и сборка параллельных лучей в фокус</w:t>
      </w:r>
    </w:p>
    <w:p>
      <w:pPr>
        <w:spacing w:after="160" w:before="0" w:lineRule="auto" w:line="276"/>
        <w:ind w:firstLine="709"/>
        <w:jc w:val="both"/>
      </w:pPr>
      <w:r>
        <w:rPr>
          <w:rFonts w:ascii="Times New Roman" w:hAnsi="Times New Roman" w:eastAsia="Times New Roman"/>
          <w:b w:val="0"/>
          <w:i w:val="0"/>
          <w:sz w:val="24"/>
        </w:rPr>
        <w:t>Расшифровка символов. n₁ — например, воздуха. У воздуха n ≈ 1,0003, обычно принимают n = 1.</w:t>
      </w:r>
    </w:p>
    <w:p>
      <w:pPr>
        <w:spacing w:after="160" w:before="0" w:lineRule="auto" w:line="276"/>
        <w:ind w:firstLine="709"/>
        <w:jc w:val="both"/>
      </w:pPr>
      <w:r>
        <w:rPr>
          <w:rFonts w:ascii="Times New Roman" w:hAnsi="Times New Roman" w:eastAsia="Times New Roman"/>
          <w:b w:val="0"/>
          <w:i w:val="0"/>
          <w:sz w:val="24"/>
        </w:rPr>
        <w:t>n₂ — например, стекла линзы. У кварцевого стекла n ≈ 1,45–1,5.</w:t>
      </w:r>
    </w:p>
    <w:p>
      <w:pPr>
        <w:spacing w:after="160" w:before="0" w:lineRule="auto" w:line="276"/>
        <w:ind w:firstLine="709"/>
        <w:jc w:val="both"/>
      </w:pPr>
      <w:r>
        <w:rPr>
          <w:rFonts w:ascii="Times New Roman" w:hAnsi="Times New Roman" w:eastAsia="Times New Roman"/>
          <w:b w:val="0"/>
          <w:i w:val="0"/>
          <w:sz w:val="24"/>
        </w:rPr>
        <w:t>θ₁ — угол падения луча, отсчитанный от перпендикуляра (нормали) к поверхности. θ₂ — угол преломления, тоже от нормали.</w:t>
      </w:r>
    </w:p>
    <w:p>
      <w:pPr>
        <w:spacing w:after="160" w:before="0" w:lineRule="auto" w:line="276"/>
        <w:ind w:firstLine="709"/>
        <w:jc w:val="both"/>
      </w:pPr>
      <w:r>
        <w:rPr>
          <w:rFonts w:ascii="Times New Roman" w:hAnsi="Times New Roman" w:eastAsia="Times New Roman"/>
          <w:b w:val="0"/>
          <w:i w:val="0"/>
          <w:sz w:val="24"/>
        </w:rPr>
        <w:t>Показатель преломления n — это отношение скорости света в вакууме c к скорости света в среде v: n = c / v.</w:t>
      </w:r>
    </w:p>
    <w:p>
      <w:pPr>
        <w:spacing w:after="160" w:before="0" w:lineRule="auto" w:line="276"/>
        <w:ind w:firstLine="709"/>
        <w:jc w:val="both"/>
      </w:pPr>
      <w:r>
        <w:rPr>
          <w:rFonts w:ascii="Times New Roman" w:hAnsi="Times New Roman" w:eastAsia="Times New Roman"/>
          <w:b w:val="0"/>
          <w:i w:val="0"/>
          <w:sz w:val="24"/>
        </w:rPr>
        <w:t>Физический смысл: когда свет переходит из среды с меньшим n в среду с большим n, он притягивается к нормали: θ₂ &lt; θ₁. Когда выходит из стекла в воздух — наоборот, отклоняется от нормали.</w:t>
      </w:r>
    </w:p>
    <w:p>
      <w:pPr>
        <w:spacing w:after="160" w:before="0" w:lineRule="auto" w:line="276"/>
        <w:ind w:firstLine="709"/>
        <w:jc w:val="both"/>
      </w:pPr>
      <w:r>
        <w:rPr>
          <w:rFonts w:ascii="Times New Roman" w:hAnsi="Times New Roman" w:eastAsia="Times New Roman"/>
          <w:b w:val="0"/>
          <w:i w:val="0"/>
          <w:sz w:val="24"/>
        </w:rPr>
        <w:t>Как это создаёт линзу? Линза — кусок стекла с изогнутыми поверхностями. Лучи через края встречают поверхность под большим углом и преломляются сильнее. Лучи через центр — слабее. В результате все лучи собираются в одну точку — фокус.</w:t>
      </w:r>
    </w:p>
    <w:p>
      <w:pPr>
        <w:spacing w:after="160" w:before="0" w:lineRule="auto" w:line="276"/>
        <w:ind w:firstLine="709"/>
        <w:jc w:val="both"/>
      </w:pPr>
      <w:r>
        <w:rPr>
          <w:rFonts w:ascii="Times New Roman" w:hAnsi="Times New Roman" w:eastAsia="Times New Roman"/>
          <w:b w:val="0"/>
          <w:i w:val="0"/>
          <w:sz w:val="24"/>
        </w:rPr>
        <w:t>Вывод: разница показателей преломления Δn (разность показателей преломления) на границе линзы определяет, насколько сильно она может преломить луч. Чем больше Δn, тем сильнее фокусировка и тем короче фокусное расстояние.</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Перейдём к главному ограничению — дифракционному пределу. Даже идеальная линза не может собрать свет в математическую точку. Минимальный диаметр пятна определяется формулой: d ≈ λ / NA.</w:t>
      </w:r>
    </w:p>
    <w:p>
      <w:pPr>
        <w:spacing w:after="160" w:before="0" w:lineRule="auto" w:line="276"/>
        <w:ind w:firstLine="709"/>
        <w:jc w:val="both"/>
      </w:pPr>
      <w:r>
        <w:rPr>
          <w:rFonts w:ascii="Times New Roman" w:hAnsi="Times New Roman" w:eastAsia="Times New Roman"/>
          <w:b w:val="0"/>
          <w:i w:val="0"/>
          <w:sz w:val="24"/>
        </w:rPr>
        <w:t>Расшифровка символов. d — диаметр пятна в фокусе (в микрометрах). Это минимальный размер, который может дать данная оптика.</w:t>
      </w:r>
    </w:p>
    <w:p>
      <w:pPr>
        <w:spacing w:before="160" w:after="80"/>
        <w:jc w:val="center"/>
      </w:pPr>
      <w:r>
        <w:drawing>
          <wp:inline xmlns:a="http://schemas.openxmlformats.org/drawingml/2006/main" xmlns:pic="http://schemas.openxmlformats.org/drawingml/2006/picture">
            <wp:extent cx="5040000" cy="3251613"/>
            <wp:docPr id="31" name="Picture 31"/>
            <wp:cNvGraphicFramePr>
              <a:graphicFrameLocks noChangeAspect="1"/>
            </wp:cNvGraphicFramePr>
            <a:graphic>
              <a:graphicData uri="http://schemas.openxmlformats.org/drawingml/2006/picture">
                <pic:pic>
                  <pic:nvPicPr>
                    <pic:cNvPr id="0" name="ch5_spot.png"/>
                    <pic:cNvPicPr/>
                  </pic:nvPicPr>
                  <pic:blipFill>
                    <a:blip r:embed="rId3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6.3. Дифракционный предел: d ≈ λ/NA</w:t>
      </w:r>
    </w:p>
    <w:p>
      <w:pPr>
        <w:spacing w:after="160" w:before="0" w:lineRule="auto" w:line="276"/>
        <w:ind w:firstLine="709"/>
        <w:jc w:val="both"/>
      </w:pPr>
      <w:r>
        <w:rPr>
          <w:rFonts w:ascii="Times New Roman" w:hAnsi="Times New Roman" w:eastAsia="Times New Roman"/>
          <w:b w:val="0"/>
          <w:i w:val="0"/>
          <w:sz w:val="24"/>
        </w:rPr>
        <w:t>λ (лямбда, λ) — длина волны лазера. Для волоконного лазера λ = 1,07 мкм.</w:t>
      </w:r>
    </w:p>
    <w:p>
      <w:pPr>
        <w:spacing w:after="160" w:before="0" w:lineRule="auto" w:line="276"/>
        <w:ind w:firstLine="709"/>
        <w:jc w:val="both"/>
      </w:pPr>
      <w:r>
        <w:rPr>
          <w:rFonts w:ascii="Times New Roman" w:hAnsi="Times New Roman" w:eastAsia="Times New Roman"/>
          <w:b w:val="0"/>
          <w:i w:val="0"/>
          <w:sz w:val="24"/>
        </w:rPr>
        <w:t>NA — числовая апертура (безразмерная величина, от 0 до 1). Мера того, насколько широкий конус света собирает линза.</w:t>
      </w:r>
    </w:p>
    <w:p>
      <w:pPr>
        <w:spacing w:after="160" w:before="0" w:lineRule="auto" w:line="276"/>
        <w:ind w:firstLine="709"/>
        <w:jc w:val="both"/>
      </w:pPr>
      <w:r>
        <w:rPr>
          <w:rFonts w:ascii="Times New Roman" w:hAnsi="Times New Roman" w:eastAsia="Times New Roman"/>
          <w:b w:val="0"/>
          <w:i w:val="0"/>
          <w:sz w:val="24"/>
        </w:rPr>
        <w:t>Что такое числовая апертура? NA = n · sin(θ), где n — показатель преломления среды (в воздухе n = 1), θ — половина угла схождения конуса лучей.</w:t>
      </w:r>
    </w:p>
    <w:p>
      <w:pPr>
        <w:spacing w:after="160" w:before="0" w:lineRule="auto" w:line="276"/>
        <w:ind w:firstLine="709"/>
        <w:jc w:val="both"/>
      </w:pPr>
      <w:r>
        <w:rPr>
          <w:rFonts w:ascii="Times New Roman" w:hAnsi="Times New Roman" w:eastAsia="Times New Roman"/>
          <w:b w:val="0"/>
          <w:i w:val="0"/>
          <w:sz w:val="24"/>
        </w:rPr>
        <w:t>Простыми словами: чем больше NA, тем круче лучи сходятся в фокус и тем меньше пятно d.</w:t>
      </w:r>
    </w:p>
    <w:p>
      <w:pPr>
        <w:spacing w:after="160" w:before="0" w:lineRule="auto" w:line="276"/>
        <w:ind w:firstLine="709"/>
        <w:jc w:val="both"/>
      </w:pPr>
      <w:r>
        <w:rPr>
          <w:rFonts w:ascii="Times New Roman" w:hAnsi="Times New Roman" w:eastAsia="Times New Roman"/>
          <w:b w:val="0"/>
          <w:i w:val="0"/>
          <w:sz w:val="24"/>
        </w:rPr>
        <w:t>Пример 1. Типичная линза для СЛП. NA = 0,1 — характерно для многих F-theta линз (телецентрических объективов). По-русски — «эф-тета линза». Пятно d остаётся круглым по всей рабочей области (например, 250×250 мм).</w:t>
      </w:r>
    </w:p>
    <w:p>
      <w:pPr>
        <w:spacing w:after="160" w:before="0" w:lineRule="auto" w:line="276"/>
        <w:ind w:firstLine="709"/>
        <w:jc w:val="both"/>
      </w:pPr>
      <w:r>
        <w:rPr>
          <w:rFonts w:ascii="Times New Roman" w:hAnsi="Times New Roman" w:eastAsia="Times New Roman"/>
          <w:b w:val="0"/>
          <w:i w:val="0"/>
          <w:sz w:val="24"/>
        </w:rPr>
        <w:t>Подставляем: d ≈ 1,07 / 0,1 = 10,7 мкм. Это идеальный расчёт. Реальный размер будет больше из-за качества пучка M²— об этом в конце лекции.</w:t>
      </w:r>
    </w:p>
    <w:p>
      <w:pPr>
        <w:spacing w:after="160" w:before="0" w:lineRule="auto" w:line="276"/>
        <w:ind w:firstLine="709"/>
        <w:jc w:val="both"/>
      </w:pPr>
      <w:r>
        <w:rPr>
          <w:rFonts w:ascii="Times New Roman" w:hAnsi="Times New Roman" w:eastAsia="Times New Roman"/>
          <w:b w:val="0"/>
          <w:i w:val="0"/>
          <w:sz w:val="24"/>
        </w:rPr>
        <w:t>Пример 2. Более сильная линза: NA = 0,4. Тогда d ≈ 1,07 / 0,4 = 2,7 мкм. Казалось бы — берём такую линзу и печатаем с разрешением 3 мкм! Но не всё так просто. Есть вторая формула, которая всё портит.</w:t>
      </w:r>
    </w:p>
    <w:p>
      <w:pPr>
        <w:spacing w:after="160" w:before="0" w:lineRule="auto" w:line="276"/>
        <w:jc w:val="left"/>
      </w:pPr>
      <w:r>
        <w:rPr>
          <w:rFonts w:ascii="Times New Roman" w:hAnsi="Times New Roman" w:eastAsia="Times New Roman"/>
          <w:b/>
          <w:i w:val="0"/>
          <w:sz w:val="26"/>
        </w:rPr>
        <w:t>6.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(Depth of Focus) — расстояние вдоль оси луча, в пределах которого диаметр пятна d остаётся примерно таким же, как в фокусе. Если выйдете за этот диапазон, пятно увеличится, I упадёт, процесс плавления сорвётся.</w:t>
      </w:r>
    </w:p>
    <w:p>
      <w:pPr>
        <w:spacing w:after="160" w:before="0" w:lineRule="auto" w:line="276"/>
        <w:ind w:firstLine="709"/>
        <w:jc w:val="both"/>
      </w:pPr>
      <w:r>
        <w:rPr>
          <w:rFonts w:ascii="Times New Roman" w:hAnsi="Times New Roman" w:eastAsia="Times New Roman"/>
          <w:b w:val="0"/>
          <w:i w:val="0"/>
          <w:sz w:val="24"/>
        </w:rPr>
        <w:t>Формула: DOF ≈ λ / NA².</w:t>
      </w:r>
    </w:p>
    <w:p>
      <w:pPr>
        <w:spacing w:before="160" w:after="80"/>
        <w:jc w:val="center"/>
      </w:pPr>
      <w:r>
        <w:drawing>
          <wp:inline xmlns:a="http://schemas.openxmlformats.org/drawingml/2006/main" xmlns:pic="http://schemas.openxmlformats.org/drawingml/2006/picture">
            <wp:extent cx="5040000" cy="3414194"/>
            <wp:docPr id="32" name="Picture 32"/>
            <wp:cNvGraphicFramePr>
              <a:graphicFrameLocks noChangeAspect="1"/>
            </wp:cNvGraphicFramePr>
            <a:graphic>
              <a:graphicData uri="http://schemas.openxmlformats.org/drawingml/2006/picture">
                <pic:pic>
                  <pic:nvPicPr>
                    <pic:cNvPr id="0" name="ch5_dof.png"/>
                    <pic:cNvPicPr/>
                  </pic:nvPicPr>
                  <pic:blipFill>
                    <a:blip r:embed="rId40"/>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6.4. Компромисс NA: диаметр пятна d и глубина резкости DOF</w:t>
      </w:r>
    </w:p>
    <w:p>
      <w:pPr>
        <w:spacing w:before="160" w:after="80"/>
        <w:jc w:val="center"/>
      </w:pPr>
      <w:r>
        <w:rPr>
          <w:rFonts w:ascii="Times New Roman" w:hAnsi="Times New Roman" w:eastAsia="Times New Roman"/>
          <w:b w:val="0"/>
          <w:i/>
          <w:sz w:val="20"/>
        </w:rPr>
        <w:t>Таблица 6.1. Три случая числовой апертуры: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eastAsia="Times New Roman"/>
                <w:b/>
                <w:i w:val="0"/>
                <w:sz w:val="18"/>
              </w:rPr>
              <w:t>Параметр</w:t>
            </w:r>
          </w:p>
        </w:tc>
        <w:tc>
          <w:tcPr>
            <w:tcW w:type="dxa" w:w="2422"/>
          </w:tcPr>
          <w:p>
            <w:r/>
            <w:r>
              <w:rPr>
                <w:rFonts w:ascii="Times New Roman" w:hAnsi="Times New Roman" w:eastAsia="Times New Roman"/>
                <w:b/>
                <w:i w:val="0"/>
                <w:sz w:val="18"/>
              </w:rPr>
              <w:t>A: промышл.</w:t>
            </w:r>
          </w:p>
        </w:tc>
        <w:tc>
          <w:tcPr>
            <w:tcW w:type="dxa" w:w="2422"/>
          </w:tcPr>
          <w:p>
            <w:r/>
            <w:r>
              <w:rPr>
                <w:rFonts w:ascii="Times New Roman" w:hAnsi="Times New Roman" w:eastAsia="Times New Roman"/>
                <w:b/>
                <w:i w:val="0"/>
                <w:sz w:val="18"/>
              </w:rPr>
              <w:t>B: лаб.</w:t>
            </w:r>
          </w:p>
        </w:tc>
        <w:tc>
          <w:tcPr>
            <w:tcW w:type="dxa" w:w="2422"/>
          </w:tcPr>
          <w:p>
            <w:r/>
            <w:r>
              <w:rPr>
                <w:rFonts w:ascii="Times New Roman" w:hAnsi="Times New Roman" w:eastAsia="Times New Roman"/>
                <w:b/>
                <w:i w:val="0"/>
                <w:sz w:val="18"/>
              </w:rPr>
              <w:t>C: экстр.</w:t>
            </w:r>
          </w:p>
        </w:tc>
      </w:tr>
      <w:tr>
        <w:tc>
          <w:tcPr>
            <w:tcW w:type="dxa" w:w="2422"/>
          </w:tcPr>
          <w:p>
            <w:r/>
            <w:r>
              <w:rPr>
                <w:rFonts w:ascii="Times New Roman" w:hAnsi="Times New Roman" w:eastAsia="Times New Roman"/>
                <w:b w:val="0"/>
                <w:i w:val="0"/>
                <w:sz w:val="18"/>
              </w:rPr>
              <w:t>Числ. апертура (NA)</w:t>
            </w:r>
          </w:p>
        </w:tc>
        <w:tc>
          <w:tcPr>
            <w:tcW w:type="dxa" w:w="2422"/>
          </w:tcPr>
          <w:p>
            <w:r/>
            <w:r>
              <w:rPr>
                <w:rFonts w:ascii="Times New Roman" w:hAnsi="Times New Roman" w:eastAsia="Times New Roman"/>
                <w:b w:val="0"/>
                <w:i w:val="0"/>
                <w:sz w:val="18"/>
              </w:rPr>
              <w:t>0,1</w:t>
            </w:r>
          </w:p>
        </w:tc>
        <w:tc>
          <w:tcPr>
            <w:tcW w:type="dxa" w:w="2422"/>
          </w:tcPr>
          <w:p>
            <w:r/>
            <w:r>
              <w:rPr>
                <w:rFonts w:ascii="Times New Roman" w:hAnsi="Times New Roman" w:eastAsia="Times New Roman"/>
                <w:b w:val="0"/>
                <w:i w:val="0"/>
                <w:sz w:val="18"/>
              </w:rPr>
              <w:t>0,4</w:t>
            </w:r>
          </w:p>
        </w:tc>
        <w:tc>
          <w:tcPr>
            <w:tcW w:type="dxa" w:w="2422"/>
          </w:tcPr>
          <w:p>
            <w:r/>
            <w:r>
              <w:rPr>
                <w:rFonts w:ascii="Times New Roman" w:hAnsi="Times New Roman" w:eastAsia="Times New Roman"/>
                <w:b w:val="0"/>
                <w:i w:val="0"/>
                <w:sz w:val="18"/>
              </w:rPr>
              <w:t>0,5</w:t>
            </w:r>
          </w:p>
        </w:tc>
      </w:tr>
      <w:tr>
        <w:tc>
          <w:tcPr>
            <w:tcW w:type="dxa" w:w="2422"/>
          </w:tcPr>
          <w:p>
            <w:r/>
            <w:r>
              <w:rPr>
                <w:rFonts w:ascii="Times New Roman" w:hAnsi="Times New Roman" w:eastAsia="Times New Roman"/>
                <w:b w:val="0"/>
                <w:i w:val="0"/>
                <w:sz w:val="18"/>
              </w:rPr>
              <w:t>Пятно d,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~2,7</w:t>
            </w:r>
          </w:p>
        </w:tc>
        <w:tc>
          <w:tcPr>
            <w:tcW w:type="dxa" w:w="2422"/>
          </w:tcPr>
          <w:p>
            <w:r/>
            <w:r>
              <w:rPr>
                <w:rFonts w:ascii="Times New Roman" w:hAnsi="Times New Roman" w:eastAsia="Times New Roman"/>
                <w:b w:val="0"/>
                <w:i w:val="0"/>
                <w:sz w:val="18"/>
              </w:rPr>
              <w:t>~2,1</w:t>
            </w:r>
          </w:p>
        </w:tc>
      </w:tr>
      <w:tr>
        <w:tc>
          <w:tcPr>
            <w:tcW w:type="dxa" w:w="2422"/>
          </w:tcPr>
          <w:p>
            <w:r/>
            <w:r>
              <w:rPr>
                <w:rFonts w:ascii="Times New Roman" w:hAnsi="Times New Roman" w:eastAsia="Times New Roman"/>
                <w:b w:val="0"/>
                <w:i w:val="0"/>
                <w:sz w:val="18"/>
              </w:rPr>
              <w:t>DOF, мкм</w:t>
            </w:r>
          </w:p>
        </w:tc>
        <w:tc>
          <w:tcPr>
            <w:tcW w:type="dxa" w:w="2422"/>
          </w:tcPr>
          <w:p>
            <w:r/>
            <w:r>
              <w:rPr>
                <w:rFonts w:ascii="Times New Roman" w:hAnsi="Times New Roman" w:eastAsia="Times New Roman"/>
                <w:b w:val="0"/>
                <w:i w:val="0"/>
                <w:sz w:val="18"/>
              </w:rPr>
              <w:t>~107</w:t>
            </w:r>
          </w:p>
        </w:tc>
        <w:tc>
          <w:tcPr>
            <w:tcW w:type="dxa" w:w="2422"/>
          </w:tcPr>
          <w:p>
            <w:r/>
            <w:r>
              <w:rPr>
                <w:rFonts w:ascii="Times New Roman" w:hAnsi="Times New Roman" w:eastAsia="Times New Roman"/>
                <w:b w:val="0"/>
                <w:i w:val="0"/>
                <w:sz w:val="18"/>
              </w:rPr>
              <w:t>~6,7</w:t>
            </w:r>
          </w:p>
        </w:tc>
        <w:tc>
          <w:tcPr>
            <w:tcW w:type="dxa" w:w="2422"/>
          </w:tcPr>
          <w:p>
            <w:r/>
            <w:r>
              <w:rPr>
                <w:rFonts w:ascii="Times New Roman" w:hAnsi="Times New Roman" w:eastAsia="Times New Roman"/>
                <w:b w:val="0"/>
                <w:i w:val="0"/>
                <w:sz w:val="18"/>
              </w:rPr>
              <w:t>~4,3</w:t>
            </w:r>
          </w:p>
        </w:tc>
      </w:tr>
      <w:tr>
        <w:tc>
          <w:tcPr>
            <w:tcW w:type="dxa" w:w="2422"/>
          </w:tcPr>
          <w:p>
            <w:r/>
            <w:r>
              <w:rPr>
                <w:rFonts w:ascii="Times New Roman" w:hAnsi="Times New Roman" w:eastAsia="Times New Roman"/>
                <w:b w:val="0"/>
                <w:i w:val="0"/>
                <w:sz w:val="18"/>
              </w:rPr>
              <w:t>СЛП</w:t>
            </w:r>
          </w:p>
        </w:tc>
        <w:tc>
          <w:tcPr>
            <w:tcW w:type="dxa" w:w="2422"/>
          </w:tcPr>
          <w:p>
            <w:r/>
            <w:r>
              <w:rPr>
                <w:rFonts w:ascii="Times New Roman" w:hAnsi="Times New Roman" w:eastAsia="Times New Roman"/>
                <w:b w:val="0"/>
                <w:i w:val="0"/>
                <w:sz w:val="18"/>
              </w:rPr>
              <w:t>Да, стандарт</w:t>
            </w:r>
          </w:p>
        </w:tc>
        <w:tc>
          <w:tcPr>
            <w:tcW w:type="dxa" w:w="2422"/>
          </w:tcPr>
          <w:p>
            <w:r/>
            <w:r>
              <w:rPr>
                <w:rFonts w:ascii="Times New Roman" w:hAnsi="Times New Roman" w:eastAsia="Times New Roman"/>
                <w:b w:val="0"/>
                <w:i w:val="0"/>
                <w:sz w:val="18"/>
              </w:rPr>
              <w:t>Только лаб.</w:t>
            </w:r>
          </w:p>
        </w:tc>
        <w:tc>
          <w:tcPr>
            <w:tcW w:type="dxa" w:w="2422"/>
          </w:tcPr>
          <w:p>
            <w:r/>
            <w:r>
              <w:rPr>
                <w:rFonts w:ascii="Times New Roman" w:hAnsi="Times New Roman" w:eastAsia="Times New Roman"/>
                <w:b w:val="0"/>
                <w:i w:val="0"/>
                <w:sz w:val="18"/>
              </w:rPr>
              <w:t>Нереализуемо</w:t>
            </w:r>
          </w:p>
        </w:tc>
      </w:tr>
      <w:tr>
        <w:tc>
          <w:tcPr>
            <w:tcW w:type="dxa" w:w="2422"/>
          </w:tcPr>
          <w:p>
            <w:r/>
            <w:r>
              <w:rPr>
                <w:rFonts w:ascii="Times New Roman" w:hAnsi="Times New Roman" w:eastAsia="Times New Roman"/>
                <w:b w:val="0"/>
                <w:i w:val="0"/>
                <w:sz w:val="18"/>
              </w:rPr>
              <w:t>Почему?</w:t>
            </w:r>
          </w:p>
        </w:tc>
        <w:tc>
          <w:tcPr>
            <w:tcW w:type="dxa" w:w="2422"/>
          </w:tcPr>
          <w:p>
            <w:r/>
            <w:r>
              <w:rPr>
                <w:rFonts w:ascii="Times New Roman" w:hAnsi="Times New Roman" w:eastAsia="Times New Roman"/>
                <w:b w:val="0"/>
                <w:i w:val="0"/>
                <w:sz w:val="18"/>
              </w:rPr>
              <w:t>DOF &gt; рельефа</w:t>
            </w:r>
          </w:p>
        </w:tc>
        <w:tc>
          <w:tcPr>
            <w:tcW w:type="dxa" w:w="2422"/>
          </w:tcPr>
          <w:p>
            <w:r/>
            <w:r>
              <w:rPr>
                <w:rFonts w:ascii="Times New Roman" w:hAnsi="Times New Roman" w:eastAsia="Times New Roman"/>
                <w:b w:val="0"/>
                <w:i w:val="0"/>
                <w:sz w:val="18"/>
              </w:rPr>
              <w:t>DOF &lt; рельефа</w:t>
            </w:r>
          </w:p>
        </w:tc>
        <w:tc>
          <w:tcPr>
            <w:tcW w:type="dxa" w:w="2422"/>
          </w:tcPr>
          <w:p>
            <w:r/>
            <w:r>
              <w:rPr>
                <w:rFonts w:ascii="Times New Roman" w:hAnsi="Times New Roman" w:eastAsia="Times New Roman"/>
                <w:b w:val="0"/>
                <w:i w:val="0"/>
                <w:sz w:val="18"/>
              </w:rPr>
              <w:t>DOF &lt;&lt; рельефа</w:t>
            </w:r>
          </w:p>
        </w:tc>
      </w:tr>
    </w:tbl>
    <w:p/>
    <w:p>
      <w:pPr>
        <w:spacing w:after="160" w:before="0" w:lineRule="auto" w:line="276"/>
        <w:ind w:firstLine="709"/>
        <w:jc w:val="both"/>
      </w:pPr>
      <w:r>
        <w:rPr>
          <w:rFonts w:ascii="Times New Roman" w:hAnsi="Times New Roman" w:eastAsia="Times New Roman"/>
          <w:b w:val="0"/>
          <w:i w:val="0"/>
          <w:sz w:val="24"/>
        </w:rPr>
        <w:t>Расшифровка. DOF — глубина резкости (в микрометрах). λ — длина волны (1,07 мкм). NA — числовая апертура (в знаменателе в квадрате!).</w:t>
      </w:r>
    </w:p>
    <w:p>
      <w:pPr>
        <w:spacing w:after="160" w:before="0" w:lineRule="auto" w:line="276"/>
        <w:ind w:firstLine="709"/>
        <w:jc w:val="both"/>
      </w:pPr>
      <w:r>
        <w:rPr>
          <w:rFonts w:ascii="Times New Roman" w:hAnsi="Times New Roman" w:eastAsia="Times New Roman"/>
          <w:b w:val="0"/>
          <w:i w:val="0"/>
          <w:sz w:val="24"/>
        </w:rPr>
        <w:t>Важно: NA в квадрате в знаменателе. DOF падает быстрее, чем размер пятна d. Это главный компромисс оптики.</w:t>
      </w:r>
    </w:p>
    <w:p>
      <w:pPr>
        <w:spacing w:after="160" w:before="0" w:lineRule="auto" w:line="276"/>
        <w:ind w:firstLine="709"/>
        <w:jc w:val="both"/>
      </w:pPr>
      <w:r>
        <w:rPr>
          <w:rFonts w:ascii="Times New Roman" w:hAnsi="Times New Roman" w:eastAsia="Times New Roman"/>
          <w:b w:val="0"/>
          <w:i w:val="0"/>
          <w:sz w:val="24"/>
        </w:rPr>
        <w:t>Рассмотрим три случая — от промышленного стандарта до экстремальной оптики.</w:t>
      </w:r>
    </w:p>
    <w:p>
      <w:pPr>
        <w:spacing w:after="160" w:before="0" w:lineRule="auto" w:line="276"/>
        <w:ind w:firstLine="709"/>
        <w:jc w:val="both"/>
      </w:pPr>
      <w:r>
        <w:rPr>
          <w:rFonts w:ascii="Times New Roman" w:hAnsi="Times New Roman" w:eastAsia="Times New Roman"/>
          <w:b w:val="0"/>
          <w:i w:val="0"/>
          <w:sz w:val="24"/>
        </w:rPr>
        <w:t>Случай А. NA = 0,1 (типичная промышленная линза): d ≈ 10,7 мкм; DOF ≈ 1,07 / 0,01 = 107 мкм ≈ 0,1 мм.</w:t>
      </w:r>
    </w:p>
    <w:p>
      <w:pPr>
        <w:spacing w:after="160" w:before="0" w:lineRule="auto" w:line="276"/>
        <w:ind w:firstLine="709"/>
        <w:jc w:val="both"/>
      </w:pPr>
      <w:r>
        <w:rPr>
          <w:rFonts w:ascii="Times New Roman" w:hAnsi="Times New Roman" w:eastAsia="Times New Roman"/>
          <w:b w:val="0"/>
          <w:i w:val="0"/>
          <w:sz w:val="24"/>
        </w:rPr>
        <w:t>На практике: при NA = 0,1 DOF около 0,1 мм. Если порошковый слой имеет неровности ±0,05 мм (типично для фракции 20–40 мкм), пятно d остаётся стабильным. Процесс устойчив.</w:t>
      </w:r>
    </w:p>
    <w:p>
      <w:pPr>
        <w:spacing w:after="160" w:before="0" w:lineRule="auto" w:line="276"/>
        <w:ind w:firstLine="709"/>
        <w:jc w:val="both"/>
      </w:pPr>
      <w:r>
        <w:rPr>
          <w:rFonts w:ascii="Times New Roman" w:hAnsi="Times New Roman" w:eastAsia="Times New Roman"/>
          <w:b w:val="0"/>
          <w:i w:val="0"/>
          <w:sz w:val="24"/>
        </w:rPr>
        <w:t>Случай Б. NA = 0,4 (короткофокусная лабораторная оптика): d ≈ 2,7 мкм; DOF ≈ 1,07 / 0,16 ≈ 6,7 мкм.</w:t>
      </w:r>
    </w:p>
    <w:p>
      <w:pPr>
        <w:spacing w:after="160" w:before="0" w:lineRule="auto" w:line="276"/>
        <w:ind w:firstLine="709"/>
        <w:jc w:val="both"/>
      </w:pPr>
      <w:r>
        <w:rPr>
          <w:rFonts w:ascii="Times New Roman" w:hAnsi="Times New Roman" w:eastAsia="Times New Roman"/>
          <w:b w:val="0"/>
          <w:i w:val="0"/>
          <w:sz w:val="24"/>
        </w:rPr>
        <w:t>DOF всего 6,7 мкм. Как только порошок поднимется или опустится на 3–5 мкм, пятно d начнёт заметно увеличиваться. При смещении на 7 мкм I упадёт в 4 раза. Пришлось бы выравнивать слой с точностью до пары микрон — с порошком 20–40 мкм это невозможно.</w:t>
      </w:r>
    </w:p>
    <w:p>
      <w:pPr>
        <w:spacing w:after="160" w:before="0" w:lineRule="auto" w:line="276"/>
        <w:ind w:firstLine="709"/>
        <w:jc w:val="both"/>
      </w:pPr>
      <w:r>
        <w:rPr>
          <w:rFonts w:ascii="Times New Roman" w:hAnsi="Times New Roman" w:eastAsia="Times New Roman"/>
          <w:b w:val="0"/>
          <w:i w:val="0"/>
          <w:sz w:val="24"/>
        </w:rPr>
        <w:t>Логичный вопрос: «А что, если взять линзу ещё круче — NA = 0,5? Пятно d ~2 мкм и фантастическое разрешение?»</w:t>
      </w:r>
    </w:p>
    <w:p>
      <w:pPr>
        <w:spacing w:after="160" w:before="0" w:lineRule="auto" w:line="276"/>
        <w:ind w:firstLine="709"/>
        <w:jc w:val="both"/>
      </w:pPr>
      <w:r>
        <w:rPr>
          <w:rFonts w:ascii="Times New Roman" w:hAnsi="Times New Roman" w:eastAsia="Times New Roman"/>
          <w:b w:val="0"/>
          <w:i w:val="0"/>
          <w:sz w:val="24"/>
        </w:rPr>
        <w:t>Случай В. NA = 0,5 (экстремальная оптика): d ≈ 2,14 мкм; DOF ≈ 1,07 / 0,25 ≈ 4,3 мкм. Фокус острый только в диапазоне ±2 мкм.</w:t>
      </w:r>
    </w:p>
    <w:p>
      <w:pPr>
        <w:spacing w:after="160" w:before="0" w:lineRule="auto" w:line="276"/>
        <w:ind w:firstLine="709"/>
        <w:jc w:val="both"/>
      </w:pPr>
      <w:r>
        <w:rPr>
          <w:rFonts w:ascii="Times New Roman" w:hAnsi="Times New Roman" w:eastAsia="Times New Roman"/>
          <w:b w:val="0"/>
          <w:i w:val="0"/>
          <w:sz w:val="24"/>
        </w:rPr>
        <w:t>Почему это невозможно в реальном СЛП-станке? Три причины.</w:t>
      </w:r>
    </w:p>
    <w:p>
      <w:pPr>
        <w:spacing w:after="160" w:before="0" w:lineRule="auto" w:line="276"/>
        <w:ind w:firstLine="709"/>
        <w:jc w:val="both"/>
      </w:pPr>
      <w:r>
        <w:rPr>
          <w:rFonts w:ascii="Times New Roman" w:hAnsi="Times New Roman" w:eastAsia="Times New Roman"/>
          <w:b w:val="0"/>
          <w:i w:val="0"/>
          <w:sz w:val="24"/>
        </w:rPr>
        <w:t>Причина №1: рельеф порошка. Фракция 20–40 мкм даёт рельеф слоя 10–20 мкм. Расстояние от фокуса до соседней частицы — 15 мкм, что в 3–4 раза больше DOF. Пятно d на «горбах» огромное, на впадинах — нулевая I.</w:t>
      </w:r>
    </w:p>
    <w:p>
      <w:pPr>
        <w:spacing w:after="160" w:before="0" w:lineRule="auto" w:line="276"/>
        <w:ind w:firstLine="709"/>
        <w:jc w:val="both"/>
      </w:pPr>
      <w:r>
        <w:rPr>
          <w:rFonts w:ascii="Times New Roman" w:hAnsi="Times New Roman" w:eastAsia="Times New Roman"/>
          <w:b w:val="0"/>
          <w:i w:val="0"/>
          <w:sz w:val="24"/>
        </w:rPr>
        <w:t>Причина №2: физический предел малой DOF. Даже при идеально выровненном слое луч «проваливается» в поры между частицами при сканировании.</w:t>
      </w:r>
    </w:p>
    <w:p>
      <w:pPr>
        <w:spacing w:after="160" w:before="0" w:lineRule="auto" w:line="276"/>
        <w:ind w:firstLine="709"/>
        <w:jc w:val="both"/>
      </w:pPr>
      <w:r>
        <w:rPr>
          <w:rFonts w:ascii="Times New Roman" w:hAnsi="Times New Roman" w:eastAsia="Times New Roman"/>
          <w:b w:val="0"/>
          <w:i w:val="0"/>
          <w:sz w:val="24"/>
        </w:rPr>
        <w:t>Причина №3: экономика и надёжность. NA = 0,5 требует порошка 1–5 мкм (дорого, взрывоопасно), активной автофокусировки и короткофокусной оптики у порошка — риск загрязнения линзы.</w:t>
      </w:r>
    </w:p>
    <w:p>
      <w:pPr>
        <w:spacing w:after="160" w:before="0" w:lineRule="auto" w:line="276"/>
        <w:ind w:firstLine="709"/>
        <w:jc w:val="both"/>
      </w:pPr>
      <w:r>
        <w:rPr>
          <w:rFonts w:ascii="Times New Roman" w:hAnsi="Times New Roman" w:eastAsia="Times New Roman"/>
          <w:b w:val="0"/>
          <w:i w:val="0"/>
          <w:sz w:val="24"/>
        </w:rPr>
        <w:t>Итог: линза с NA = 0,5 — как микроскоп: идеальная картинка только на идеально плоском объекте. В СЛП — слой шероховатого порошка с перепадами в десятки микрон. Поэтому индустрия выбирает NA ≈ 0,08–0,15.</w:t>
      </w:r>
    </w:p>
    <w:p>
      <w:pPr>
        <w:spacing w:after="160" w:before="0" w:lineRule="auto" w:line="276"/>
        <w:ind w:firstLine="709"/>
        <w:jc w:val="both"/>
      </w:pPr>
      <w:r>
        <w:rPr>
          <w:rFonts w:ascii="Times New Roman" w:hAnsi="Times New Roman" w:eastAsia="Times New Roman"/>
          <w:b w:val="0"/>
          <w:i w:val="0"/>
          <w:sz w:val="24"/>
        </w:rPr>
        <w:t>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Третий важный фактор. Даже при идеальной линзе с большой NA реальное пятно d больше, чем предсказывает d ≈ λ / NA. Потому что реальный лазерный пучок — не идеально гауссов.</w:t>
      </w:r>
    </w:p>
    <w:p>
      <w:pPr>
        <w:spacing w:after="160" w:before="0" w:lineRule="auto" w:line="276"/>
        <w:ind w:firstLine="709"/>
        <w:jc w:val="both"/>
      </w:pPr>
      <w:r>
        <w:rPr>
          <w:rFonts w:ascii="Times New Roman" w:hAnsi="Times New Roman" w:eastAsia="Times New Roman"/>
          <w:b w:val="0"/>
          <w:i w:val="0"/>
          <w:sz w:val="24"/>
        </w:rPr>
        <w:t>Качество пучка описывается параметром M²(читается «эм-квадрат», параметр качества пучка). У идеального лазера M² = 1. У волоконных M² ≈ 1,1–1,5. У диодных M² ≈ 10–30.</w:t>
      </w:r>
    </w:p>
    <w:p>
      <w:pPr>
        <w:spacing w:before="160" w:after="80"/>
        <w:jc w:val="center"/>
      </w:pPr>
      <w:r>
        <w:drawing>
          <wp:inline xmlns:a="http://schemas.openxmlformats.org/drawingml/2006/main" xmlns:pic="http://schemas.openxmlformats.org/drawingml/2006/picture">
            <wp:extent cx="5040000" cy="3251613"/>
            <wp:docPr id="33" name="Picture 33"/>
            <wp:cNvGraphicFramePr>
              <a:graphicFrameLocks noChangeAspect="1"/>
            </wp:cNvGraphicFramePr>
            <a:graphic>
              <a:graphicData uri="http://schemas.openxmlformats.org/drawingml/2006/picture">
                <pic:pic>
                  <pic:nvPicPr>
                    <pic:cNvPr id="0" name="ch5_m2.png"/>
                    <pic:cNvPicPr/>
                  </pic:nvPicPr>
                  <pic:blipFill>
                    <a:blip r:embed="rId41"/>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6.5. Параметр M² и реальный диаметр пятна d</w:t>
      </w:r>
      <w:r>
        <w:rPr>
          <w:rFonts w:ascii="Times New Roman" w:hAnsi="Times New Roman" w:eastAsia="Times New Roman"/>
          <w:b w:val="0"/>
          <w:i/>
          <w:sz w:val="20"/>
          <w:vertAlign w:val="subscript"/>
        </w:rPr>
        <w:t>реал</w:t>
      </w:r>
      <w:r>
        <w:rPr>
          <w:rFonts w:ascii="Times New Roman" w:hAnsi="Times New Roman" w:eastAsia="Times New Roman"/>
          <w:b w:val="0"/>
          <w:i/>
          <w:sz w:val="20"/>
        </w:rPr>
        <w:t xml:space="preserve"> = M²·d</w:t>
      </w:r>
      <w:r>
        <w:rPr>
          <w:rFonts w:ascii="Times New Roman" w:hAnsi="Times New Roman" w:eastAsia="Times New Roman"/>
          <w:b w:val="0"/>
          <w:i/>
          <w:sz w:val="20"/>
          <w:vertAlign w:val="subscript"/>
        </w:rPr>
        <w:t>идеал</w:t>
      </w:r>
    </w:p>
    <w:p>
      <w:pPr>
        <w:spacing w:after="160" w:before="0" w:lineRule="auto" w:line="276"/>
        <w:ind w:firstLine="709"/>
        <w:jc w:val="both"/>
      </w:pPr>
      <w:r>
        <w:rPr>
          <w:rFonts w:ascii="Times New Roman" w:hAnsi="Times New Roman" w:eastAsia="Times New Roman"/>
          <w:b w:val="0"/>
          <w:i w:val="0"/>
          <w:sz w:val="24"/>
        </w:rPr>
        <w:t>Формула реального пятна: dреал = M² · dидеал.</w:t>
      </w:r>
    </w:p>
    <w:p>
      <w:pPr>
        <w:spacing w:after="160" w:before="0" w:lineRule="auto" w:line="276"/>
        <w:ind w:firstLine="709"/>
        <w:jc w:val="both"/>
      </w:pPr>
      <w:r>
        <w:rPr>
          <w:rFonts w:ascii="Times New Roman" w:hAnsi="Times New Roman" w:eastAsia="Times New Roman"/>
          <w:b w:val="0"/>
          <w:i w:val="0"/>
          <w:sz w:val="24"/>
        </w:rPr>
        <w:t>Пример. Волоконный: M² = 1,3, dидеал = 10 мкм → dреал ≈ 13 мкм. Диодный: M² = 20, dидеал = 10 мкм → dреал ≈ 200 мкм.</w:t>
      </w:r>
    </w:p>
    <w:p>
      <w:pPr>
        <w:spacing w:after="160" w:before="0" w:lineRule="auto" w:line="276"/>
        <w:ind w:firstLine="709"/>
        <w:jc w:val="both"/>
      </w:pPr>
      <w:r>
        <w:rPr>
          <w:rFonts w:ascii="Times New Roman" w:hAnsi="Times New Roman" w:eastAsia="Times New Roman"/>
          <w:b w:val="0"/>
          <w:i w:val="0"/>
          <w:sz w:val="24"/>
        </w:rPr>
        <w:t>Вывод: диодный лазер при той же мощности P 200 Вт даст пятно d в 20 раз больше. I будет в 400 раз меньше! Именно поэтому в СЛП используют волоконные лазеры с M²(параметром качества пучка) близким к 1.</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Плотность мощности I = P / S — главный параметр. Линза — усилитель, сжимающий энергию в пространстве.</w:t>
      </w:r>
    </w:p>
    <w:p>
      <w:pPr>
        <w:spacing w:after="160" w:before="0" w:lineRule="auto" w:line="276"/>
        <w:ind w:firstLine="709"/>
        <w:jc w:val="both"/>
      </w:pPr>
      <w:r>
        <w:rPr>
          <w:rFonts w:ascii="Times New Roman" w:hAnsi="Times New Roman" w:eastAsia="Times New Roman"/>
          <w:b w:val="0"/>
          <w:i w:val="0"/>
          <w:sz w:val="24"/>
        </w:rPr>
        <w:t>Второе. Размер пятна d ≈ λ / NA — обратно пропорционален NA.</w:t>
      </w:r>
    </w:p>
    <w:p>
      <w:pPr>
        <w:spacing w:after="160" w:before="0" w:lineRule="auto" w:line="276"/>
        <w:ind w:firstLine="709"/>
        <w:jc w:val="both"/>
      </w:pPr>
      <w:r>
        <w:rPr>
          <w:rFonts w:ascii="Times New Roman" w:hAnsi="Times New Roman" w:eastAsia="Times New Roman"/>
          <w:b w:val="0"/>
          <w:i w:val="0"/>
          <w:sz w:val="24"/>
        </w:rPr>
        <w:t>Третье. Глубина резкости DOF ≈ λ / NA² — падает быстрее, чем d. Малое пятно требует идеально ровного слоя.</w:t>
      </w:r>
    </w:p>
    <w:p>
      <w:pPr>
        <w:spacing w:after="160" w:before="0" w:lineRule="auto" w:line="276"/>
        <w:ind w:firstLine="709"/>
        <w:jc w:val="both"/>
      </w:pPr>
      <w:r>
        <w:rPr>
          <w:rFonts w:ascii="Times New Roman" w:hAnsi="Times New Roman" w:eastAsia="Times New Roman"/>
          <w:b w:val="0"/>
          <w:i w:val="0"/>
          <w:sz w:val="24"/>
        </w:rPr>
        <w:t>Четвёртое. Реальное пятно dреал = M² · dидеал — зависит от качества пучка. Большое M² сводит на нет преимущества оптики.</w:t>
      </w:r>
    </w:p>
    <w:p>
      <w:pPr>
        <w:spacing w:after="160" w:before="0" w:lineRule="auto" w:line="276"/>
        <w:ind w:firstLine="709"/>
        <w:jc w:val="both"/>
      </w:pPr>
      <w:r>
        <w:rPr>
          <w:rFonts w:ascii="Times New Roman" w:hAnsi="Times New Roman" w:eastAsia="Times New Roman"/>
          <w:b w:val="0"/>
          <w:i w:val="0"/>
          <w:sz w:val="24"/>
        </w:rPr>
        <w:t>Пятое. Почему не NA = 0,5 в СЛП? DOF ~4 мкм, а порошок имеет неровности 20–40 мкм. Промышленность выбирает NA ≈ 0,08–0,15: пятно d 30–50 мкм, DOF 100–300 мкм.</w:t>
      </w:r>
    </w:p>
    <w:p>
      <w:pPr>
        <w:spacing w:after="160" w:before="0" w:lineRule="auto" w:line="276"/>
        <w:ind w:firstLine="709"/>
        <w:jc w:val="both"/>
      </w:pPr>
      <w:r>
        <w:rPr>
          <w:rFonts w:ascii="Times New Roman" w:hAnsi="Times New Roman" w:eastAsia="Times New Roman"/>
          <w:b w:val="0"/>
          <w:i w:val="0"/>
          <w:sz w:val="24"/>
        </w:rPr>
        <w:t>В этой главе линзы рассматривались в приближении геометрической оптики — свет как система прямых лучей. Но в d ≈ λ / NA спрятана волновая природа — дифракция. В следующей главе («Волновая оптика») разберём, почему пятно не может быть бесконечно малым и что такое интерференция.</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Pпогл / Pпад.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dидеал</w:t>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dреал</w:t>
        <w:tab/>
        <w:t>Реальный диаметр пятна с учётом качества пучка: dреал = M²·dидеал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p>
      <w:pPr>
        <w:spacing w:after="80" w:before="0" w:lineRule="auto" w:line="276"/>
        <w:jc w:val="both"/>
      </w:pPr>
      <w:r>
        <w:rPr>
          <w:rFonts w:ascii="Times New Roman" w:hAnsi="Times New Roman" w:eastAsia="Times New Roman"/>
          <w:b w:val="0"/>
          <w:i w:val="0"/>
          <w:sz w:val="22"/>
        </w:rPr>
        <w:t>SHG</w:t>
        <w:tab/>
        <w:t>Генерация второй гармоники (Second Harmonic Generation): 1070 нм (ω) → 535 нм (2ω) в нелинейном кристалле</w:t>
      </w:r>
    </w:p>
    <w:p>
      <w:pPr>
        <w:spacing w:after="80" w:before="0" w:lineRule="auto" w:line="276"/>
        <w:jc w:val="both"/>
      </w:pPr>
      <w:r>
        <w:rPr>
          <w:rFonts w:ascii="Times New Roman" w:hAnsi="Times New Roman" w:eastAsia="Times New Roman"/>
          <w:b w:val="0"/>
          <w:i w:val="0"/>
          <w:sz w:val="22"/>
        </w:rPr>
        <w:t>PPLN</w:t>
        <w:tab/>
        <w:t>Периодически поляризованный ниобат лития (Periodically Poled Lithium Niobate); знак χ⁽²⁾ меняется каждые Λ</w:t>
      </w:r>
    </w:p>
    <w:p>
      <w:pPr>
        <w:spacing w:after="80" w:before="0" w:lineRule="auto" w:line="276"/>
        <w:jc w:val="both"/>
      </w:pPr>
      <w:r>
        <w:rPr>
          <w:rFonts w:ascii="Times New Roman" w:hAnsi="Times New Roman" w:eastAsia="Times New Roman"/>
          <w:b w:val="0"/>
          <w:i w:val="0"/>
          <w:sz w:val="22"/>
        </w:rPr>
        <w:t>InGaN</w:t>
        <w:tab/>
        <w:t>Нитрид индия-галлия — полупроводниковая система диодных лазеров видимого диапазона</w:t>
      </w:r>
    </w:p>
    <w:p>
      <w:pPr>
        <w:spacing w:after="80" w:before="0" w:lineRule="auto" w:line="276"/>
        <w:jc w:val="both"/>
      </w:pPr>
      <w:r>
        <w:rPr>
          <w:rFonts w:ascii="Times New Roman" w:hAnsi="Times New Roman" w:eastAsia="Times New Roman"/>
          <w:b w:val="0"/>
          <w:i w:val="0"/>
          <w:sz w:val="22"/>
        </w:rPr>
        <w:t>QCSE</w:t>
        <w:tab/>
        <w:t>Квантово-размерный эффект Штарка: пьезополе в квантовой яме разводит электрон и дырку</w:t>
      </w:r>
    </w:p>
    <w:p>
      <w:pPr>
        <w:spacing w:after="80" w:before="0" w:lineRule="auto" w:line="276"/>
        <w:jc w:val="both"/>
      </w:pPr>
      <w:r>
        <w:rPr>
          <w:rFonts w:ascii="Times New Roman" w:hAnsi="Times New Roman" w:eastAsia="Times New Roman"/>
          <w:b w:val="0"/>
          <w:i w:val="0"/>
          <w:sz w:val="22"/>
        </w:rPr>
        <w:t>V-дефекты</w:t>
        <w:tab/>
        <w:t>Дефекты кристаллической решётки InGaN при высокой доле In; ловушки, переводящие энергию в тепло</w:t>
      </w:r>
    </w:p>
    <w:p>
      <w:pPr>
        <w:spacing w:after="80" w:before="0" w:lineRule="auto" w:line="276"/>
        <w:jc w:val="both"/>
      </w:pPr>
      <w:r>
        <w:rPr>
          <w:rFonts w:ascii="Times New Roman" w:hAnsi="Times New Roman" w:eastAsia="Times New Roman"/>
          <w:b w:val="0"/>
          <w:i w:val="0"/>
          <w:sz w:val="22"/>
        </w:rPr>
        <w:t>χ⁽¹⁾, χ⁽²⁾, χ⁽³⁾</w:t>
        <w:tab/>
        <w:t>Линейная, квадратичная и кубическая восприимчивости в разложении поляризации P(E)</w:t>
      </w:r>
    </w:p>
    <w:p>
      <w:pPr>
        <w:spacing w:after="80" w:before="0" w:lineRule="auto" w:line="276"/>
        <w:jc w:val="both"/>
      </w:pPr>
      <w:r>
        <w:rPr>
          <w:rFonts w:ascii="Times New Roman" w:hAnsi="Times New Roman" w:eastAsia="Times New Roman"/>
          <w:b w:val="0"/>
          <w:i w:val="0"/>
          <w:sz w:val="22"/>
        </w:rPr>
        <w:t>ε₀</w:t>
        <w:tab/>
        <w:t>Электрическая постоянная ≈ 8,85·10⁻¹² Ф/м</w:t>
      </w:r>
    </w:p>
    <w:p>
      <w:pPr>
        <w:spacing w:after="80" w:before="0" w:lineRule="auto" w:line="276"/>
        <w:jc w:val="both"/>
      </w:pPr>
      <w:r>
        <w:rPr>
          <w:rFonts w:ascii="Times New Roman" w:hAnsi="Times New Roman" w:eastAsia="Times New Roman"/>
          <w:b w:val="0"/>
          <w:i w:val="0"/>
          <w:sz w:val="22"/>
        </w:rPr>
        <w:t>ω, 2ω</w:t>
        <w:tab/>
        <w:t>Циклическая частота накачки и второй гармоники; ω = 2π·c/λ</w:t>
      </w:r>
    </w:p>
    <w:p>
      <w:pPr>
        <w:spacing w:after="80" w:before="0" w:lineRule="auto" w:line="276"/>
        <w:jc w:val="both"/>
      </w:pPr>
      <w:r>
        <w:rPr>
          <w:rFonts w:ascii="Times New Roman" w:hAnsi="Times New Roman" w:eastAsia="Times New Roman"/>
          <w:b w:val="0"/>
          <w:i w:val="0"/>
          <w:sz w:val="22"/>
        </w:rPr>
        <w:t>Λ</w:t>
        <w:tab/>
        <w:t>Период решётки переполяризации PPLN (прописная лямбда); для 1070→535 нм Λ ≈ 6,96 мкм</w:t>
      </w:r>
    </w:p>
    <w:p>
      <w:pPr>
        <w:spacing w:after="80" w:before="0" w:lineRule="auto" w:line="276"/>
        <w:jc w:val="both"/>
      </w:pPr>
      <w:r>
        <w:rPr>
          <w:rFonts w:ascii="Times New Roman" w:hAnsi="Times New Roman" w:eastAsia="Times New Roman"/>
          <w:b w:val="0"/>
          <w:i w:val="0"/>
          <w:sz w:val="22"/>
        </w:rPr>
        <w:t>Δk</w:t>
        <w:tab/>
        <w:t>Рассогласование волновых чисел: Δk = k2ω − 2kω; условие синхронизма Δk = 2π/Λ</w:t>
      </w:r>
    </w:p>
    <w:p>
      <w:pPr>
        <w:spacing w:after="80" w:before="0" w:lineRule="auto" w:line="276"/>
        <w:jc w:val="both"/>
      </w:pPr>
      <w:r>
        <w:rPr>
          <w:rFonts w:ascii="Times New Roman" w:hAnsi="Times New Roman" w:eastAsia="Times New Roman"/>
          <w:b w:val="0"/>
          <w:i w:val="0"/>
          <w:sz w:val="22"/>
        </w:rPr>
        <w:t>sinc²(x)</w:t>
        <w:tab/>
        <w:t>Квадрат sinc(x) = sin(x)/x; описывает падение эффективности SHG при фазовом рассогласовании</w:t>
      </w:r>
    </w:p>
    <w:p>
      <w:pPr>
        <w:spacing w:after="80" w:before="0" w:lineRule="auto" w:line="276"/>
        <w:jc w:val="both"/>
      </w:pPr>
      <w:r>
        <w:rPr>
          <w:rFonts w:ascii="Times New Roman" w:hAnsi="Times New Roman" w:eastAsia="Times New Roman"/>
          <w:b w:val="0"/>
          <w:i w:val="0"/>
          <w:sz w:val="22"/>
        </w:rPr>
        <w:t>η</w:t>
        <w:tab/>
        <w:t>Эффективность преобразования SHG: η = P2ω / Pω</w:t>
      </w:r>
    </w:p>
    <w:p>
      <w:pPr>
        <w:spacing w:after="80" w:before="0" w:lineRule="auto" w:line="276"/>
        <w:jc w:val="both"/>
      </w:pPr>
      <w:r>
        <w:rPr>
          <w:rFonts w:ascii="Times New Roman" w:hAnsi="Times New Roman" w:eastAsia="Times New Roman"/>
          <w:b w:val="0"/>
          <w:i w:val="0"/>
          <w:sz w:val="22"/>
        </w:rPr>
        <w:t>deff</w:t>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Квазифазовый синхронизм</w:t>
        <w:tab/>
        <w:t>Компенсация набега фазы за счёт периодического переворота знака χ⁽²⁾ в PPLN</w:t>
      </w:r>
    </w:p>
    <w:p>
      <w:pPr>
        <w:spacing w:after="80" w:before="0" w:lineRule="auto" w:line="276"/>
        <w:jc w:val="both"/>
      </w:pPr>
      <w:r>
        <w:rPr>
          <w:rFonts w:ascii="Times New Roman" w:hAnsi="Times New Roman" w:eastAsia="Times New Roman"/>
          <w:b w:val="0"/>
          <w:i w:val="0"/>
          <w:sz w:val="22"/>
        </w:rPr>
        <w:t>Оптическое выпрямление</w:t>
        <w:tab/>
        <w:t>Постоянная составляющая P⁽²⁾(t) (~ 1/2): поле не излучает, для SHG бесполезно</w:t>
      </w:r>
    </w:p>
    <w:p>
      <w:pPr>
        <w:spacing w:after="80" w:before="0" w:lineRule="auto" w:line="276"/>
        <w:jc w:val="both"/>
      </w:pPr>
      <w:r>
        <w:rPr>
          <w:rFonts w:ascii="Times New Roman" w:hAnsi="Times New Roman" w:eastAsia="Times New Roman"/>
          <w:b w:val="0"/>
          <w:i w:val="0"/>
          <w:sz w:val="22"/>
        </w:rPr>
        <w:t>dn/dT</w:t>
        <w:tab/>
        <w:t>Термооптический коэффициент: изменение показателя преломления с температурой</w:t>
      </w:r>
    </w:p>
    <w:p>
      <w:pPr>
        <w:spacing w:after="80" w:before="0" w:lineRule="auto" w:line="276"/>
        <w:jc w:val="both"/>
      </w:pPr>
      <w:r>
        <w:rPr>
          <w:rFonts w:ascii="Times New Roman" w:hAnsi="Times New Roman" w:eastAsia="Times New Roman"/>
          <w:b w:val="0"/>
          <w:i w:val="0"/>
          <w:sz w:val="22"/>
        </w:rPr>
        <w:t>Плавленый кварц</w:t>
        <w:tab/>
        <w:t>Fused silica; dn/dT ≈ +9·10⁻⁶ К⁻¹, прозрачен на 1070 и 535 нм; материал клина термокомпенсации</w:t>
      </w:r>
    </w:p>
    <w:p>
      <w:pPr>
        <w:spacing w:after="80" w:before="0" w:lineRule="auto" w:line="276"/>
        <w:jc w:val="both"/>
      </w:pPr>
      <w:r>
        <w:rPr>
          <w:rFonts w:ascii="Times New Roman" w:hAnsi="Times New Roman" w:eastAsia="Times New Roman"/>
          <w:b w:val="0"/>
          <w:i w:val="0"/>
          <w:sz w:val="22"/>
        </w:rPr>
        <w:t>Двухпроходная схема</w:t>
        <w:tab/>
        <w:t>SHG при прямом и обратном проходе через кристалл; удваивает длину взаимодействия</w:t>
      </w:r>
    </w:p>
    <w:p>
      <w:pPr>
        <w:spacing w:after="80" w:before="0" w:lineRule="auto" w:line="276"/>
        <w:jc w:val="both"/>
      </w:pPr>
      <w:r>
        <w:rPr>
          <w:rFonts w:ascii="Times New Roman" w:hAnsi="Times New Roman" w:eastAsia="Times New Roman"/>
          <w:b w:val="0"/>
          <w:i w:val="0"/>
          <w:sz w:val="22"/>
        </w:rPr>
        <w:t>Проблема зелёного диапазона</w:t>
        <w:tab/>
        <w:t>Green gap: падение эффективности InGaN-диодов в зелёном диапазоне из-за дефектов решётки и QCSE</w:t>
      </w:r>
    </w:p>
    <w:p>
      <w:pPr>
        <w:spacing w:after="80" w:before="0" w:lineRule="auto" w:line="276"/>
        <w:jc w:val="both"/>
      </w:pPr>
      <w:r>
        <w:rPr>
          <w:rFonts w:ascii="Times New Roman" w:hAnsi="Times New Roman" w:eastAsia="Times New Roman"/>
          <w:b w:val="0"/>
          <w:i w:val="0"/>
          <w:sz w:val="22"/>
        </w:rPr>
        <w:t>E</w:t>
      </w:r>
      <w:r>
        <w:rPr>
          <w:rFonts w:ascii="Times New Roman" w:hAnsi="Times New Roman" w:eastAsia="Times New Roman"/>
          <w:b w:val="0"/>
          <w:i w:val="0"/>
          <w:sz w:val="22"/>
          <w:vertAlign w:val="subscript"/>
        </w:rPr>
        <w:t>акт</w:t>
      </w:r>
      <w:r>
        <w:rPr>
          <w:rFonts w:ascii="Times New Roman" w:hAnsi="Times New Roman" w:eastAsia="Times New Roman"/>
          <w:b w:val="0"/>
          <w:i w:val="0"/>
          <w:sz w:val="22"/>
        </w:rPr>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T</w:t>
      </w:r>
      <w:r>
        <w:rPr>
          <w:rFonts w:ascii="Times New Roman" w:hAnsi="Times New Roman" w:eastAsia="Times New Roman"/>
          <w:b w:val="0"/>
          <w:i w:val="0"/>
          <w:sz w:val="22"/>
          <w:vertAlign w:val="subscript"/>
        </w:rPr>
        <w:t>пл</w:t>
      </w:r>
      <w:r>
        <w:rPr>
          <w:rFonts w:ascii="Times New Roman" w:hAnsi="Times New Roman" w:eastAsia="Times New Roman"/>
          <w:b w:val="0"/>
          <w:i w:val="0"/>
          <w:sz w:val="22"/>
        </w:rPr>
        <w:tab/>
        <w:t>Температура плавления материала</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eff</w:t>
      </w:r>
      <w:r>
        <w:rPr>
          <w:rFonts w:ascii="Times New Roman" w:hAnsi="Times New Roman" w:eastAsia="Times New Roman"/>
          <w:b w:val="0"/>
          <w:i w:val="0"/>
          <w:sz w:val="22"/>
        </w:rPr>
        <w:tab/>
        <w:t>Эффективный коэффициент нелинейности; для MgO:PPLN d₃₃ ≈ 25 пм/В</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идеал</w:t>
      </w:r>
      <w:r>
        <w:rPr>
          <w:rFonts w:ascii="Times New Roman" w:hAnsi="Times New Roman" w:eastAsia="Times New Roman"/>
          <w:b w:val="0"/>
          <w:i w:val="0"/>
          <w:sz w:val="22"/>
        </w:rPr>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ab/>
        <w:t>Реальный диаметр пятна с учётом качества пучка: d</w:t>
      </w:r>
      <w:r>
        <w:rPr>
          <w:rFonts w:ascii="Times New Roman" w:hAnsi="Times New Roman" w:eastAsia="Times New Roman"/>
          <w:b w:val="0"/>
          <w:i w:val="0"/>
          <w:sz w:val="22"/>
          <w:vertAlign w:val="subscript"/>
        </w:rPr>
        <w:t>реал</w:t>
      </w:r>
      <w:r>
        <w:rPr>
          <w:rFonts w:ascii="Times New Roman" w:hAnsi="Times New Roman" w:eastAsia="Times New Roman"/>
          <w:b w:val="0"/>
          <w:i w:val="0"/>
          <w:sz w:val="22"/>
        </w:rPr>
        <w:t xml:space="preserve"> = M²·d</w:t>
      </w:r>
      <w:r>
        <w:rPr>
          <w:rFonts w:ascii="Times New Roman" w:hAnsi="Times New Roman" w:eastAsia="Times New Roman"/>
          <w:b w:val="0"/>
          <w:i w:val="0"/>
          <w:sz w:val="22"/>
          <w:vertAlign w:val="subscript"/>
        </w:rPr>
        <w:t>идеал</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