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Georgia" w:cs="Georgia" w:eastAsia="Georgia" w:hAnsi="Georgia"/>
          <w:b/>
          <w:bCs/>
          <w:color w:val="1A1A18"/>
          <w:sz w:val="40"/>
          <w:szCs w:val="40"/>
        </w:rPr>
        <w:t xml:space="preserve">PsyLex</w:t>
      </w:r>
      <w:r>
        <w:rPr>
          <w:rFonts w:ascii="Calibri" w:cs="Calibri" w:eastAsia="Calibri" w:hAnsi="Calibri"/>
          <w:color w:val="5C5C58"/>
          <w:sz w:val="20"/>
          <w:szCs w:val="20"/>
        </w:rPr>
        <w:t xml:space="preserve">  ·  User guide</w:t>
      </w:r>
    </w:p>
    <w:p>
      <w:pPr>
        <w:pBdr>
          <w:bottom w:val="single" w:color="9A7B2F" w:sz="12" w:space="8"/>
        </w:pBdr>
        <w:spacing w:after="280"/>
      </w:pPr>
      <w:r>
        <w:rPr>
          <w:rFonts w:ascii="Georgia" w:cs="Georgia" w:eastAsia="Georgia" w:hAnsi="Georgia"/>
          <w:b/>
          <w:bCs/>
          <w:color w:val="1A1A18"/>
          <w:sz w:val="36"/>
          <w:szCs w:val="36"/>
        </w:rPr>
        <w:t xml:space="preserve">PsyLex user instructions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PsyLex is a structured mediation platform. AI helps both parties to a dispute find what they truly need and record a voluntary agreement.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Legal information, not legal advice.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PsyLex does not replace a lawyer or a psychologist and is not therapy. Participation is voluntary: you may pause or end the process at any time.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Two operating modes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Mode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Who leads the session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For whom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Mode A: Self-guided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Mediation AI agent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Party A and Party B without a live mediator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Mode B: For mediators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A human mediator with AI support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Party A and Party B + mediator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mode is set by whoever created the room: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administrator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created the room → Mode A;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created the room → Mode B.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Parties do not choose the mode themselves.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The organizer of the room sets it.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Which instruction to read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Role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Document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Party A or Party B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parties.md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Mediator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mediator.md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Platform administrator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admin.md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In the app, 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Help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to read these instructions, download PDF / DOCX, or ask the chat assistant.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Administrators and mediators manage participants under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Sides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(mediators: own rooms only; admins: all parties, including roomless). Parties see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B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in the header, often with a case title (for example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A · Claimant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), and can open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My 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How to sign 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Open the PsyLex home page and 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Login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Start on my own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For Mediators →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Enter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login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(format psylex_…)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password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sent by the administrator or mediator.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Or open a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in a normal browser, sign-in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completes automatically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(if JavaScript is off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Continue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 The link is one-time and valid for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72 hours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Self-registration is not available.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 administrator (Mode A) or a mediator (Mode B) creates the account. A Magic Link can be generated by an admin or by a mediator (for parties in their rooms).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Interface language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header or sidebar has an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switcher. The selected language is stored. Help, downloads, and chat-assistant replies use the same language.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Ask the Help assistant about waits (toasters),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Sides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schedule, or Mode A/B.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Short process path (Party A and Party B)</w:t>
      </w:r>
    </w:p>
    <w:p>
      <w:pPr>
        <w:shd w:fill="F6F3EC" w:val="clear"/>
        <w:spacing w:after="160" w:before="80"/>
      </w:pPr>
      <w:r>
        <w:rPr>
          <w:rFonts w:ascii="Consolas" w:cs="Consolas" w:eastAsia="Consolas" w:hAnsi="Consolas"/>
          <w:color w:val="1A1A18"/>
          <w:sz w:val="18"/>
          <w:szCs w:val="18"/>
        </w:rPr>
        <w:t xml:space="preserve">Sign in → Welcome → Consent → Tests → Dispute description
       → Lobby (readiness / schedule)
       → Mediation session
       → Voting → (compromise if needed) → Agreement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Details of buttons, timers (Mode A: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120 min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reply time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15 min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), and toasters are in parties.md. Mediators and administrators have separate consoles — see the matching instructions.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4CC" w:sz="6" w:space="8"/>
      </w:pBdr>
      <w:tabs>
        <w:tab w:val="right" w:pos="9360"/>
      </w:tabs>
    </w:pPr>
    <w:r>
      <w:rPr>
        <w:rFonts w:ascii="Calibri" w:cs="Calibri" w:eastAsia="Calibri" w:hAnsi="Calibri"/>
        <w:color w:val="5C5C58"/>
        <w:sz w:val="16"/>
        <w:szCs w:val="16"/>
      </w:rPr>
      <w:t xml:space="preserve">PsyLex</w:t>
    </w:r>
    <w:r>
      <w:rPr>
        <w:sz w:val="16"/>
        <w:szCs w:val="16"/>
      </w:rPr>
      <w:t xml:space="preserve">	</w:t>
    </w:r>
    <w:r>
      <w:rPr>
        <w:color w:val="5C5C5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A7B2F" w:sz="12" w:space="6"/>
      </w:pBdr>
    </w:pPr>
    <w:r>
      <w:drawing>
        <wp:inline distT="0" distB="0" distL="0" distR="0">
          <wp:extent cx="34290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Georgia" w:cs="Georgia" w:eastAsia="Georgia" w:hAnsi="Georgia"/>
        <w:b/>
        <w:bCs/>
        <w:color w:val="1A1A18"/>
        <w:sz w:val="22"/>
        <w:szCs w:val="22"/>
      </w:rPr>
      <w:t xml:space="preserve">  PsyLex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82e1ab72eb9dd7db09dcdb5aeeb5ad633e3283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2026-10-27T10:36:59.630Z</dcterms:created>
  <dcterms:modified xsi:type="dcterms:W3CDTF">2026-10-27T10:36:59.630Z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