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Appendix A. A minimal simulation of experience transfer between buildings</w:t>
      </w:r>
    </w:p>
    <w:p>
      <w:pPr>
        <w:spacing w:after="140"/>
      </w:pPr>
      <w:r>
        <w:t xml:space="preserve">Status: illustrative simulation on synthetic data. The purpose is to show that the question posed in the main text is measurable, and to record what the first measurements gave. No claim about real buildings is made here. Slots marked [REAL DATA] indicate where measured building data will replace synthetic assumptions.</w:t>
      </w:r>
    </w:p>
    <w:p>
      <w:pPr>
        <w:pStyle w:val="Heading2"/>
        <w:spacing w:after="140" w:before="260"/>
      </w:pPr>
      <w:r>
        <w:t xml:space="preserve">A.1 Purpose</w:t>
      </w:r>
    </w:p>
    <w:p>
      <w:pPr>
        <w:spacing w:after="140"/>
      </w:pPr>
      <w:r>
        <w:t xml:space="preserve">Part II asks what must be preserved about an acquired adaptation for it to become meaningful inherited information for another technological individual. Two quantities follow from that question and can be measured directly:</w:t>
      </w:r>
    </w:p>
    <w:p>
      <w:pPr>
        <w:pStyle w:val="ListParagraph"/>
        <w:numPr>
          <w:ilvl w:val="0"/>
          <w:numId w:val="1"/>
        </w:numPr>
        <w:spacing w:after="80"/>
      </w:pPr>
      <w:r>
        <w:t xml:space="preserve">the value of inherited experience, that is, how much an individual gains by starting from another individual's acquired controller rather than from a generic default;</w:t>
      </w:r>
    </w:p>
    <w:p>
      <w:pPr>
        <w:pStyle w:val="ListParagraph"/>
        <w:numPr>
          <w:ilvl w:val="0"/>
          <w:numId w:val="1"/>
        </w:numPr>
        <w:spacing w:after="80"/>
      </w:pPr>
      <w:r>
        <w:t xml:space="preserve">the distance at which that value disappears, that is, how different two bodies may be before transfer stops paying for itself.</w:t>
      </w:r>
    </w:p>
    <w:p>
      <w:pPr>
        <w:spacing w:after="140"/>
      </w:pPr>
      <w:r>
        <w:t xml:space="preserve">The simulation below is the smallest setting in which both can be computed.</w:t>
      </w:r>
    </w:p>
    <w:p>
      <w:pPr>
        <w:pStyle w:val="Heading2"/>
        <w:spacing w:after="140" w:before="260"/>
      </w:pPr>
      <w:r>
        <w:t xml:space="preserve">A.2 The model</w:t>
      </w:r>
    </w:p>
    <w:p>
      <w:pPr>
        <w:spacing w:after="140"/>
      </w:pPr>
      <w:r>
        <w:t xml:space="preserve">Body. A building is described by ten parameters. Ranges are plausible but not measured; they define a population of buildings that differ in envelope, mass, glazing, heating capacity, occupancy and climate.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500"/>
      </w:tblGrid>
      <w:tr>
        <w:trPr>
          <w:tblHeader/>
        </w:trPr>
        <w:tc>
          <w:tcPr>
            <w:tcW w:type="dxa" w:w="1900"/>
            <w:shd w:fill="EFEFEF" w:val="clear"/>
          </w:tcPr>
          <w:p>
            <w:pPr>
              <w:spacing w:after="40" w:before="40"/>
            </w:pPr>
            <w:r>
              <w:rPr>
                <w:b/>
                <w:bCs/>
                <w:sz w:val="19"/>
                <w:szCs w:val="19"/>
              </w:rPr>
              <w:t xml:space="preserve">Parameter</w:t>
            </w:r>
          </w:p>
        </w:tc>
        <w:tc>
          <w:tcPr>
            <w:tcW w:type="dxa" w:w="4600"/>
            <w:shd w:fill="EFEFEF" w:val="clear"/>
          </w:tcPr>
          <w:p>
            <w:pPr>
              <w:spacing w:after="40" w:before="40"/>
            </w:pPr>
            <w:r>
              <w:rPr>
                <w:b/>
                <w:bCs/>
                <w:sz w:val="19"/>
                <w:szCs w:val="19"/>
              </w:rPr>
              <w:t xml:space="preserve">Meaning</w:t>
            </w:r>
          </w:p>
        </w:tc>
        <w:tc>
          <w:tcPr>
            <w:tcW w:type="dxa" w:w="2500"/>
            <w:shd w:fill="EFEFEF" w:val="clear"/>
          </w:tcPr>
          <w:p>
            <w:pPr>
              <w:spacing w:after="40" w:before="40"/>
            </w:pPr>
            <w:r>
              <w:rPr>
                <w:b/>
                <w:bCs/>
                <w:sz w:val="19"/>
                <w:szCs w:val="19"/>
              </w:rPr>
              <w:t xml:space="preserve">Range</w:t>
            </w:r>
          </w:p>
        </w:tc>
      </w:tr>
      <w:tr>
        <w:tc>
          <w:tcPr>
            <w:tcW w:type="dxa" w:w="1900"/>
          </w:tcPr>
          <w:p>
            <w:pPr>
              <w:spacing w:after="40" w:before="40"/>
            </w:pPr>
            <w:r>
              <w:rPr>
                <w:b w:val="false"/>
                <w:bCs w:val="false"/>
                <w:sz w:val="19"/>
                <w:szCs w:val="19"/>
              </w:rPr>
              <w:t xml:space="preserve">UA</w:t>
            </w:r>
          </w:p>
        </w:tc>
        <w:tc>
          <w:tcPr>
            <w:tcW w:type="dxa" w:w="4600"/>
          </w:tcPr>
          <w:p>
            <w:pPr>
              <w:spacing w:after="40" w:before="40"/>
            </w:pPr>
            <w:r>
              <w:rPr>
                <w:b w:val="false"/>
                <w:bCs w:val="false"/>
                <w:sz w:val="19"/>
                <w:szCs w:val="19"/>
              </w:rPr>
              <w:t xml:space="preserve">envelope heat loss, W/K</w:t>
            </w:r>
          </w:p>
        </w:tc>
        <w:tc>
          <w:tcPr>
            <w:tcW w:type="dxa" w:w="2500"/>
          </w:tcPr>
          <w:p>
            <w:pPr>
              <w:spacing w:after="40" w:before="40"/>
            </w:pPr>
            <w:r>
              <w:rPr>
                <w:b w:val="false"/>
                <w:bCs w:val="false"/>
                <w:sz w:val="19"/>
                <w:szCs w:val="19"/>
              </w:rPr>
              <w:t xml:space="preserve">80 – 400</w:t>
            </w:r>
          </w:p>
        </w:tc>
      </w:tr>
      <w:tr>
        <w:tc>
          <w:tcPr>
            <w:tcW w:type="dxa" w:w="1900"/>
          </w:tcPr>
          <w:p>
            <w:pPr>
              <w:spacing w:after="40" w:before="40"/>
            </w:pPr>
            <w:r>
              <w:rPr>
                <w:b w:val="false"/>
                <w:bCs w:val="false"/>
                <w:sz w:val="19"/>
                <w:szCs w:val="19"/>
              </w:rPr>
              <w:t xml:space="preserve">C</w:t>
            </w:r>
          </w:p>
        </w:tc>
        <w:tc>
          <w:tcPr>
            <w:tcW w:type="dxa" w:w="4600"/>
          </w:tcPr>
          <w:p>
            <w:pPr>
              <w:spacing w:after="40" w:before="40"/>
            </w:pPr>
            <w:r>
              <w:rPr>
                <w:b w:val="false"/>
                <w:bCs w:val="false"/>
                <w:sz w:val="19"/>
                <w:szCs w:val="19"/>
              </w:rPr>
              <w:t xml:space="preserve">thermal capacity, J/K</w:t>
            </w:r>
          </w:p>
        </w:tc>
        <w:tc>
          <w:tcPr>
            <w:tcW w:type="dxa" w:w="2500"/>
          </w:tcPr>
          <w:p>
            <w:pPr>
              <w:spacing w:after="40" w:before="40"/>
            </w:pPr>
            <w:r>
              <w:rPr>
                <w:b w:val="false"/>
                <w:bCs w:val="false"/>
                <w:sz w:val="19"/>
                <w:szCs w:val="19"/>
              </w:rPr>
              <w:t xml:space="preserve">4·10⁶ – 40·10⁶</w:t>
            </w:r>
          </w:p>
        </w:tc>
      </w:tr>
      <w:tr>
        <w:tc>
          <w:tcPr>
            <w:tcW w:type="dxa" w:w="1900"/>
          </w:tcPr>
          <w:p>
            <w:pPr>
              <w:spacing w:after="40" w:before="40"/>
            </w:pPr>
            <w:r>
              <w:rPr>
                <w:b w:val="false"/>
                <w:bCs w:val="false"/>
                <w:sz w:val="19"/>
                <w:szCs w:val="19"/>
              </w:rPr>
              <w:t xml:space="preserve">solar</w:t>
            </w:r>
          </w:p>
        </w:tc>
        <w:tc>
          <w:tcPr>
            <w:tcW w:type="dxa" w:w="4600"/>
          </w:tcPr>
          <w:p>
            <w:pPr>
              <w:spacing w:after="40" w:before="40"/>
            </w:pPr>
            <w:r>
              <w:rPr>
                <w:b w:val="false"/>
                <w:bCs w:val="false"/>
                <w:sz w:val="19"/>
                <w:szCs w:val="19"/>
              </w:rPr>
              <w:t xml:space="preserve">effective glazing area, m²</w:t>
            </w:r>
          </w:p>
        </w:tc>
        <w:tc>
          <w:tcPr>
            <w:tcW w:type="dxa" w:w="2500"/>
          </w:tcPr>
          <w:p>
            <w:pPr>
              <w:spacing w:after="40" w:before="40"/>
            </w:pPr>
            <w:r>
              <w:rPr>
                <w:b w:val="false"/>
                <w:bCs w:val="false"/>
                <w:sz w:val="19"/>
                <w:szCs w:val="19"/>
              </w:rPr>
              <w:t xml:space="preserve">0.5 – 6.0</w:t>
            </w:r>
          </w:p>
        </w:tc>
      </w:tr>
      <w:tr>
        <w:tc>
          <w:tcPr>
            <w:tcW w:type="dxa" w:w="1900"/>
          </w:tcPr>
          <w:p>
            <w:pPr>
              <w:spacing w:after="40" w:before="40"/>
            </w:pPr>
            <w:r>
              <w:rPr>
                <w:b w:val="false"/>
                <w:bCs w:val="false"/>
                <w:sz w:val="19"/>
                <w:szCs w:val="19"/>
              </w:rPr>
              <w:t xml:space="preserve">Qmax</w:t>
            </w:r>
          </w:p>
        </w:tc>
        <w:tc>
          <w:tcPr>
            <w:tcW w:type="dxa" w:w="4600"/>
          </w:tcPr>
          <w:p>
            <w:pPr>
              <w:spacing w:after="40" w:before="40"/>
            </w:pPr>
            <w:r>
              <w:rPr>
                <w:b w:val="false"/>
                <w:bCs w:val="false"/>
                <w:sz w:val="19"/>
                <w:szCs w:val="19"/>
              </w:rPr>
              <w:t xml:space="preserve">heating power, W</w:t>
            </w:r>
          </w:p>
        </w:tc>
        <w:tc>
          <w:tcPr>
            <w:tcW w:type="dxa" w:w="2500"/>
          </w:tcPr>
          <w:p>
            <w:pPr>
              <w:spacing w:after="40" w:before="40"/>
            </w:pPr>
            <w:r>
              <w:rPr>
                <w:b w:val="false"/>
                <w:bCs w:val="false"/>
                <w:sz w:val="19"/>
                <w:szCs w:val="19"/>
              </w:rPr>
              <w:t xml:space="preserve">3 000 – 15 000</w:t>
            </w:r>
          </w:p>
        </w:tc>
      </w:tr>
      <w:tr>
        <w:tc>
          <w:tcPr>
            <w:tcW w:type="dxa" w:w="1900"/>
          </w:tcPr>
          <w:p>
            <w:pPr>
              <w:spacing w:after="40" w:before="40"/>
            </w:pPr>
            <w:r>
              <w:rPr>
                <w:b w:val="false"/>
                <w:bCs w:val="false"/>
                <w:sz w:val="19"/>
                <w:szCs w:val="19"/>
              </w:rPr>
              <w:t xml:space="preserve">infil</w:t>
            </w:r>
          </w:p>
        </w:tc>
        <w:tc>
          <w:tcPr>
            <w:tcW w:type="dxa" w:w="4600"/>
          </w:tcPr>
          <w:p>
            <w:pPr>
              <w:spacing w:after="40" w:before="40"/>
            </w:pPr>
            <w:r>
              <w:rPr>
                <w:b w:val="false"/>
                <w:bCs w:val="false"/>
                <w:sz w:val="19"/>
                <w:szCs w:val="19"/>
              </w:rPr>
              <w:t xml:space="preserve">infiltration, W/K</w:t>
            </w:r>
          </w:p>
        </w:tc>
        <w:tc>
          <w:tcPr>
            <w:tcW w:type="dxa" w:w="2500"/>
          </w:tcPr>
          <w:p>
            <w:pPr>
              <w:spacing w:after="40" w:before="40"/>
            </w:pPr>
            <w:r>
              <w:rPr>
                <w:b w:val="false"/>
                <w:bCs w:val="false"/>
                <w:sz w:val="19"/>
                <w:szCs w:val="19"/>
              </w:rPr>
              <w:t xml:space="preserve">20 – 200</w:t>
            </w:r>
          </w:p>
        </w:tc>
      </w:tr>
      <w:tr>
        <w:tc>
          <w:tcPr>
            <w:tcW w:type="dxa" w:w="1900"/>
          </w:tcPr>
          <w:p>
            <w:pPr>
              <w:spacing w:after="40" w:before="40"/>
            </w:pPr>
            <w:r>
              <w:rPr>
                <w:b w:val="false"/>
                <w:bCs w:val="false"/>
                <w:sz w:val="19"/>
                <w:szCs w:val="19"/>
              </w:rPr>
              <w:t xml:space="preserve">occ_gain</w:t>
            </w:r>
          </w:p>
        </w:tc>
        <w:tc>
          <w:tcPr>
            <w:tcW w:type="dxa" w:w="4600"/>
          </w:tcPr>
          <w:p>
            <w:pPr>
              <w:spacing w:after="40" w:before="40"/>
            </w:pPr>
            <w:r>
              <w:rPr>
                <w:b w:val="false"/>
                <w:bCs w:val="false"/>
                <w:sz w:val="19"/>
                <w:szCs w:val="19"/>
              </w:rPr>
              <w:t xml:space="preserve">internal gains from occupants, W</w:t>
            </w:r>
          </w:p>
        </w:tc>
        <w:tc>
          <w:tcPr>
            <w:tcW w:type="dxa" w:w="2500"/>
          </w:tcPr>
          <w:p>
            <w:pPr>
              <w:spacing w:after="40" w:before="40"/>
            </w:pPr>
            <w:r>
              <w:rPr>
                <w:b w:val="false"/>
                <w:bCs w:val="false"/>
                <w:sz w:val="19"/>
                <w:szCs w:val="19"/>
              </w:rPr>
              <w:t xml:space="preserve">100 – 600</w:t>
            </w:r>
          </w:p>
        </w:tc>
      </w:tr>
      <w:tr>
        <w:tc>
          <w:tcPr>
            <w:tcW w:type="dxa" w:w="1900"/>
          </w:tcPr>
          <w:p>
            <w:pPr>
              <w:spacing w:after="40" w:before="40"/>
            </w:pPr>
            <w:r>
              <w:rPr>
                <w:b w:val="false"/>
                <w:bCs w:val="false"/>
                <w:sz w:val="19"/>
                <w:szCs w:val="19"/>
              </w:rPr>
              <w:t xml:space="preserve">start_h</w:t>
            </w:r>
          </w:p>
        </w:tc>
        <w:tc>
          <w:tcPr>
            <w:tcW w:type="dxa" w:w="4600"/>
          </w:tcPr>
          <w:p>
            <w:pPr>
              <w:spacing w:after="40" w:before="40"/>
            </w:pPr>
            <w:r>
              <w:rPr>
                <w:b w:val="false"/>
                <w:bCs w:val="false"/>
                <w:sz w:val="19"/>
                <w:szCs w:val="19"/>
              </w:rPr>
              <w:t xml:space="preserve">hour occupants arrive</w:t>
            </w:r>
          </w:p>
        </w:tc>
        <w:tc>
          <w:tcPr>
            <w:tcW w:type="dxa" w:w="2500"/>
          </w:tcPr>
          <w:p>
            <w:pPr>
              <w:spacing w:after="40" w:before="40"/>
            </w:pPr>
            <w:r>
              <w:rPr>
                <w:b w:val="false"/>
                <w:bCs w:val="false"/>
                <w:sz w:val="19"/>
                <w:szCs w:val="19"/>
              </w:rPr>
              <w:t xml:space="preserve">5 – 9</w:t>
            </w:r>
          </w:p>
        </w:tc>
      </w:tr>
      <w:tr>
        <w:tc>
          <w:tcPr>
            <w:tcW w:type="dxa" w:w="1900"/>
          </w:tcPr>
          <w:p>
            <w:pPr>
              <w:spacing w:after="40" w:before="40"/>
            </w:pPr>
            <w:r>
              <w:rPr>
                <w:b w:val="false"/>
                <w:bCs w:val="false"/>
                <w:sz w:val="19"/>
                <w:szCs w:val="19"/>
              </w:rPr>
              <w:t xml:space="preserve">T_mean</w:t>
            </w:r>
          </w:p>
        </w:tc>
        <w:tc>
          <w:tcPr>
            <w:tcW w:type="dxa" w:w="4600"/>
          </w:tcPr>
          <w:p>
            <w:pPr>
              <w:spacing w:after="40" w:before="40"/>
            </w:pPr>
            <w:r>
              <w:rPr>
                <w:b w:val="false"/>
                <w:bCs w:val="false"/>
                <w:sz w:val="19"/>
                <w:szCs w:val="19"/>
              </w:rPr>
              <w:t xml:space="preserve">mean outdoor temperature, °C</w:t>
            </w:r>
          </w:p>
        </w:tc>
        <w:tc>
          <w:tcPr>
            <w:tcW w:type="dxa" w:w="2500"/>
          </w:tcPr>
          <w:p>
            <w:pPr>
              <w:spacing w:after="40" w:before="40"/>
            </w:pPr>
            <w:r>
              <w:rPr>
                <w:b w:val="false"/>
                <w:bCs w:val="false"/>
                <w:sz w:val="19"/>
                <w:szCs w:val="19"/>
              </w:rPr>
              <w:t xml:space="preserve">−5 – +10</w:t>
            </w:r>
          </w:p>
        </w:tc>
      </w:tr>
      <w:tr>
        <w:tc>
          <w:tcPr>
            <w:tcW w:type="dxa" w:w="1900"/>
          </w:tcPr>
          <w:p>
            <w:pPr>
              <w:spacing w:after="40" w:before="40"/>
            </w:pPr>
            <w:r>
              <w:rPr>
                <w:b w:val="false"/>
                <w:bCs w:val="false"/>
                <w:sz w:val="19"/>
                <w:szCs w:val="19"/>
              </w:rPr>
              <w:t xml:space="preserve">T_amp</w:t>
            </w:r>
          </w:p>
        </w:tc>
        <w:tc>
          <w:tcPr>
            <w:tcW w:type="dxa" w:w="4600"/>
          </w:tcPr>
          <w:p>
            <w:pPr>
              <w:spacing w:after="40" w:before="40"/>
            </w:pPr>
            <w:r>
              <w:rPr>
                <w:b w:val="false"/>
                <w:bCs w:val="false"/>
                <w:sz w:val="19"/>
                <w:szCs w:val="19"/>
              </w:rPr>
              <w:t xml:space="preserve">daily outdoor swing, K</w:t>
            </w:r>
          </w:p>
        </w:tc>
        <w:tc>
          <w:tcPr>
            <w:tcW w:type="dxa" w:w="2500"/>
          </w:tcPr>
          <w:p>
            <w:pPr>
              <w:spacing w:after="40" w:before="40"/>
            </w:pPr>
            <w:r>
              <w:rPr>
                <w:b w:val="false"/>
                <w:bCs w:val="false"/>
                <w:sz w:val="19"/>
                <w:szCs w:val="19"/>
              </w:rPr>
              <w:t xml:space="preserve">3 – 12</w:t>
            </w:r>
          </w:p>
        </w:tc>
      </w:tr>
      <w:tr>
        <w:tc>
          <w:tcPr>
            <w:tcW w:type="dxa" w:w="1900"/>
          </w:tcPr>
          <w:p>
            <w:pPr>
              <w:spacing w:after="40" w:before="40"/>
            </w:pPr>
            <w:r>
              <w:rPr>
                <w:b w:val="false"/>
                <w:bCs w:val="false"/>
                <w:sz w:val="19"/>
                <w:szCs w:val="19"/>
              </w:rPr>
              <w:t xml:space="preserve">orient</w:t>
            </w:r>
          </w:p>
        </w:tc>
        <w:tc>
          <w:tcPr>
            <w:tcW w:type="dxa" w:w="4600"/>
          </w:tcPr>
          <w:p>
            <w:pPr>
              <w:spacing w:after="40" w:before="40"/>
            </w:pPr>
            <w:r>
              <w:rPr>
                <w:b w:val="false"/>
                <w:bCs w:val="false"/>
                <w:sz w:val="19"/>
                <w:szCs w:val="19"/>
              </w:rPr>
              <w:t xml:space="preserve">window orientation, rad</w:t>
            </w:r>
          </w:p>
        </w:tc>
        <w:tc>
          <w:tcPr>
            <w:tcW w:type="dxa" w:w="2500"/>
          </w:tcPr>
          <w:p>
            <w:pPr>
              <w:spacing w:after="40" w:before="40"/>
            </w:pPr>
            <w:r>
              <w:rPr>
                <w:b w:val="false"/>
                <w:bCs w:val="false"/>
                <w:sz w:val="19"/>
                <w:szCs w:val="19"/>
              </w:rPr>
              <w:t xml:space="preserve">0 – 2π</w:t>
            </w:r>
          </w:p>
        </w:tc>
      </w:tr>
    </w:tbl>
    <w:p>
      <w:pPr>
        <w:spacing w:after="140"/>
      </w:pPr>
      <w:r>
        <w:t xml:space="preserve">[REAL DATA] These ten parameters are the first slot for measured data: envelope and capacity from an energy audit or identified from logs, occupancy from access records, climate from a local weather station.</w:t>
      </w:r>
    </w:p>
    <w:p>
      <w:pPr>
        <w:spacing w:after="140"/>
      </w:pPr>
      <w:r>
        <w:t xml:space="preserve">Dynamics. One thermal zone, hourly step, 60 days:</w:t>
      </w:r>
    </w:p>
    <w:p>
      <w:pPr>
        <w:spacing w:after="60"/>
      </w:pPr>
      <w:r>
        <w:rPr>
          <w:rFonts w:ascii="Consolas" w:cs="Consolas" w:eastAsia="Consolas" w:hAnsi="Consolas"/>
          <w:sz w:val="18"/>
          <w:szCs w:val="18"/>
        </w:rPr>
        <w:t xml:space="preserve">T(t+1) = T(t) + Δt / C · ( Q(t) − (UA + infil) · ( T(t) − T_out(t) ) )</w:t>
      </w:r>
    </w:p>
    <w:p>
      <w:pPr>
        <w:spacing w:after="60"/>
      </w:pPr>
      <w:r>
        <w:rPr>
          <w:rFonts w:ascii="Consolas" w:cs="Consolas" w:eastAsia="Consolas" w:hAnsi="Consolas"/>
          <w:sz w:val="18"/>
          <w:szCs w:val="18"/>
        </w:rPr>
        <w:t xml:space="preserve">Q(t) = u(t)·Qmax + occ_gain·occupancy(t) + solar·irradiance(t)</w:t>
      </w:r>
    </w:p>
    <w:p>
      <w:pPr>
        <w:spacing w:after="140"/>
      </w:pPr>
      <w:r>
        <w:t xml:space="preserve">Outdoor temperature combines a seasonal trend, a daily cycle and noise; irradiance follows a daily cycle with random cloudiness and a phase set by orientation.</w:t>
      </w:r>
    </w:p>
    <w:p>
      <w:pPr>
        <w:spacing w:after="140"/>
      </w:pPr>
      <w:r>
        <w:t xml:space="preserve">Controller. Experiment 1 uses five parameters: occupied setpoint, unoccupied setpoint, preheating lead time, deadband, and proportional gain. Experiment 2 uses twenty-four parameters: one setpoint per hour of the day.</w:t>
      </w:r>
    </w:p>
    <w:p>
      <w:pPr>
        <w:spacing w:after="140"/>
      </w:pPr>
      <w:r>
        <w:t xml:space="preserve">Cost. One number per season, lower is better:</w:t>
      </w:r>
    </w:p>
    <w:p>
      <w:pPr>
        <w:spacing w:after="60"/>
      </w:pPr>
      <w:r>
        <w:rPr>
          <w:rFonts w:ascii="Consolas" w:cs="Consolas" w:eastAsia="Consolas" w:hAnsi="Consolas"/>
          <w:sz w:val="18"/>
          <w:szCs w:val="18"/>
        </w:rPr>
        <w:t xml:space="preserve">cost = 0.25 · energy [kWh] + 2.0 · discomfort [degree-hours below target while occupied]</w:t>
      </w:r>
    </w:p>
    <w:p>
      <w:pPr>
        <w:spacing w:after="140"/>
      </w:pPr>
      <w:r>
        <w:t xml:space="preserve">[REAL DATA] Price and comfort weight are policy, not physics. With a real building they come from the tariff and from the operator's own comfort requirement.</w:t>
      </w:r>
    </w:p>
    <w:p>
      <w:pPr>
        <w:spacing w:after="140"/>
      </w:pPr>
      <w:r>
        <w:t xml:space="preserve">Life and learning. A building 'lives' by repeatedly simulating a season and keeping the better of its current controller and a randomly perturbed variant. The number of evaluations is the budget of a lifetime: 400 (Experiment 1) or 3 000 (Experiment 2) for a donor that has lived a full life, and 40 or 20 for a newcomer.</w:t>
      </w:r>
    </w:p>
    <w:p>
      <w:pPr>
        <w:pStyle w:val="Heading2"/>
        <w:spacing w:after="140" w:before="260"/>
      </w:pPr>
      <w:r>
        <w:t xml:space="preserve">A.3 Transfer conditions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tblHeader/>
        </w:trPr>
        <w:tc>
          <w:tcPr>
            <w:tcW w:type="dxa" w:w="2600"/>
            <w:shd w:fill="EFEFEF" w:val="clear"/>
          </w:tcPr>
          <w:p>
            <w:pPr>
              <w:spacing w:after="40" w:before="40"/>
            </w:pPr>
            <w:r>
              <w:rPr>
                <w:b/>
                <w:bCs/>
                <w:sz w:val="19"/>
                <w:szCs w:val="19"/>
              </w:rPr>
              <w:t xml:space="preserve">Condition</w:t>
            </w:r>
          </w:p>
        </w:tc>
        <w:tc>
          <w:tcPr>
            <w:tcW w:type="dxa" w:w="4200"/>
            <w:shd w:fill="EFEFEF" w:val="clear"/>
          </w:tcPr>
          <w:p>
            <w:pPr>
              <w:spacing w:after="40" w:before="40"/>
            </w:pPr>
            <w:r>
              <w:rPr>
                <w:b/>
                <w:bCs/>
                <w:sz w:val="19"/>
                <w:szCs w:val="19"/>
              </w:rPr>
              <w:t xml:space="preserve">What the receiving building starts from</w:t>
            </w:r>
          </w:p>
        </w:tc>
        <w:tc>
          <w:tcPr>
            <w:tcW w:type="dxa" w:w="2200"/>
            <w:shd w:fill="EFEFEF" w:val="clear"/>
          </w:tcPr>
          <w:p>
            <w:pPr>
              <w:spacing w:after="40" w:before="40"/>
            </w:pPr>
            <w:r>
              <w:rPr>
                <w:b/>
                <w:bCs/>
                <w:sz w:val="19"/>
                <w:szCs w:val="19"/>
              </w:rPr>
              <w:t xml:space="preserve">Learning budget</w:t>
            </w:r>
          </w:p>
        </w:tc>
      </w:tr>
      <w:tr>
        <w:tc>
          <w:tcPr>
            <w:tcW w:type="dxa" w:w="2600"/>
          </w:tcPr>
          <w:p>
            <w:pPr>
              <w:spacing w:after="40" w:before="40"/>
            </w:pPr>
            <w:r>
              <w:rPr>
                <w:b w:val="false"/>
                <w:bCs w:val="false"/>
                <w:sz w:val="19"/>
                <w:szCs w:val="19"/>
              </w:rPr>
              <w:t xml:space="preserve">from scratch</w:t>
            </w:r>
          </w:p>
        </w:tc>
        <w:tc>
          <w:tcPr>
            <w:tcW w:type="dxa" w:w="4200"/>
          </w:tcPr>
          <w:p>
            <w:pPr>
              <w:spacing w:after="40" w:before="40"/>
            </w:pPr>
            <w:r>
              <w:rPr>
                <w:b w:val="false"/>
                <w:bCs w:val="false"/>
                <w:sz w:val="19"/>
                <w:szCs w:val="19"/>
              </w:rPr>
              <w:t xml:space="preserve">generic default controller</w:t>
            </w:r>
          </w:p>
        </w:tc>
        <w:tc>
          <w:tcPr>
            <w:tcW w:type="dxa" w:w="2200"/>
          </w:tcPr>
          <w:p>
            <w:pPr>
              <w:spacing w:after="40" w:before="40"/>
            </w:pPr>
            <w:r>
              <w:rPr>
                <w:b w:val="false"/>
                <w:bCs w:val="false"/>
                <w:sz w:val="19"/>
                <w:szCs w:val="19"/>
              </w:rPr>
              <w:t xml:space="preserve">short</w:t>
            </w:r>
          </w:p>
        </w:tc>
      </w:tr>
      <w:tr>
        <w:tc>
          <w:tcPr>
            <w:tcW w:type="dxa" w:w="2600"/>
          </w:tcPr>
          <w:p>
            <w:pPr>
              <w:spacing w:after="40" w:before="40"/>
            </w:pPr>
            <w:r>
              <w:rPr>
                <w:b w:val="false"/>
                <w:bCs w:val="false"/>
                <w:sz w:val="19"/>
                <w:szCs w:val="19"/>
              </w:rPr>
              <w:t xml:space="preserve">inherited as is</w:t>
            </w:r>
          </w:p>
        </w:tc>
        <w:tc>
          <w:tcPr>
            <w:tcW w:type="dxa" w:w="4200"/>
          </w:tcPr>
          <w:p>
            <w:pPr>
              <w:spacing w:after="40" w:before="40"/>
            </w:pPr>
            <w:r>
              <w:rPr>
                <w:b w:val="false"/>
                <w:bCs w:val="false"/>
                <w:sz w:val="19"/>
                <w:szCs w:val="19"/>
              </w:rPr>
              <w:t xml:space="preserve">donor's learned controller, unchanged</w:t>
            </w:r>
          </w:p>
        </w:tc>
        <w:tc>
          <w:tcPr>
            <w:tcW w:type="dxa" w:w="2200"/>
          </w:tcPr>
          <w:p>
            <w:pPr>
              <w:spacing w:after="40" w:before="40"/>
            </w:pPr>
            <w:r>
              <w:rPr>
                <w:b w:val="false"/>
                <w:bCs w:val="false"/>
                <w:sz w:val="19"/>
                <w:szCs w:val="19"/>
              </w:rPr>
              <w:t xml:space="preserve">none</w:t>
            </w:r>
          </w:p>
        </w:tc>
      </w:tr>
      <w:tr>
        <w:tc>
          <w:tcPr>
            <w:tcW w:type="dxa" w:w="2600"/>
          </w:tcPr>
          <w:p>
            <w:pPr>
              <w:spacing w:after="40" w:before="40"/>
            </w:pPr>
            <w:r>
              <w:rPr>
                <w:b w:val="false"/>
                <w:bCs w:val="false"/>
                <w:sz w:val="19"/>
                <w:szCs w:val="19"/>
              </w:rPr>
              <w:t xml:space="preserve">inherited as starting point</w:t>
            </w:r>
          </w:p>
        </w:tc>
        <w:tc>
          <w:tcPr>
            <w:tcW w:type="dxa" w:w="4200"/>
          </w:tcPr>
          <w:p>
            <w:pPr>
              <w:spacing w:after="40" w:before="40"/>
            </w:pPr>
            <w:r>
              <w:rPr>
                <w:b w:val="false"/>
                <w:bCs w:val="false"/>
                <w:sz w:val="19"/>
                <w:szCs w:val="19"/>
              </w:rPr>
              <w:t xml:space="preserve">donor's learned controller</w:t>
            </w:r>
          </w:p>
        </w:tc>
        <w:tc>
          <w:tcPr>
            <w:tcW w:type="dxa" w:w="2200"/>
          </w:tcPr>
          <w:p>
            <w:pPr>
              <w:spacing w:after="40" w:before="40"/>
            </w:pPr>
            <w:r>
              <w:rPr>
                <w:b w:val="false"/>
                <w:bCs w:val="false"/>
                <w:sz w:val="19"/>
                <w:szCs w:val="19"/>
              </w:rPr>
              <w:t xml:space="preserve">short</w:t>
            </w:r>
          </w:p>
        </w:tc>
      </w:tr>
    </w:tbl>
    <w:p>
      <w:pPr>
        <w:spacing w:after="140"/>
      </w:pPr>
      <w:r>
        <w:t xml:space="preserve">The second and third conditions correspond to the distinction drawn in Part II: an inherited representation used without further individual adaptation, and an inherited representation that is refined during the receiver's own life.</w:t>
      </w:r>
    </w:p>
    <w:p>
      <w:pPr>
        <w:spacing w:after="140"/>
      </w:pPr>
      <w:r>
        <w:t xml:space="preserve">Distance between bodies is the root mean square difference of the ten standardised body parameters.</w:t>
      </w:r>
    </w:p>
    <w:p>
      <w:pPr>
        <w:pStyle w:val="Heading2"/>
        <w:spacing w:after="140" w:before="260"/>
      </w:pPr>
      <w:r>
        <w:t xml:space="preserve">A.4 Experiment 1: five-parameter controller</w:t>
      </w:r>
    </w:p>
    <w:p>
      <w:pPr>
        <w:spacing w:after="140"/>
      </w:pPr>
      <w:r>
        <w:t xml:space="preserve">Three independent populations of ten buildings, all ordered pairs: 270 transfers. Gain is measured against learning from scratch with the same short budget; positive means the transfer helped.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3800"/>
      </w:tblGrid>
      <w:tr>
        <w:trPr>
          <w:tblHeader/>
        </w:trPr>
        <w:tc>
          <w:tcPr>
            <w:tcW w:type="dxa" w:w="5200"/>
            <w:shd w:fill="EFEFEF" w:val="clear"/>
          </w:tcPr>
          <w:p>
            <w:pPr>
              <w:spacing w:after="40" w:before="40"/>
            </w:pPr>
            <w:r>
              <w:rPr>
                <w:b/>
                <w:bCs/>
                <w:sz w:val="19"/>
                <w:szCs w:val="19"/>
              </w:rPr>
              <w:t xml:space="preserve">Quantity</w:t>
            </w:r>
          </w:p>
        </w:tc>
        <w:tc>
          <w:tcPr>
            <w:tcW w:type="dxa" w:w="3800"/>
            <w:shd w:fill="EFEFEF" w:val="clear"/>
          </w:tcPr>
          <w:p>
            <w:pPr>
              <w:spacing w:after="40" w:before="40"/>
            </w:pPr>
            <w:r>
              <w:rPr>
                <w:b/>
                <w:bCs/>
                <w:sz w:val="19"/>
                <w:szCs w:val="19"/>
              </w:rPr>
              <w:t xml:space="preserve">Value</w:t>
            </w:r>
          </w:p>
        </w:tc>
      </w:tr>
      <w:tr>
        <w:tc>
          <w:tcPr>
            <w:tcW w:type="dxa" w:w="5200"/>
          </w:tcPr>
          <w:p>
            <w:pPr>
              <w:spacing w:after="40" w:before="40"/>
            </w:pPr>
            <w:r>
              <w:rPr>
                <w:b w:val="false"/>
                <w:bCs w:val="false"/>
                <w:sz w:val="19"/>
                <w:szCs w:val="19"/>
              </w:rPr>
              <w:t xml:space="preserve">mean gain, inherited as is</w:t>
            </w:r>
          </w:p>
        </w:tc>
        <w:tc>
          <w:tcPr>
            <w:tcW w:type="dxa" w:w="3800"/>
          </w:tcPr>
          <w:p>
            <w:pPr>
              <w:spacing w:after="40" w:before="40"/>
            </w:pPr>
            <w:r>
              <w:rPr>
                <w:b w:val="false"/>
                <w:bCs w:val="false"/>
                <w:sz w:val="19"/>
                <w:szCs w:val="19"/>
              </w:rPr>
              <w:t xml:space="preserve">−10.4 %</w:t>
            </w:r>
          </w:p>
        </w:tc>
      </w:tr>
      <w:tr>
        <w:tc>
          <w:tcPr>
            <w:tcW w:type="dxa" w:w="5200"/>
          </w:tcPr>
          <w:p>
            <w:pPr>
              <w:spacing w:after="40" w:before="40"/>
            </w:pPr>
            <w:r>
              <w:rPr>
                <w:b w:val="false"/>
                <w:bCs w:val="false"/>
                <w:sz w:val="19"/>
                <w:szCs w:val="19"/>
              </w:rPr>
              <w:t xml:space="preserve">transfers where 'as is' was worse than scratch</w:t>
            </w:r>
          </w:p>
        </w:tc>
        <w:tc>
          <w:tcPr>
            <w:tcW w:type="dxa" w:w="3800"/>
          </w:tcPr>
          <w:p>
            <w:pPr>
              <w:spacing w:after="40" w:before="40"/>
            </w:pPr>
            <w:r>
              <w:rPr>
                <w:b w:val="false"/>
                <w:bCs w:val="false"/>
                <w:sz w:val="19"/>
                <w:szCs w:val="19"/>
              </w:rPr>
              <w:t xml:space="preserve">72 %</w:t>
            </w:r>
          </w:p>
        </w:tc>
      </w:tr>
      <w:tr>
        <w:tc>
          <w:tcPr>
            <w:tcW w:type="dxa" w:w="5200"/>
          </w:tcPr>
          <w:p>
            <w:pPr>
              <w:spacing w:after="40" w:before="40"/>
            </w:pPr>
            <w:r>
              <w:rPr>
                <w:b w:val="false"/>
                <w:bCs w:val="false"/>
                <w:sz w:val="19"/>
                <w:szCs w:val="19"/>
              </w:rPr>
              <w:t xml:space="preserve">mean gain, inherited as starting point</w:t>
            </w:r>
          </w:p>
        </w:tc>
        <w:tc>
          <w:tcPr>
            <w:tcW w:type="dxa" w:w="3800"/>
          </w:tcPr>
          <w:p>
            <w:pPr>
              <w:spacing w:after="40" w:before="40"/>
            </w:pPr>
            <w:r>
              <w:rPr>
                <w:b w:val="false"/>
                <w:bCs w:val="false"/>
                <w:sz w:val="19"/>
                <w:szCs w:val="19"/>
              </w:rPr>
              <w:t xml:space="preserve">+4.8 %</w:t>
            </w:r>
          </w:p>
        </w:tc>
      </w:tr>
      <w:tr>
        <w:tc>
          <w:tcPr>
            <w:tcW w:type="dxa" w:w="5200"/>
          </w:tcPr>
          <w:p>
            <w:pPr>
              <w:spacing w:after="40" w:before="40"/>
            </w:pPr>
            <w:r>
              <w:rPr>
                <w:b w:val="false"/>
                <w:bCs w:val="false"/>
                <w:sz w:val="19"/>
                <w:szCs w:val="19"/>
              </w:rPr>
              <w:t xml:space="preserve">transfers where that was worse than scratch</w:t>
            </w:r>
          </w:p>
        </w:tc>
        <w:tc>
          <w:tcPr>
            <w:tcW w:type="dxa" w:w="3800"/>
          </w:tcPr>
          <w:p>
            <w:pPr>
              <w:spacing w:after="40" w:before="40"/>
            </w:pPr>
            <w:r>
              <w:rPr>
                <w:b w:val="false"/>
                <w:bCs w:val="false"/>
                <w:sz w:val="19"/>
                <w:szCs w:val="19"/>
              </w:rPr>
              <w:t xml:space="preserve">19 %</w:t>
            </w:r>
          </w:p>
        </w:tc>
      </w:tr>
      <w:tr>
        <w:tc>
          <w:tcPr>
            <w:tcW w:type="dxa" w:w="5200"/>
          </w:tcPr>
          <w:p>
            <w:pPr>
              <w:spacing w:after="40" w:before="40"/>
            </w:pPr>
            <w:r>
              <w:rPr>
                <w:b w:val="false"/>
                <w:bCs w:val="false"/>
                <w:sz w:val="19"/>
                <w:szCs w:val="19"/>
              </w:rPr>
              <w:t xml:space="preserve">range of individual outcomes, 'as is'</w:t>
            </w:r>
          </w:p>
        </w:tc>
        <w:tc>
          <w:tcPr>
            <w:tcW w:type="dxa" w:w="3800"/>
          </w:tcPr>
          <w:p>
            <w:pPr>
              <w:spacing w:after="40" w:before="40"/>
            </w:pPr>
            <w:r>
              <w:rPr>
                <w:b w:val="false"/>
                <w:bCs w:val="false"/>
                <w:sz w:val="19"/>
                <w:szCs w:val="19"/>
              </w:rPr>
              <w:t xml:space="preserve">−215 % … +30 %</w:t>
            </w:r>
          </w:p>
        </w:tc>
      </w:tr>
      <w:tr>
        <w:tc>
          <w:tcPr>
            <w:tcW w:type="dxa" w:w="5200"/>
          </w:tcPr>
          <w:p>
            <w:pPr>
              <w:spacing w:after="40" w:before="40"/>
            </w:pPr>
            <w:r>
              <w:rPr>
                <w:b w:val="false"/>
                <w:bCs w:val="false"/>
                <w:sz w:val="19"/>
                <w:szCs w:val="19"/>
              </w:rPr>
              <w:t xml:space="preserve">correlation of gain with distance between bodies</w:t>
            </w:r>
          </w:p>
        </w:tc>
        <w:tc>
          <w:tcPr>
            <w:tcW w:type="dxa" w:w="3800"/>
          </w:tcPr>
          <w:p>
            <w:pPr>
              <w:spacing w:after="40" w:before="40"/>
            </w:pPr>
            <w:r>
              <w:rPr>
                <w:b w:val="false"/>
                <w:bCs w:val="false"/>
                <w:sz w:val="19"/>
                <w:szCs w:val="19"/>
              </w:rPr>
              <w:t xml:space="preserve">−0.03 (as is), +0.21 (starting point)</w:t>
            </w:r>
          </w:p>
        </w:tc>
      </w:tr>
    </w:tbl>
    <w:p>
      <w:pPr>
        <w:spacing w:after="140"/>
      </w:pPr>
      <w:r>
        <w:t xml:space="preserve">Two results, both negative with respect to the initial expectation. First, an inherited controller applied without adaptation is usually worse than a short period of individual learning. Second, the distance between bodies, measured over all ten parameters with equal weight, does not predict the outcome.</w:t>
      </w:r>
    </w:p>
    <w:p>
      <w:pPr>
        <w:spacing w:after="140"/>
      </w:pPr>
      <w:r>
        <w:t xml:space="preserve">Donor selection. A linear rule predicting the gain from the ten per-parameter differences was fitted on two populations and tested on a third that took no part in fitting. Mean gain over learning from scratch on the held-out population: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3800"/>
      </w:tblGrid>
      <w:tr>
        <w:trPr>
          <w:tblHeader/>
        </w:trPr>
        <w:tc>
          <w:tcPr>
            <w:tcW w:type="dxa" w:w="5200"/>
            <w:shd w:fill="EFEFEF" w:val="clear"/>
          </w:tcPr>
          <w:p>
            <w:pPr>
              <w:spacing w:after="40" w:before="40"/>
            </w:pPr>
            <w:r>
              <w:rPr>
                <w:b/>
                <w:bCs/>
                <w:sz w:val="19"/>
                <w:szCs w:val="19"/>
              </w:rPr>
              <w:t xml:space="preserve">Donor chosen by</w:t>
            </w:r>
          </w:p>
        </w:tc>
        <w:tc>
          <w:tcPr>
            <w:tcW w:type="dxa" w:w="3800"/>
            <w:shd w:fill="EFEFEF" w:val="clear"/>
          </w:tcPr>
          <w:p>
            <w:pPr>
              <w:spacing w:after="40" w:before="40"/>
            </w:pPr>
            <w:r>
              <w:rPr>
                <w:b/>
                <w:bCs/>
                <w:sz w:val="19"/>
                <w:szCs w:val="19"/>
              </w:rPr>
              <w:t xml:space="preserve">Mean gain</w:t>
            </w:r>
          </w:p>
        </w:tc>
      </w:tr>
      <w:tr>
        <w:tc>
          <w:tcPr>
            <w:tcW w:type="dxa" w:w="5200"/>
          </w:tcPr>
          <w:p>
            <w:pPr>
              <w:spacing w:after="40" w:before="40"/>
            </w:pPr>
            <w:r>
              <w:rPr>
                <w:b w:val="false"/>
                <w:bCs w:val="false"/>
                <w:sz w:val="19"/>
                <w:szCs w:val="19"/>
              </w:rPr>
              <w:t xml:space="preserve">the fitted rule</w:t>
            </w:r>
          </w:p>
        </w:tc>
        <w:tc>
          <w:tcPr>
            <w:tcW w:type="dxa" w:w="3800"/>
          </w:tcPr>
          <w:p>
            <w:pPr>
              <w:spacing w:after="40" w:before="40"/>
            </w:pPr>
            <w:r>
              <w:rPr>
                <w:b w:val="false"/>
                <w:bCs w:val="false"/>
                <w:sz w:val="19"/>
                <w:szCs w:val="19"/>
              </w:rPr>
              <w:t xml:space="preserve">+4.7 %</w:t>
            </w:r>
          </w:p>
        </w:tc>
      </w:tr>
      <w:tr>
        <w:tc>
          <w:tcPr>
            <w:tcW w:type="dxa" w:w="5200"/>
          </w:tcPr>
          <w:p>
            <w:pPr>
              <w:spacing w:after="40" w:before="40"/>
            </w:pPr>
            <w:r>
              <w:rPr>
                <w:b w:val="false"/>
                <w:bCs w:val="false"/>
                <w:sz w:val="19"/>
                <w:szCs w:val="19"/>
              </w:rPr>
              <w:t xml:space="preserve">a random donor</w:t>
            </w:r>
          </w:p>
        </w:tc>
        <w:tc>
          <w:tcPr>
            <w:tcW w:type="dxa" w:w="3800"/>
          </w:tcPr>
          <w:p>
            <w:pPr>
              <w:spacing w:after="40" w:before="40"/>
            </w:pPr>
            <w:r>
              <w:rPr>
                <w:b w:val="false"/>
                <w:bCs w:val="false"/>
                <w:sz w:val="19"/>
                <w:szCs w:val="19"/>
              </w:rPr>
              <w:t xml:space="preserve">+4.1 %</w:t>
            </w:r>
          </w:p>
        </w:tc>
      </w:tr>
      <w:tr>
        <w:tc>
          <w:tcPr>
            <w:tcW w:type="dxa" w:w="5200"/>
          </w:tcPr>
          <w:p>
            <w:pPr>
              <w:spacing w:after="40" w:before="40"/>
            </w:pPr>
            <w:r>
              <w:rPr>
                <w:b w:val="false"/>
                <w:bCs w:val="false"/>
                <w:sz w:val="19"/>
                <w:szCs w:val="19"/>
              </w:rPr>
              <w:t xml:space="preserve">the nearest body by unweighted distance</w:t>
            </w:r>
          </w:p>
        </w:tc>
        <w:tc>
          <w:tcPr>
            <w:tcW w:type="dxa" w:w="3800"/>
          </w:tcPr>
          <w:p>
            <w:pPr>
              <w:spacing w:after="40" w:before="40"/>
            </w:pPr>
            <w:r>
              <w:rPr>
                <w:b w:val="false"/>
                <w:bCs w:val="false"/>
                <w:sz w:val="19"/>
                <w:szCs w:val="19"/>
              </w:rPr>
              <w:t xml:space="preserve">+3.5 %</w:t>
            </w:r>
          </w:p>
        </w:tc>
      </w:tr>
      <w:tr>
        <w:tc>
          <w:tcPr>
            <w:tcW w:type="dxa" w:w="5200"/>
          </w:tcPr>
          <w:p>
            <w:pPr>
              <w:spacing w:after="40" w:before="40"/>
            </w:pPr>
            <w:r>
              <w:rPr>
                <w:b w:val="false"/>
                <w:bCs w:val="false"/>
                <w:sz w:val="19"/>
                <w:szCs w:val="19"/>
              </w:rPr>
              <w:t xml:space="preserve">the best donor in hindsight (upper bound)</w:t>
            </w:r>
          </w:p>
        </w:tc>
        <w:tc>
          <w:tcPr>
            <w:tcW w:type="dxa" w:w="3800"/>
          </w:tcPr>
          <w:p>
            <w:pPr>
              <w:spacing w:after="40" w:before="40"/>
            </w:pPr>
            <w:r>
              <w:rPr>
                <w:b w:val="false"/>
                <w:bCs w:val="false"/>
                <w:sz w:val="19"/>
                <w:szCs w:val="19"/>
              </w:rPr>
              <w:t xml:space="preserve">+5.4 %</w:t>
            </w:r>
          </w:p>
        </w:tc>
      </w:tr>
    </w:tbl>
    <w:p>
      <w:pPr>
        <w:spacing w:after="140"/>
      </w:pPr>
      <w:r>
        <w:t xml:space="preserve">Selecting a donor by unweighted similarity was worse than choosing at random. The fitted rule was slightly better than random, and the upper bound itself was low: in this setting almost all of the benefit came from having any starting point at all, not from the choice of donor. The largest fitted weights fell on differences in occupancy schedule and glazing, the smallest on envelope loss.</w:t>
      </w:r>
    </w:p>
    <w:p>
      <w:pPr>
        <w:pStyle w:val="Heading2"/>
        <w:spacing w:after="140" w:before="260"/>
      </w:pPr>
      <w:r>
        <w:t xml:space="preserve">A.5 Experiment 2: hourly schedule, shorter life</w:t>
      </w:r>
    </w:p>
    <w:p>
      <w:pPr>
        <w:spacing w:after="140"/>
      </w:pPr>
      <w:r>
        <w:t xml:space="preserve">The controller was enlarged to twenty-four hourly setpoints and the newcomer's budget cut to twenty evaluations, so that learning from scratch would be hard. Same three populations, 270 transfers.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3800"/>
      </w:tblGrid>
      <w:tr>
        <w:trPr>
          <w:tblHeader/>
        </w:trPr>
        <w:tc>
          <w:tcPr>
            <w:tcW w:type="dxa" w:w="5200"/>
            <w:shd w:fill="EFEFEF" w:val="clear"/>
          </w:tcPr>
          <w:p>
            <w:pPr>
              <w:spacing w:after="40" w:before="40"/>
            </w:pPr>
            <w:r>
              <w:rPr>
                <w:b/>
                <w:bCs/>
                <w:sz w:val="19"/>
                <w:szCs w:val="19"/>
              </w:rPr>
              <w:t xml:space="preserve">Quantity</w:t>
            </w:r>
          </w:p>
        </w:tc>
        <w:tc>
          <w:tcPr>
            <w:tcW w:type="dxa" w:w="3800"/>
            <w:shd w:fill="EFEFEF" w:val="clear"/>
          </w:tcPr>
          <w:p>
            <w:pPr>
              <w:spacing w:after="40" w:before="40"/>
            </w:pPr>
            <w:r>
              <w:rPr>
                <w:b/>
                <w:bCs/>
                <w:sz w:val="19"/>
                <w:szCs w:val="19"/>
              </w:rPr>
              <w:t xml:space="preserve">Value</w:t>
            </w:r>
          </w:p>
        </w:tc>
      </w:tr>
      <w:tr>
        <w:tc>
          <w:tcPr>
            <w:tcW w:type="dxa" w:w="5200"/>
          </w:tcPr>
          <w:p>
            <w:pPr>
              <w:spacing w:after="40" w:before="40"/>
            </w:pPr>
            <w:r>
              <w:rPr>
                <w:b w:val="false"/>
                <w:bCs w:val="false"/>
                <w:sz w:val="19"/>
                <w:szCs w:val="19"/>
              </w:rPr>
              <w:t xml:space="preserve">mean gain, inherited as is</w:t>
            </w:r>
          </w:p>
        </w:tc>
        <w:tc>
          <w:tcPr>
            <w:tcW w:type="dxa" w:w="3800"/>
          </w:tcPr>
          <w:p>
            <w:pPr>
              <w:spacing w:after="40" w:before="40"/>
            </w:pPr>
            <w:r>
              <w:rPr>
                <w:b w:val="false"/>
                <w:bCs w:val="false"/>
                <w:sz w:val="19"/>
                <w:szCs w:val="19"/>
              </w:rPr>
              <w:t xml:space="preserve">−3.6 %</w:t>
            </w:r>
          </w:p>
        </w:tc>
      </w:tr>
      <w:tr>
        <w:tc>
          <w:tcPr>
            <w:tcW w:type="dxa" w:w="5200"/>
          </w:tcPr>
          <w:p>
            <w:pPr>
              <w:spacing w:after="40" w:before="40"/>
            </w:pPr>
            <w:r>
              <w:rPr>
                <w:b w:val="false"/>
                <w:bCs w:val="false"/>
                <w:sz w:val="19"/>
                <w:szCs w:val="19"/>
              </w:rPr>
              <w:t xml:space="preserve">mean gain, inherited as starting point</w:t>
            </w:r>
          </w:p>
        </w:tc>
        <w:tc>
          <w:tcPr>
            <w:tcW w:type="dxa" w:w="3800"/>
          </w:tcPr>
          <w:p>
            <w:pPr>
              <w:spacing w:after="40" w:before="40"/>
            </w:pPr>
            <w:r>
              <w:rPr>
                <w:b w:val="false"/>
                <w:bCs w:val="false"/>
                <w:sz w:val="19"/>
                <w:szCs w:val="19"/>
              </w:rPr>
              <w:t xml:space="preserve">+0.5 %</w:t>
            </w:r>
          </w:p>
        </w:tc>
      </w:tr>
      <w:tr>
        <w:tc>
          <w:tcPr>
            <w:tcW w:type="dxa" w:w="5200"/>
          </w:tcPr>
          <w:p>
            <w:pPr>
              <w:spacing w:after="40" w:before="40"/>
            </w:pPr>
            <w:r>
              <w:rPr>
                <w:b w:val="false"/>
                <w:bCs w:val="false"/>
                <w:sz w:val="19"/>
                <w:szCs w:val="19"/>
              </w:rPr>
              <w:t xml:space="preserve">correlation of gain with distance (three populations)</w:t>
            </w:r>
          </w:p>
        </w:tc>
        <w:tc>
          <w:tcPr>
            <w:tcW w:type="dxa" w:w="3800"/>
          </w:tcPr>
          <w:p>
            <w:pPr>
              <w:spacing w:after="40" w:before="40"/>
            </w:pPr>
            <w:r>
              <w:rPr>
                <w:b w:val="false"/>
                <w:bCs w:val="false"/>
                <w:sz w:val="19"/>
                <w:szCs w:val="19"/>
              </w:rPr>
              <w:t xml:space="preserve">−0.37, −0.09, +0.01</w:t>
            </w:r>
          </w:p>
        </w:tc>
      </w:tr>
      <w:tr>
        <w:tc>
          <w:tcPr>
            <w:tcW w:type="dxa" w:w="5200"/>
          </w:tcPr>
          <w:p>
            <w:pPr>
              <w:spacing w:after="40" w:before="40"/>
            </w:pPr>
            <w:r>
              <w:rPr>
                <w:b w:val="false"/>
                <w:bCs w:val="false"/>
                <w:sz w:val="19"/>
                <w:szCs w:val="19"/>
              </w:rPr>
              <w:t xml:space="preserve">cost with the generic default (mean)</w:t>
            </w:r>
          </w:p>
        </w:tc>
        <w:tc>
          <w:tcPr>
            <w:tcW w:type="dxa" w:w="3800"/>
          </w:tcPr>
          <w:p>
            <w:pPr>
              <w:spacing w:after="40" w:before="40"/>
            </w:pPr>
            <w:r>
              <w:rPr>
                <w:b w:val="false"/>
                <w:bCs w:val="false"/>
                <w:sz w:val="19"/>
                <w:szCs w:val="19"/>
              </w:rPr>
              <w:t xml:space="preserve">6 146</w:t>
            </w:r>
          </w:p>
        </w:tc>
      </w:tr>
      <w:tr>
        <w:tc>
          <w:tcPr>
            <w:tcW w:type="dxa" w:w="5200"/>
          </w:tcPr>
          <w:p>
            <w:pPr>
              <w:spacing w:after="40" w:before="40"/>
            </w:pPr>
            <w:r>
              <w:rPr>
                <w:b w:val="false"/>
                <w:bCs w:val="false"/>
                <w:sz w:val="19"/>
                <w:szCs w:val="19"/>
              </w:rPr>
              <w:t xml:space="preserve">cost after a short life from scratch (mean)</w:t>
            </w:r>
          </w:p>
        </w:tc>
        <w:tc>
          <w:tcPr>
            <w:tcW w:type="dxa" w:w="3800"/>
          </w:tcPr>
          <w:p>
            <w:pPr>
              <w:spacing w:after="40" w:before="40"/>
            </w:pPr>
            <w:r>
              <w:rPr>
                <w:b w:val="false"/>
                <w:bCs w:val="false"/>
                <w:sz w:val="19"/>
                <w:szCs w:val="19"/>
              </w:rPr>
              <w:t xml:space="preserve">5 850</w:t>
            </w:r>
          </w:p>
        </w:tc>
      </w:tr>
      <w:tr>
        <w:tc>
          <w:tcPr>
            <w:tcW w:type="dxa" w:w="5200"/>
          </w:tcPr>
          <w:p>
            <w:pPr>
              <w:spacing w:after="40" w:before="40"/>
            </w:pPr>
            <w:r>
              <w:rPr>
                <w:b w:val="false"/>
                <w:bCs w:val="false"/>
                <w:sz w:val="19"/>
                <w:szCs w:val="19"/>
              </w:rPr>
              <w:t xml:space="preserve">cost after a full life (mean)</w:t>
            </w:r>
          </w:p>
        </w:tc>
        <w:tc>
          <w:tcPr>
            <w:tcW w:type="dxa" w:w="3800"/>
          </w:tcPr>
          <w:p>
            <w:pPr>
              <w:spacing w:after="40" w:before="40"/>
            </w:pPr>
            <w:r>
              <w:rPr>
                <w:b w:val="false"/>
                <w:bCs w:val="false"/>
                <w:sz w:val="19"/>
                <w:szCs w:val="19"/>
              </w:rPr>
              <w:t xml:space="preserve">5 482</w:t>
            </w:r>
          </w:p>
        </w:tc>
      </w:tr>
    </w:tbl>
    <w:p>
      <w:pPr>
        <w:spacing w:after="140"/>
      </w:pPr>
      <w:r>
        <w:t xml:space="preserve">A full life improves on the generic default by 21.6 % on average, but a short life already captures much of that improvement. Where a reasonable policy can be guessed from a default, there is little acquired experience worth inheriting.</w:t>
      </w:r>
    </w:p>
    <w:p>
      <w:pPr>
        <w:pStyle w:val="Heading2"/>
        <w:spacing w:after="140" w:before="260"/>
      </w:pPr>
      <w:r>
        <w:t xml:space="preserve">A.6 Interpretation</w:t>
      </w:r>
    </w:p>
    <w:p>
      <w:pPr>
        <w:spacing w:after="140"/>
      </w:pPr>
      <w:r>
        <w:t xml:space="preserve">Across both experiments the value of inherited experience was small, and the simple notion of distance between bodies failed to predict it. The diagnosis is contained in the numbers above: acquired experience is worth exactly what it costs the individual to acquire. In the present setting that cost is low, because a season can be re-lived thousands of times, mistakes are free, and the objective is smooth.</w:t>
      </w:r>
    </w:p>
    <w:p>
      <w:pPr>
        <w:spacing w:after="140"/>
      </w:pPr>
      <w:r>
        <w:t xml:space="preserve">Real buildings differ on every one of these points. A building lives each winter once; a failed heating strategy during a cold week is paid for in frozen pipes or in occupants, not in a counter; and the events that matter most are rare. This suggests the condition under which technological inheritance is not a convenience but the only available source:</w:t>
      </w:r>
    </w:p>
    <w:p>
      <w:pPr>
        <w:pStyle w:val="ListParagraph"/>
        <w:numPr>
          <w:ilvl w:val="0"/>
          <w:numId w:val="1"/>
        </w:numPr>
        <w:spacing w:after="80"/>
      </w:pPr>
      <w:r>
        <w:t xml:space="preserve">the relevant event is rare, so within-life learning cannot reach it;</w:t>
      </w:r>
    </w:p>
    <w:p>
      <w:pPr>
        <w:pStyle w:val="ListParagraph"/>
        <w:numPr>
          <w:ilvl w:val="0"/>
          <w:numId w:val="1"/>
        </w:numPr>
        <w:spacing w:after="80"/>
      </w:pPr>
      <w:r>
        <w:t xml:space="preserve">errors during learning are costly or irreversible;</w:t>
      </w:r>
    </w:p>
    <w:p>
      <w:pPr>
        <w:pStyle w:val="ListParagraph"/>
        <w:numPr>
          <w:ilvl w:val="0"/>
          <w:numId w:val="1"/>
        </w:numPr>
        <w:spacing w:after="80"/>
      </w:pPr>
      <w:r>
        <w:t xml:space="preserve">the consequence of an action appears after a long delay;</w:t>
      </w:r>
    </w:p>
    <w:p>
      <w:pPr>
        <w:pStyle w:val="ListParagraph"/>
        <w:numPr>
          <w:ilvl w:val="0"/>
          <w:numId w:val="1"/>
        </w:numPr>
        <w:spacing w:after="80"/>
      </w:pPr>
      <w:r>
        <w:t xml:space="preserve">a good policy cannot be guessed from a generic default.</w:t>
      </w:r>
    </w:p>
    <w:p>
      <w:pPr>
        <w:spacing w:after="140"/>
      </w:pPr>
      <w:r>
        <w:t xml:space="preserve">This is a statement about the model, not about buildings. Its role in the argument is to sharpen the question of Part II: what must be preserved is whatever is expensive to acquire again.</w:t>
      </w:r>
    </w:p>
    <w:p>
      <w:pPr>
        <w:pStyle w:val="Heading2"/>
        <w:spacing w:after="140" w:before="260"/>
      </w:pPr>
      <w:r>
        <w:t xml:space="preserve">A.7 Planned experiment 3: rare events</w:t>
      </w:r>
    </w:p>
    <w:p>
      <w:pPr>
        <w:spacing w:after="140"/>
      </w:pPr>
      <w:r>
        <w:t xml:space="preserve">Design, not yet run. A building lives several years in hourly simulation. A severe cold spell occurs for a few days once per year, at an unpredictable date, and the cost of failure during it is an order of magnitude above ordinary operation. A newcomer either receives the record of how an older building behaved during such an event, or must pass its own first cold spell unaided. The measured quantity is the loss accumulated during the first winter, not the quality of the final controller.</w:t>
      </w:r>
    </w:p>
    <w:p>
      <w:pPr>
        <w:spacing w:after="140"/>
      </w:pPr>
      <w:r>
        <w:t xml:space="preserve">[REAL DATA] This is the experiment that measured logs would make real: the rare events are already in the archives of any building older than a few years.</w:t>
      </w:r>
    </w:p>
    <w:p>
      <w:pPr>
        <w:pStyle w:val="Heading2"/>
        <w:spacing w:after="140" w:before="260"/>
      </w:pPr>
      <w:r>
        <w:t xml:space="preserve">A.8 What measured data would replace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EFEFEF" w:val="clear"/>
          </w:tcPr>
          <w:p>
            <w:pPr>
              <w:spacing w:after="40" w:before="40"/>
            </w:pPr>
            <w:r>
              <w:rPr>
                <w:b/>
                <w:bCs/>
                <w:sz w:val="19"/>
                <w:szCs w:val="19"/>
              </w:rPr>
              <w:t xml:space="preserve">Currently synthetic</w:t>
            </w:r>
          </w:p>
        </w:tc>
        <w:tc>
          <w:tcPr>
            <w:tcW w:type="dxa" w:w="4800"/>
            <w:shd w:fill="EFEFEF" w:val="clear"/>
          </w:tcPr>
          <w:p>
            <w:pPr>
              <w:spacing w:after="40" w:before="40"/>
            </w:pPr>
            <w:r>
              <w:rPr>
                <w:b/>
                <w:bCs/>
                <w:sz w:val="19"/>
                <w:szCs w:val="19"/>
              </w:rPr>
              <w:t xml:space="preserve">Would come from a real building</w:t>
            </w:r>
          </w:p>
        </w:tc>
      </w:tr>
      <w:tr>
        <w:tc>
          <w:tcPr>
            <w:tcW w:type="dxa" w:w="4200"/>
          </w:tcPr>
          <w:p>
            <w:pPr>
              <w:spacing w:after="40" w:before="40"/>
            </w:pPr>
            <w:r>
              <w:rPr>
                <w:b w:val="false"/>
                <w:bCs w:val="false"/>
                <w:sz w:val="19"/>
                <w:szCs w:val="19"/>
              </w:rPr>
              <w:t xml:space="preserve">ten body parameters</w:t>
            </w:r>
          </w:p>
        </w:tc>
        <w:tc>
          <w:tcPr>
            <w:tcW w:type="dxa" w:w="4800"/>
          </w:tcPr>
          <w:p>
            <w:pPr>
              <w:spacing w:after="40" w:before="40"/>
            </w:pPr>
            <w:r>
              <w:rPr>
                <w:b w:val="false"/>
                <w:bCs w:val="false"/>
                <w:sz w:val="19"/>
                <w:szCs w:val="19"/>
              </w:rPr>
              <w:t xml:space="preserve">energy audit, drawings, system identification from logs</w:t>
            </w:r>
          </w:p>
        </w:tc>
      </w:tr>
      <w:tr>
        <w:tc>
          <w:tcPr>
            <w:tcW w:type="dxa" w:w="4200"/>
          </w:tcPr>
          <w:p>
            <w:pPr>
              <w:spacing w:after="40" w:before="40"/>
            </w:pPr>
            <w:r>
              <w:rPr>
                <w:b w:val="false"/>
                <w:bCs w:val="false"/>
                <w:sz w:val="19"/>
                <w:szCs w:val="19"/>
              </w:rPr>
              <w:t xml:space="preserve">weather</w:t>
            </w:r>
          </w:p>
        </w:tc>
        <w:tc>
          <w:tcPr>
            <w:tcW w:type="dxa" w:w="4800"/>
          </w:tcPr>
          <w:p>
            <w:pPr>
              <w:spacing w:after="40" w:before="40"/>
            </w:pPr>
            <w:r>
              <w:rPr>
                <w:b w:val="false"/>
                <w:bCs w:val="false"/>
                <w:sz w:val="19"/>
                <w:szCs w:val="19"/>
              </w:rPr>
              <w:t xml:space="preserve">local station records for the same period</w:t>
            </w:r>
          </w:p>
        </w:tc>
      </w:tr>
      <w:tr>
        <w:tc>
          <w:tcPr>
            <w:tcW w:type="dxa" w:w="4200"/>
          </w:tcPr>
          <w:p>
            <w:pPr>
              <w:spacing w:after="40" w:before="40"/>
            </w:pPr>
            <w:r>
              <w:rPr>
                <w:b w:val="false"/>
                <w:bCs w:val="false"/>
                <w:sz w:val="19"/>
                <w:szCs w:val="19"/>
              </w:rPr>
              <w:t xml:space="preserve">occupancy</w:t>
            </w:r>
          </w:p>
        </w:tc>
        <w:tc>
          <w:tcPr>
            <w:tcW w:type="dxa" w:w="4800"/>
          </w:tcPr>
          <w:p>
            <w:pPr>
              <w:spacing w:after="40" w:before="40"/>
            </w:pPr>
            <w:r>
              <w:rPr>
                <w:b w:val="false"/>
                <w:bCs w:val="false"/>
                <w:sz w:val="19"/>
                <w:szCs w:val="19"/>
              </w:rPr>
              <w:t xml:space="preserve">access control, room booking, or CO₂ sensors</w:t>
            </w:r>
          </w:p>
        </w:tc>
      </w:tr>
      <w:tr>
        <w:tc>
          <w:tcPr>
            <w:tcW w:type="dxa" w:w="4200"/>
          </w:tcPr>
          <w:p>
            <w:pPr>
              <w:spacing w:after="40" w:before="40"/>
            </w:pPr>
            <w:r>
              <w:rPr>
                <w:b w:val="false"/>
                <w:bCs w:val="false"/>
                <w:sz w:val="19"/>
                <w:szCs w:val="19"/>
              </w:rPr>
              <w:t xml:space="preserve">cost weights</w:t>
            </w:r>
          </w:p>
        </w:tc>
        <w:tc>
          <w:tcPr>
            <w:tcW w:type="dxa" w:w="4800"/>
          </w:tcPr>
          <w:p>
            <w:pPr>
              <w:spacing w:after="40" w:before="40"/>
            </w:pPr>
            <w:r>
              <w:rPr>
                <w:b w:val="false"/>
                <w:bCs w:val="false"/>
                <w:sz w:val="19"/>
                <w:szCs w:val="19"/>
              </w:rPr>
              <w:t xml:space="preserve">tariff and the operator's comfort requirement</w:t>
            </w:r>
          </w:p>
        </w:tc>
      </w:tr>
      <w:tr>
        <w:tc>
          <w:tcPr>
            <w:tcW w:type="dxa" w:w="4200"/>
          </w:tcPr>
          <w:p>
            <w:pPr>
              <w:spacing w:after="40" w:before="40"/>
            </w:pPr>
            <w:r>
              <w:rPr>
                <w:b w:val="false"/>
                <w:bCs w:val="false"/>
                <w:sz w:val="19"/>
                <w:szCs w:val="19"/>
              </w:rPr>
              <w:t xml:space="preserve">controller</w:t>
            </w:r>
          </w:p>
        </w:tc>
        <w:tc>
          <w:tcPr>
            <w:tcW w:type="dxa" w:w="4800"/>
          </w:tcPr>
          <w:p>
            <w:pPr>
              <w:spacing w:after="40" w:before="40"/>
            </w:pPr>
            <w:r>
              <w:rPr>
                <w:b w:val="false"/>
                <w:bCs w:val="false"/>
                <w:sz w:val="19"/>
                <w:szCs w:val="19"/>
              </w:rPr>
              <w:t xml:space="preserve">the setpoint schedule actually used by the building management system</w:t>
            </w:r>
          </w:p>
        </w:tc>
      </w:tr>
      <w:tr>
        <w:tc>
          <w:tcPr>
            <w:tcW w:type="dxa" w:w="4200"/>
          </w:tcPr>
          <w:p>
            <w:pPr>
              <w:spacing w:after="40" w:before="40"/>
            </w:pPr>
            <w:r>
              <w:rPr>
                <w:b w:val="false"/>
                <w:bCs w:val="false"/>
                <w:sz w:val="19"/>
                <w:szCs w:val="19"/>
              </w:rPr>
              <w:t xml:space="preserve">rare events</w:t>
            </w:r>
          </w:p>
        </w:tc>
        <w:tc>
          <w:tcPr>
            <w:tcW w:type="dxa" w:w="4800"/>
          </w:tcPr>
          <w:p>
            <w:pPr>
              <w:spacing w:after="40" w:before="40"/>
            </w:pPr>
            <w:r>
              <w:rPr>
                <w:b w:val="false"/>
                <w:bCs w:val="false"/>
                <w:sz w:val="19"/>
                <w:szCs w:val="19"/>
              </w:rPr>
              <w:t xml:space="preserve">the building's own archive of cold spells, failures and interventions</w:t>
            </w:r>
          </w:p>
        </w:tc>
      </w:tr>
    </w:tbl>
    <w:p>
      <w:pPr>
        <w:pStyle w:val="Heading2"/>
        <w:spacing w:after="140" w:before="260"/>
      </w:pPr>
      <w:r>
        <w:t xml:space="preserve">A.9 Reproducibility</w:t>
      </w:r>
    </w:p>
    <w:p>
      <w:pPr>
        <w:spacing w:after="140"/>
      </w:pPr>
      <w:r>
        <w:t xml:space="preserve">Four Python files: the thermal model and learning procedure, the two experiment drivers, and the analysis. Random seeds are fixed and reported; each experiment writes a table of all pairwise transfers. Experiment 1 runs in about three minutes per population, Experiment 2 in about twenty, on an ordinary laptop.</w:t>
      </w:r>
    </w:p>
    <w:p>
      <w:pPr>
        <w:spacing w:after="140"/>
      </w:pPr>
      <w:r>
        <w:t xml:space="preserve">Author's note: the code was written with AI assistance; the model, the quantities measured, the experimental design and the decision of what to report are the author's.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2026-09-22T20:00:13.760Z</dcterms:created>
  <dcterms:modified xsi:type="dcterms:W3CDTF">2026-09-22T20:00:13.772Z</dcterms:modified>
</cp:coreProperties>
</file>

<file path=docProps/custom.xml><?xml version="1.0" encoding="utf-8"?>
<Properties xmlns="http://schemas.openxmlformats.org/officeDocument/2006/custom-properties" xmlns:vt="http://schemas.openxmlformats.org/officeDocument/2006/docPropsVTypes"/>
</file>