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pPr>
      <w:r>
        <w:t xml:space="preserve">Appendix B. The same question on synthetic and on measured buildings</w:t>
      </w:r>
    </w:p>
    <w:p>
      <w:pPr>
        <w:spacing w:after="130"/>
      </w:pPr>
      <w:r>
        <w:t xml:space="preserve">Appendix A posed the question on a synthetic population of buildings and found that inherited experience was worth little there. This appendix repeats the question on measured data from real buildings and compares the two.</w:t>
      </w:r>
    </w:p>
    <w:p>
      <w:pPr>
        <w:pStyle w:val="Heading2"/>
        <w:spacing w:after="120" w:before="240"/>
      </w:pPr>
      <w:r>
        <w:t xml:space="preserve">B.1 Measured data</w:t>
      </w:r>
    </w:p>
    <w:p>
      <w:pPr>
        <w:spacing w:after="130"/>
      </w:pPr>
      <w:r>
        <w:t xml:space="preserve">Building Data Genome Project 2 (Miller et al., Scientific Data 7:368, 2020): 3 053 meters in 1 636 non-residential buildings, hourly, 2016–2017, with weather and building metadata. Used here: site “Rat”, 40 buildings with at least 95 % coverage; hourly electricity; outdoor air temperature from the site's own weather record.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300"/>
        <w:gridCol w:w="6500"/>
      </w:tblGrid>
      <w:tr>
        <w:trPr>
          <w:tblHeader/>
        </w:trPr>
        <w:tc>
          <w:tcPr>
            <w:tcW w:type="dxa" w:w="2300"/>
            <w:shd w:fill="EFEFEF" w:val="clear"/>
          </w:tcPr>
          <w:p>
            <w:pPr>
              <w:spacing w:after="40" w:before="40"/>
            </w:pPr>
            <w:r>
              <w:rPr>
                <w:b/>
                <w:bCs/>
                <w:sz w:val="18"/>
                <w:szCs w:val="18"/>
              </w:rPr>
              <w:t xml:space="preserve">Element</w:t>
            </w:r>
          </w:p>
        </w:tc>
        <w:tc>
          <w:tcPr>
            <w:tcW w:type="dxa" w:w="6500"/>
            <w:shd w:fill="EFEFEF" w:val="clear"/>
          </w:tcPr>
          <w:p>
            <w:pPr>
              <w:spacing w:after="40" w:before="40"/>
            </w:pPr>
            <w:r>
              <w:rPr>
                <w:b/>
                <w:bCs/>
                <w:sz w:val="18"/>
                <w:szCs w:val="18"/>
              </w:rPr>
              <w:t xml:space="preserve">Choice</w:t>
            </w:r>
          </w:p>
        </w:tc>
      </w:tr>
      <w:tr>
        <w:tc>
          <w:tcPr>
            <w:tcW w:type="dxa" w:w="2300"/>
          </w:tcPr>
          <w:p>
            <w:pPr>
              <w:spacing w:after="40" w:before="40"/>
            </w:pPr>
            <w:r>
              <w:rPr>
                <w:b w:val="false"/>
                <w:bCs w:val="false"/>
                <w:sz w:val="18"/>
                <w:szCs w:val="18"/>
              </w:rPr>
              <w:t xml:space="preserve">Target</w:t>
            </w:r>
          </w:p>
        </w:tc>
        <w:tc>
          <w:tcPr>
            <w:tcW w:type="dxa" w:w="6500"/>
          </w:tcPr>
          <w:p>
            <w:pPr>
              <w:spacing w:after="40" w:before="40"/>
            </w:pPr>
            <w:r>
              <w:rPr>
                <w:b w:val="false"/>
                <w:bCs w:val="false"/>
                <w:sz w:val="18"/>
                <w:szCs w:val="18"/>
              </w:rPr>
              <w:t xml:space="preserve">hourly electricity, divided by the building's own mean — the shape of the load, not its size</w:t>
            </w:r>
          </w:p>
        </w:tc>
      </w:tr>
      <w:tr>
        <w:tc>
          <w:tcPr>
            <w:tcW w:type="dxa" w:w="2300"/>
          </w:tcPr>
          <w:p>
            <w:pPr>
              <w:spacing w:after="40" w:before="40"/>
            </w:pPr>
            <w:r>
              <w:rPr>
                <w:b w:val="false"/>
                <w:bCs w:val="false"/>
                <w:sz w:val="18"/>
                <w:szCs w:val="18"/>
              </w:rPr>
              <w:t xml:space="preserve">Predictors</w:t>
            </w:r>
          </w:p>
        </w:tc>
        <w:tc>
          <w:tcPr>
            <w:tcW w:type="dxa" w:w="6500"/>
          </w:tcPr>
          <w:p>
            <w:pPr>
              <w:spacing w:after="40" w:before="40"/>
            </w:pPr>
            <w:r>
              <w:rPr>
                <w:b w:val="false"/>
                <w:bCs w:val="false"/>
                <w:sz w:val="18"/>
                <w:szCs w:val="18"/>
              </w:rPr>
              <w:t xml:space="preserve">hour, day of week, month, weekend flag, outdoor temperature, its square, its value 24 h earlier</w:t>
            </w:r>
          </w:p>
        </w:tc>
      </w:tr>
      <w:tr>
        <w:tc>
          <w:tcPr>
            <w:tcW w:type="dxa" w:w="2300"/>
          </w:tcPr>
          <w:p>
            <w:pPr>
              <w:spacing w:after="40" w:before="40"/>
            </w:pPr>
            <w:r>
              <w:rPr>
                <w:b w:val="false"/>
                <w:bCs w:val="false"/>
                <w:sz w:val="18"/>
                <w:szCs w:val="18"/>
              </w:rPr>
              <w:t xml:space="preserve">Model</w:t>
            </w:r>
          </w:p>
        </w:tc>
        <w:tc>
          <w:tcPr>
            <w:tcW w:type="dxa" w:w="6500"/>
          </w:tcPr>
          <w:p>
            <w:pPr>
              <w:spacing w:after="40" w:before="40"/>
            </w:pPr>
            <w:r>
              <w:rPr>
                <w:b w:val="false"/>
                <w:bCs w:val="false"/>
                <w:sz w:val="18"/>
                <w:szCs w:val="18"/>
              </w:rPr>
              <w:t xml:space="preserve">gradient boosting (LightGBM), 200 trees for a full history, 120 shallow trees for a short one</w:t>
            </w:r>
          </w:p>
        </w:tc>
      </w:tr>
      <w:tr>
        <w:tc>
          <w:tcPr>
            <w:tcW w:type="dxa" w:w="2300"/>
          </w:tcPr>
          <w:p>
            <w:pPr>
              <w:spacing w:after="40" w:before="40"/>
            </w:pPr>
            <w:r>
              <w:rPr>
                <w:b w:val="false"/>
                <w:bCs w:val="false"/>
                <w:sz w:val="18"/>
                <w:szCs w:val="18"/>
              </w:rPr>
              <w:t xml:space="preserve">Training / testing</w:t>
            </w:r>
          </w:p>
        </w:tc>
        <w:tc>
          <w:tcPr>
            <w:tcW w:type="dxa" w:w="6500"/>
          </w:tcPr>
          <w:p>
            <w:pPr>
              <w:spacing w:after="40" w:before="40"/>
            </w:pPr>
            <w:r>
              <w:rPr>
                <w:b w:val="false"/>
                <w:bCs w:val="false"/>
                <w:sz w:val="18"/>
                <w:szCs w:val="18"/>
              </w:rPr>
              <w:t xml:space="preserve">2016 / 2017, no overlap</w:t>
            </w:r>
          </w:p>
        </w:tc>
      </w:tr>
      <w:tr>
        <w:tc>
          <w:tcPr>
            <w:tcW w:type="dxa" w:w="2300"/>
          </w:tcPr>
          <w:p>
            <w:pPr>
              <w:spacing w:after="40" w:before="40"/>
            </w:pPr>
            <w:r>
              <w:rPr>
                <w:b w:val="false"/>
                <w:bCs w:val="false"/>
                <w:sz w:val="18"/>
                <w:szCs w:val="18"/>
              </w:rPr>
              <w:t xml:space="preserve">A newcomer</w:t>
            </w:r>
          </w:p>
        </w:tc>
        <w:tc>
          <w:tcPr>
            <w:tcW w:type="dxa" w:w="6500"/>
          </w:tcPr>
          <w:p>
            <w:pPr>
              <w:spacing w:after="40" w:before="40"/>
            </w:pPr>
            <w:r>
              <w:rPr>
                <w:b w:val="false"/>
                <w:bCs w:val="false"/>
                <w:sz w:val="18"/>
                <w:szCs w:val="18"/>
              </w:rPr>
              <w:t xml:space="preserve">a building for which only the first 14 days of 2016 are available (318 hours)</w:t>
            </w:r>
          </w:p>
        </w:tc>
      </w:tr>
    </w:tbl>
    <w:p>
      <w:pPr>
        <w:pStyle w:val="Heading2"/>
        <w:spacing w:after="120" w:before="240"/>
      </w:pPr>
      <w:r>
        <w:t xml:space="preserve">B.2 Conditions compared</w:t>
      </w:r>
    </w:p>
    <w:p>
      <w:pPr>
        <w:spacing w:after="40"/>
      </w:pPr>
      <w:r>
        <w:rPr>
          <w:rFonts w:ascii="Consolas" w:cs="Consolas" w:eastAsia="Consolas" w:hAnsi="Consolas"/>
          <w:sz w:val="17"/>
          <w:szCs w:val="17"/>
        </w:rPr>
        <w:t xml:space="preserve">scratch        the newcomer's own model, built from its 14 days</w:t>
      </w:r>
    </w:p>
    <w:p>
      <w:pPr>
        <w:spacing w:after="40"/>
      </w:pPr>
      <w:r>
        <w:rPr>
          <w:rFonts w:ascii="Consolas" w:cs="Consolas" w:eastAsia="Consolas" w:hAnsi="Consolas"/>
          <w:sz w:val="17"/>
          <w:szCs w:val="17"/>
        </w:rPr>
        <w:t xml:space="preserve">as is          a donor building's full model, applied unchanged</w:t>
      </w:r>
    </w:p>
    <w:p>
      <w:pPr>
        <w:spacing w:after="40"/>
      </w:pPr>
      <w:r>
        <w:rPr>
          <w:rFonts w:ascii="Consolas" w:cs="Consolas" w:eastAsia="Consolas" w:hAnsi="Consolas"/>
          <w:sz w:val="17"/>
          <w:szCs w:val="17"/>
        </w:rPr>
        <w:t xml:space="preserve">tuned          the donor's model, refined on the newcomer's 14 days</w:t>
      </w:r>
    </w:p>
    <w:p>
      <w:pPr>
        <w:spacing w:after="40"/>
      </w:pPr>
      <w:r>
        <w:rPr>
          <w:rFonts w:ascii="Consolas" w:cs="Consolas" w:eastAsia="Consolas" w:hAnsi="Consolas"/>
          <w:sz w:val="17"/>
          <w:szCs w:val="17"/>
        </w:rPr>
        <w:t xml:space="preserve">population     one model trained on all other buildings of the site</w:t>
      </w:r>
    </w:p>
    <w:p>
      <w:pPr>
        <w:spacing w:after="40"/>
      </w:pPr>
      <w:r>
        <w:rPr>
          <w:rFonts w:ascii="Consolas" w:cs="Consolas" w:eastAsia="Consolas" w:hAnsi="Consolas"/>
          <w:sz w:val="17"/>
          <w:szCs w:val="17"/>
        </w:rPr>
        <w:t xml:space="preserve">population +   that model refined on the newcomer's 14 days</w:t>
      </w:r>
    </w:p>
    <w:p>
      <w:pPr>
        <w:spacing w:after="130"/>
      </w:pPr>
      <w:r>
        <w:t xml:space="preserve">All results are relative to “scratch”, in per cent of its error. A positive number means the inherited model was better than the newcomer's own.</w:t>
      </w:r>
    </w:p>
    <w:p>
      <w:pPr>
        <w:pStyle w:val="Heading2"/>
        <w:spacing w:after="120" w:before="240"/>
      </w:pPr>
      <w:r>
        <w:t xml:space="preserve">B.3 Results</w:t>
      </w:r>
    </w:p>
    <w:p>
      <w:pPr>
        <w:spacing w:after="130"/>
      </w:pPr>
      <w:r>
        <w:t xml:space="preserve">Synthetic buildings (Appendix A, 270 transfers per experiment):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400"/>
      </w:tblGrid>
      <w:tr>
        <w:trPr>
          <w:tblHeader/>
        </w:trPr>
        <w:tc>
          <w:tcPr>
            <w:tcW w:type="dxa" w:w="3600"/>
            <w:shd w:fill="EFEFEF" w:val="clear"/>
          </w:tcPr>
          <w:p>
            <w:pPr>
              <w:spacing w:after="40" w:before="40"/>
            </w:pPr>
            <w:r>
              <w:rPr>
                <w:b/>
                <w:bCs/>
                <w:sz w:val="18"/>
                <w:szCs w:val="18"/>
              </w:rPr>
              <w:t xml:space="preserve">Condition</w:t>
            </w:r>
          </w:p>
        </w:tc>
        <w:tc>
          <w:tcPr>
            <w:tcW w:type="dxa" w:w="2800"/>
            <w:shd w:fill="EFEFEF" w:val="clear"/>
          </w:tcPr>
          <w:p>
            <w:pPr>
              <w:spacing w:after="40" w:before="40"/>
            </w:pPr>
            <w:r>
              <w:rPr>
                <w:b/>
                <w:bCs/>
                <w:sz w:val="18"/>
                <w:szCs w:val="18"/>
              </w:rPr>
              <w:t xml:space="preserve">Experiment 1</w:t>
            </w:r>
          </w:p>
        </w:tc>
        <w:tc>
          <w:tcPr>
            <w:tcW w:type="dxa" w:w="2400"/>
            <w:shd w:fill="EFEFEF" w:val="clear"/>
          </w:tcPr>
          <w:p>
            <w:pPr>
              <w:spacing w:after="40" w:before="40"/>
            </w:pPr>
            <w:r>
              <w:rPr>
                <w:b/>
                <w:bCs/>
                <w:sz w:val="18"/>
                <w:szCs w:val="18"/>
              </w:rPr>
              <w:t xml:space="preserve">Experiment 2</w:t>
            </w:r>
          </w:p>
        </w:tc>
      </w:tr>
      <w:tr>
        <w:tc>
          <w:tcPr>
            <w:tcW w:type="dxa" w:w="3600"/>
          </w:tcPr>
          <w:p>
            <w:pPr>
              <w:spacing w:after="40" w:before="40"/>
            </w:pPr>
            <w:r>
              <w:rPr>
                <w:b w:val="false"/>
                <w:bCs w:val="false"/>
                <w:sz w:val="18"/>
                <w:szCs w:val="18"/>
              </w:rPr>
              <w:t xml:space="preserve">inherited as is</w:t>
            </w:r>
          </w:p>
        </w:tc>
        <w:tc>
          <w:tcPr>
            <w:tcW w:type="dxa" w:w="2800"/>
          </w:tcPr>
          <w:p>
            <w:pPr>
              <w:spacing w:after="40" w:before="40"/>
            </w:pPr>
            <w:r>
              <w:rPr>
                <w:b w:val="false"/>
                <w:bCs w:val="false"/>
                <w:sz w:val="18"/>
                <w:szCs w:val="18"/>
              </w:rPr>
              <w:t xml:space="preserve">−10.4 % (helped in 28 % of pairs)</w:t>
            </w:r>
          </w:p>
        </w:tc>
        <w:tc>
          <w:tcPr>
            <w:tcW w:type="dxa" w:w="2400"/>
          </w:tcPr>
          <w:p>
            <w:pPr>
              <w:spacing w:after="40" w:before="40"/>
            </w:pPr>
            <w:r>
              <w:rPr>
                <w:b w:val="false"/>
                <w:bCs w:val="false"/>
                <w:sz w:val="18"/>
                <w:szCs w:val="18"/>
              </w:rPr>
              <w:t xml:space="preserve">−3.6 %</w:t>
            </w:r>
          </w:p>
        </w:tc>
      </w:tr>
      <w:tr>
        <w:tc>
          <w:tcPr>
            <w:tcW w:type="dxa" w:w="3600"/>
          </w:tcPr>
          <w:p>
            <w:pPr>
              <w:spacing w:after="40" w:before="40"/>
            </w:pPr>
            <w:r>
              <w:rPr>
                <w:b w:val="false"/>
                <w:bCs w:val="false"/>
                <w:sz w:val="18"/>
                <w:szCs w:val="18"/>
              </w:rPr>
              <w:t xml:space="preserve">inherited and refined</w:t>
            </w:r>
          </w:p>
        </w:tc>
        <w:tc>
          <w:tcPr>
            <w:tcW w:type="dxa" w:w="2800"/>
          </w:tcPr>
          <w:p>
            <w:pPr>
              <w:spacing w:after="40" w:before="40"/>
            </w:pPr>
            <w:r>
              <w:rPr>
                <w:b w:val="false"/>
                <w:bCs w:val="false"/>
                <w:sz w:val="18"/>
                <w:szCs w:val="18"/>
              </w:rPr>
              <w:t xml:space="preserve">+4.8 % (helped in 81 %)</w:t>
            </w:r>
          </w:p>
        </w:tc>
        <w:tc>
          <w:tcPr>
            <w:tcW w:type="dxa" w:w="2400"/>
          </w:tcPr>
          <w:p>
            <w:pPr>
              <w:spacing w:after="40" w:before="40"/>
            </w:pPr>
            <w:r>
              <w:rPr>
                <w:b w:val="false"/>
                <w:bCs w:val="false"/>
                <w:sz w:val="18"/>
                <w:szCs w:val="18"/>
              </w:rPr>
              <w:t xml:space="preserve">+0.5 %</w:t>
            </w:r>
          </w:p>
        </w:tc>
      </w:tr>
      <w:tr>
        <w:tc>
          <w:tcPr>
            <w:tcW w:type="dxa" w:w="3600"/>
          </w:tcPr>
          <w:p>
            <w:pPr>
              <w:spacing w:after="40" w:before="40"/>
            </w:pPr>
            <w:r>
              <w:rPr>
                <w:b w:val="false"/>
                <w:bCs w:val="false"/>
                <w:sz w:val="18"/>
                <w:szCs w:val="18"/>
              </w:rPr>
              <w:t xml:space="preserve">correlation with distance between bodies</w:t>
            </w:r>
          </w:p>
        </w:tc>
        <w:tc>
          <w:tcPr>
            <w:tcW w:type="dxa" w:w="2800"/>
          </w:tcPr>
          <w:p>
            <w:pPr>
              <w:spacing w:after="40" w:before="40"/>
            </w:pPr>
            <w:r>
              <w:rPr>
                <w:b w:val="false"/>
                <w:bCs w:val="false"/>
                <w:sz w:val="18"/>
                <w:szCs w:val="18"/>
              </w:rPr>
              <w:t xml:space="preserve">+0.21</w:t>
            </w:r>
          </w:p>
        </w:tc>
        <w:tc>
          <w:tcPr>
            <w:tcW w:type="dxa" w:w="2400"/>
          </w:tcPr>
          <w:p>
            <w:pPr>
              <w:spacing w:after="40" w:before="40"/>
            </w:pPr>
            <w:r>
              <w:rPr>
                <w:b w:val="false"/>
                <w:bCs w:val="false"/>
                <w:sz w:val="18"/>
                <w:szCs w:val="18"/>
              </w:rPr>
              <w:t xml:space="preserve">≈ 0</w:t>
            </w:r>
          </w:p>
        </w:tc>
      </w:tr>
    </w:tbl>
    <w:p>
      <w:pPr>
        <w:spacing w:after="130"/>
      </w:pPr>
      <w:r>
        <w:t xml:space="preserve">Measured buildings (site Rat, 40 buildings, 1 560 ordered pairs):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400"/>
      </w:tblGrid>
      <w:tr>
        <w:trPr>
          <w:tblHeader/>
        </w:trPr>
        <w:tc>
          <w:tcPr>
            <w:tcW w:type="dxa" w:w="4200"/>
            <w:shd w:fill="EFEFEF" w:val="clear"/>
          </w:tcPr>
          <w:p>
            <w:pPr>
              <w:spacing w:after="40" w:before="40"/>
            </w:pPr>
            <w:r>
              <w:rPr>
                <w:b/>
                <w:bCs/>
                <w:sz w:val="18"/>
                <w:szCs w:val="18"/>
              </w:rPr>
              <w:t xml:space="preserve">Condition</w:t>
            </w:r>
          </w:p>
        </w:tc>
        <w:tc>
          <w:tcPr>
            <w:tcW w:type="dxa" w:w="2200"/>
            <w:shd w:fill="EFEFEF" w:val="clear"/>
          </w:tcPr>
          <w:p>
            <w:pPr>
              <w:spacing w:after="40" w:before="40"/>
            </w:pPr>
            <w:r>
              <w:rPr>
                <w:b/>
                <w:bCs/>
                <w:sz w:val="18"/>
                <w:szCs w:val="18"/>
              </w:rPr>
              <w:t xml:space="preserve">Median gain</w:t>
            </w:r>
          </w:p>
        </w:tc>
        <w:tc>
          <w:tcPr>
            <w:tcW w:type="dxa" w:w="2400"/>
            <w:shd w:fill="EFEFEF" w:val="clear"/>
          </w:tcPr>
          <w:p>
            <w:pPr>
              <w:spacing w:after="40" w:before="40"/>
            </w:pPr>
            <w:r>
              <w:rPr>
                <w:b/>
                <w:bCs/>
                <w:sz w:val="18"/>
                <w:szCs w:val="18"/>
              </w:rPr>
              <w:t xml:space="preserve">Helped in</w:t>
            </w:r>
          </w:p>
        </w:tc>
      </w:tr>
      <w:tr>
        <w:tc>
          <w:tcPr>
            <w:tcW w:type="dxa" w:w="4200"/>
          </w:tcPr>
          <w:p>
            <w:pPr>
              <w:spacing w:after="40" w:before="40"/>
            </w:pPr>
            <w:r>
              <w:rPr>
                <w:b w:val="false"/>
                <w:bCs w:val="false"/>
                <w:sz w:val="18"/>
                <w:szCs w:val="18"/>
              </w:rPr>
              <w:t xml:space="preserve">full donor model, receiver has full history</w:t>
            </w:r>
          </w:p>
        </w:tc>
        <w:tc>
          <w:tcPr>
            <w:tcW w:type="dxa" w:w="2200"/>
          </w:tcPr>
          <w:p>
            <w:pPr>
              <w:spacing w:after="40" w:before="40"/>
            </w:pPr>
            <w:r>
              <w:rPr>
                <w:b w:val="false"/>
                <w:bCs w:val="false"/>
                <w:sz w:val="18"/>
                <w:szCs w:val="18"/>
              </w:rPr>
              <w:t xml:space="preserve">−85 %</w:t>
            </w:r>
          </w:p>
        </w:tc>
        <w:tc>
          <w:tcPr>
            <w:tcW w:type="dxa" w:w="2400"/>
          </w:tcPr>
          <w:p>
            <w:pPr>
              <w:spacing w:after="40" w:before="40"/>
            </w:pPr>
            <w:r>
              <w:rPr>
                <w:b w:val="false"/>
                <w:bCs w:val="false"/>
                <w:sz w:val="18"/>
                <w:szCs w:val="18"/>
              </w:rPr>
              <w:t xml:space="preserve">7 % of pairs</w:t>
            </w:r>
          </w:p>
        </w:tc>
      </w:tr>
      <w:tr>
        <w:tc>
          <w:tcPr>
            <w:tcW w:type="dxa" w:w="4200"/>
          </w:tcPr>
          <w:p>
            <w:pPr>
              <w:spacing w:after="40" w:before="40"/>
            </w:pPr>
            <w:r>
              <w:rPr>
                <w:b w:val="false"/>
                <w:bCs w:val="false"/>
                <w:sz w:val="18"/>
                <w:szCs w:val="18"/>
              </w:rPr>
              <w:t xml:space="preserve">donor model as is, receiver is a newcomer</w:t>
            </w:r>
          </w:p>
        </w:tc>
        <w:tc>
          <w:tcPr>
            <w:tcW w:type="dxa" w:w="2200"/>
          </w:tcPr>
          <w:p>
            <w:pPr>
              <w:spacing w:after="40" w:before="40"/>
            </w:pPr>
            <w:r>
              <w:rPr>
                <w:b w:val="false"/>
                <w:bCs w:val="false"/>
                <w:sz w:val="18"/>
                <w:szCs w:val="18"/>
              </w:rPr>
              <w:t xml:space="preserve">−33 %</w:t>
            </w:r>
          </w:p>
        </w:tc>
        <w:tc>
          <w:tcPr>
            <w:tcW w:type="dxa" w:w="2400"/>
          </w:tcPr>
          <w:p>
            <w:pPr>
              <w:spacing w:after="40" w:before="40"/>
            </w:pPr>
            <w:r>
              <w:rPr>
                <w:b w:val="false"/>
                <w:bCs w:val="false"/>
                <w:sz w:val="18"/>
                <w:szCs w:val="18"/>
              </w:rPr>
              <w:t xml:space="preserve">17 % of pairs</w:t>
            </w:r>
          </w:p>
        </w:tc>
      </w:tr>
      <w:tr>
        <w:tc>
          <w:tcPr>
            <w:tcW w:type="dxa" w:w="4200"/>
          </w:tcPr>
          <w:p>
            <w:pPr>
              <w:spacing w:after="40" w:before="40"/>
            </w:pPr>
            <w:r>
              <w:rPr>
                <w:b w:val="false"/>
                <w:bCs w:val="false"/>
                <w:sz w:val="18"/>
                <w:szCs w:val="18"/>
              </w:rPr>
              <w:t xml:space="preserve">donor model refined on 14 days</w:t>
            </w:r>
          </w:p>
        </w:tc>
        <w:tc>
          <w:tcPr>
            <w:tcW w:type="dxa" w:w="2200"/>
          </w:tcPr>
          <w:p>
            <w:pPr>
              <w:spacing w:after="40" w:before="40"/>
            </w:pPr>
            <w:r>
              <w:rPr>
                <w:b w:val="false"/>
                <w:bCs w:val="false"/>
                <w:sz w:val="18"/>
                <w:szCs w:val="18"/>
              </w:rPr>
              <w:t xml:space="preserve">−21 %</w:t>
            </w:r>
          </w:p>
        </w:tc>
        <w:tc>
          <w:tcPr>
            <w:tcW w:type="dxa" w:w="2400"/>
          </w:tcPr>
          <w:p>
            <w:pPr>
              <w:spacing w:after="40" w:before="40"/>
            </w:pPr>
            <w:r>
              <w:rPr>
                <w:b w:val="false"/>
                <w:bCs w:val="false"/>
                <w:sz w:val="18"/>
                <w:szCs w:val="18"/>
              </w:rPr>
              <w:t xml:space="preserve">28 % of pairs</w:t>
            </w:r>
          </w:p>
        </w:tc>
      </w:tr>
      <w:tr>
        <w:tc>
          <w:tcPr>
            <w:tcW w:type="dxa" w:w="4200"/>
          </w:tcPr>
          <w:p>
            <w:pPr>
              <w:spacing w:after="40" w:before="40"/>
            </w:pPr>
            <w:r>
              <w:rPr>
                <w:b w:val="false"/>
                <w:bCs w:val="false"/>
                <w:sz w:val="18"/>
                <w:szCs w:val="18"/>
              </w:rPr>
              <w:t xml:space="preserve">best donor in hindsight (upper bound)</w:t>
            </w:r>
          </w:p>
        </w:tc>
        <w:tc>
          <w:tcPr>
            <w:tcW w:type="dxa" w:w="2200"/>
          </w:tcPr>
          <w:p>
            <w:pPr>
              <w:spacing w:after="40" w:before="40"/>
            </w:pPr>
            <w:r>
              <w:rPr>
                <w:b w:val="false"/>
                <w:bCs w:val="false"/>
                <w:sz w:val="18"/>
                <w:szCs w:val="18"/>
              </w:rPr>
              <w:t xml:space="preserve">+2.5 %</w:t>
            </w:r>
          </w:p>
        </w:tc>
        <w:tc>
          <w:tcPr>
            <w:tcW w:type="dxa" w:w="2400"/>
          </w:tcPr>
          <w:p>
            <w:pPr>
              <w:spacing w:after="40" w:before="40"/>
            </w:pPr>
            <w:r>
              <w:rPr>
                <w:b w:val="false"/>
                <w:bCs w:val="false"/>
                <w:sz w:val="18"/>
                <w:szCs w:val="18"/>
              </w:rPr>
              <w:t xml:space="preserve">52 % of buildings</w:t>
            </w:r>
          </w:p>
        </w:tc>
      </w:tr>
      <w:tr>
        <w:tc>
          <w:tcPr>
            <w:tcW w:type="dxa" w:w="4200"/>
          </w:tcPr>
          <w:p>
            <w:pPr>
              <w:spacing w:after="40" w:before="40"/>
            </w:pPr>
            <w:r>
              <w:rPr>
                <w:b w:val="false"/>
                <w:bCs w:val="false"/>
                <w:sz w:val="18"/>
                <w:szCs w:val="18"/>
              </w:rPr>
              <w:t xml:space="preserve">median prediction of all 39 donors</w:t>
            </w:r>
          </w:p>
        </w:tc>
        <w:tc>
          <w:tcPr>
            <w:tcW w:type="dxa" w:w="2200"/>
          </w:tcPr>
          <w:p>
            <w:pPr>
              <w:spacing w:after="40" w:before="40"/>
            </w:pPr>
            <w:r>
              <w:rPr>
                <w:b w:val="false"/>
                <w:bCs w:val="false"/>
                <w:sz w:val="18"/>
                <w:szCs w:val="18"/>
              </w:rPr>
              <w:t xml:space="preserve">−5.5 %</w:t>
            </w:r>
          </w:p>
        </w:tc>
        <w:tc>
          <w:tcPr>
            <w:tcW w:type="dxa" w:w="2400"/>
          </w:tcPr>
          <w:p>
            <w:pPr>
              <w:spacing w:after="40" w:before="40"/>
            </w:pPr>
            <w:r>
              <w:rPr>
                <w:b w:val="false"/>
                <w:bCs w:val="false"/>
                <w:sz w:val="18"/>
                <w:szCs w:val="18"/>
              </w:rPr>
              <w:t xml:space="preserve">40 % of buildings</w:t>
            </w:r>
          </w:p>
        </w:tc>
      </w:tr>
      <w:tr>
        <w:tc>
          <w:tcPr>
            <w:tcW w:type="dxa" w:w="4200"/>
          </w:tcPr>
          <w:p>
            <w:pPr>
              <w:spacing w:after="40" w:before="40"/>
            </w:pPr>
            <w:r>
              <w:rPr>
                <w:b w:val="false"/>
                <w:bCs w:val="false"/>
                <w:sz w:val="18"/>
                <w:szCs w:val="18"/>
              </w:rPr>
              <w:t xml:space="preserve">population model, unchanged</w:t>
            </w:r>
          </w:p>
        </w:tc>
        <w:tc>
          <w:tcPr>
            <w:tcW w:type="dxa" w:w="2200"/>
          </w:tcPr>
          <w:p>
            <w:pPr>
              <w:spacing w:after="40" w:before="40"/>
            </w:pPr>
            <w:r>
              <w:rPr>
                <w:b w:val="false"/>
                <w:bCs w:val="false"/>
                <w:sz w:val="18"/>
                <w:szCs w:val="18"/>
              </w:rPr>
              <w:t xml:space="preserve">−10.7 %</w:t>
            </w:r>
          </w:p>
        </w:tc>
        <w:tc>
          <w:tcPr>
            <w:tcW w:type="dxa" w:w="2400"/>
          </w:tcPr>
          <w:p>
            <w:pPr>
              <w:spacing w:after="40" w:before="40"/>
            </w:pPr>
            <w:r>
              <w:rPr>
                <w:b w:val="false"/>
                <w:bCs w:val="false"/>
                <w:sz w:val="18"/>
                <w:szCs w:val="18"/>
              </w:rPr>
              <w:t xml:space="preserve">40 % of buildings</w:t>
            </w:r>
          </w:p>
        </w:tc>
      </w:tr>
      <w:tr>
        <w:tc>
          <w:tcPr>
            <w:tcW w:type="dxa" w:w="4200"/>
          </w:tcPr>
          <w:p>
            <w:pPr>
              <w:spacing w:after="40" w:before="40"/>
            </w:pPr>
            <w:r>
              <w:rPr>
                <w:b w:val="false"/>
                <w:bCs w:val="false"/>
                <w:sz w:val="18"/>
                <w:szCs w:val="18"/>
              </w:rPr>
              <w:t xml:space="preserve">population model refined on 14 days</w:t>
            </w:r>
          </w:p>
        </w:tc>
        <w:tc>
          <w:tcPr>
            <w:tcW w:type="dxa" w:w="2200"/>
          </w:tcPr>
          <w:p>
            <w:pPr>
              <w:spacing w:after="40" w:before="40"/>
            </w:pPr>
            <w:r>
              <w:rPr>
                <w:b w:val="false"/>
                <w:bCs w:val="false"/>
                <w:sz w:val="18"/>
                <w:szCs w:val="18"/>
              </w:rPr>
              <w:t xml:space="preserve">+2.5 %</w:t>
            </w:r>
          </w:p>
        </w:tc>
        <w:tc>
          <w:tcPr>
            <w:tcW w:type="dxa" w:w="2400"/>
          </w:tcPr>
          <w:p>
            <w:pPr>
              <w:spacing w:after="40" w:before="40"/>
            </w:pPr>
            <w:r>
              <w:rPr>
                <w:b w:val="false"/>
                <w:bCs w:val="false"/>
                <w:sz w:val="18"/>
                <w:szCs w:val="18"/>
              </w:rPr>
              <w:t xml:space="preserve">62 % of buildings</w:t>
            </w:r>
          </w:p>
        </w:tc>
      </w:tr>
    </w:tbl>
    <w:p>
      <w:pPr>
        <w:pStyle w:val="Heading2"/>
        <w:spacing w:after="120" w:before="240"/>
      </w:pPr>
      <w:r>
        <w:t xml:space="preserve">B.4 What agrees</w:t>
      </w:r>
    </w:p>
    <w:p>
      <w:pPr>
        <w:pStyle w:val="ListParagraph"/>
        <w:numPr>
          <w:ilvl w:val="0"/>
          <w:numId w:val="1"/>
        </w:numPr>
        <w:spacing w:after="70"/>
      </w:pPr>
      <w:r>
        <w:t xml:space="preserve">A complete inherited representation, used as it stands, is usually worse than what an individual can build for itself — even when the individual has only two weeks of its own history. This holds on synthetic and on measured buildings alike.</w:t>
      </w:r>
    </w:p>
    <w:p>
      <w:pPr>
        <w:pStyle w:val="ListParagraph"/>
        <w:numPr>
          <w:ilvl w:val="0"/>
          <w:numId w:val="1"/>
        </w:numPr>
        <w:spacing w:after="70"/>
      </w:pPr>
      <w:r>
        <w:t xml:space="preserve">Similarity of bodies does not predict the outcome. In the synthetic case the distance over ten physical parameters was uninformative; in the measured case so were floor area, year of construction and primary use. Buildings of the same declared use were no better donors than buildings of a different one.</w:t>
      </w:r>
    </w:p>
    <w:p>
      <w:pPr>
        <w:pStyle w:val="ListParagraph"/>
        <w:numPr>
          <w:ilvl w:val="0"/>
          <w:numId w:val="1"/>
        </w:numPr>
        <w:spacing w:after="70"/>
      </w:pPr>
      <w:r>
        <w:t xml:space="preserve">What works is the combination: an inherited representation used as a starting point, followed by the individual's own adaptation. It is the only condition in which transfer helped the majority.</w:t>
      </w:r>
    </w:p>
    <w:p>
      <w:pPr>
        <w:pStyle w:val="Heading2"/>
        <w:spacing w:after="120" w:before="240"/>
      </w:pPr>
      <w:r>
        <w:t xml:space="preserve">B.5 What differs</w:t>
      </w:r>
    </w:p>
    <w:p>
      <w:pPr>
        <w:pStyle w:val="ListParagraph"/>
        <w:numPr>
          <w:ilvl w:val="0"/>
          <w:numId w:val="1"/>
        </w:numPr>
        <w:spacing w:after="70"/>
      </w:pPr>
      <w:r>
        <w:t xml:space="preserve">Magnitude. In the synthetic population an unchanged inherited controller cost about ten per cent; in measured buildings a donor model costs a third to five sixths of the newcomer's own accuracy. Real buildings are far more individual than the synthetic ones.</w:t>
      </w:r>
    </w:p>
    <w:p>
      <w:pPr>
        <w:pStyle w:val="ListParagraph"/>
        <w:numPr>
          <w:ilvl w:val="0"/>
          <w:numId w:val="1"/>
        </w:numPr>
        <w:spacing w:after="70"/>
      </w:pPr>
      <w:r>
        <w:t xml:space="preserve">Source of inheritance. On measured data, inheriting from the whole population was better than inheriting from a single donor chosen at random, and as good as the best single donor chosen in hindsight — which cannot be done in advance. The synthetic experiment did not distinguish these, because its donors were nearly interchangeable.</w:t>
      </w:r>
    </w:p>
    <w:p>
      <w:pPr>
        <w:pStyle w:val="Heading2"/>
        <w:spacing w:after="120" w:before="240"/>
      </w:pPr>
      <w:r>
        <w:t xml:space="preserve">B.6 Consequence for the framework</w:t>
      </w:r>
    </w:p>
    <w:p>
      <w:pPr>
        <w:spacing w:after="130"/>
      </w:pPr>
      <w:r>
        <w:t xml:space="preserve">Part II asks what must be preserved about an acquired adaptation for it to become meaningful inherited information for another individual. Both experiments answer the same way and narrow the question:</w:t>
      </w:r>
    </w:p>
    <w:p>
      <w:pPr>
        <w:pStyle w:val="ListParagraph"/>
        <w:numPr>
          <w:ilvl w:val="0"/>
          <w:numId w:val="1"/>
        </w:numPr>
        <w:spacing w:after="70"/>
      </w:pPr>
      <w:r>
        <w:t xml:space="preserve">not the whole acquired representation — transferring it wholesale is the worst of the conditions tested;</w:t>
      </w:r>
    </w:p>
    <w:p>
      <w:pPr>
        <w:pStyle w:val="ListParagraph"/>
        <w:numPr>
          <w:ilvl w:val="0"/>
          <w:numId w:val="1"/>
        </w:numPr>
        <w:spacing w:after="70"/>
      </w:pPr>
      <w:r>
        <w:t xml:space="preserve">not what a parent alone acquired — a single donor is an unreliable source and cannot be selected in advance by any obvious similarity;</w:t>
      </w:r>
    </w:p>
    <w:p>
      <w:pPr>
        <w:pStyle w:val="ListParagraph"/>
        <w:numPr>
          <w:ilvl w:val="0"/>
          <w:numId w:val="1"/>
        </w:numPr>
        <w:spacing w:after="70"/>
      </w:pPr>
      <w:r>
        <w:t xml:space="preserve">what survives across many individuals, taken as a starting point and then corrected by the receiver's own short experience.</w:t>
      </w:r>
    </w:p>
    <w:p>
      <w:pPr>
        <w:spacing w:after="130"/>
      </w:pPr>
      <w:r>
        <w:t xml:space="preserve">This is a statement about two specific populations and one kind of acquired knowledge, and it is not evidence that no useful notion of similarity exists. It is evidence that the obvious ones — physical parameters, floor area, declared use — are not it.</w:t>
      </w:r>
    </w:p>
    <w:p>
      <w:pPr>
        <w:pStyle w:val="Heading2"/>
        <w:spacing w:after="120" w:before="240"/>
      </w:pPr>
      <w:r>
        <w:t xml:space="preserve">B.7 Limits</w:t>
      </w:r>
    </w:p>
    <w:p>
      <w:pPr>
        <w:pStyle w:val="ListParagraph"/>
        <w:numPr>
          <w:ilvl w:val="0"/>
          <w:numId w:val="1"/>
        </w:numPr>
        <w:spacing w:after="70"/>
      </w:pPr>
      <w:r>
        <w:t xml:space="preserve">One site, forty buildings, electricity only. Sites differ in climate and in metering practice.</w:t>
      </w:r>
    </w:p>
    <w:p>
      <w:pPr>
        <w:pStyle w:val="ListParagraph"/>
        <w:numPr>
          <w:ilvl w:val="0"/>
          <w:numId w:val="1"/>
        </w:numPr>
        <w:spacing w:after="70"/>
      </w:pPr>
      <w:r>
        <w:t xml:space="preserve">The inherited object here is a predictive model of consumption, not a control policy. The measured data contain no setpoints and no record of operator intervention.</w:t>
      </w:r>
    </w:p>
    <w:p>
      <w:pPr>
        <w:pStyle w:val="ListParagraph"/>
        <w:numPr>
          <w:ilvl w:val="0"/>
          <w:numId w:val="1"/>
        </w:numPr>
        <w:spacing w:after="70"/>
      </w:pPr>
      <w:r>
        <w:t xml:space="preserve">Rare events — the case in which inherited experience should matter most — are not isolated in this analysis.</w:t>
      </w:r>
    </w:p>
    <w:p>
      <w:pPr>
        <w:pStyle w:val="Heading2"/>
        <w:spacing w:after="120" w:before="240"/>
      </w:pPr>
      <w:r>
        <w:t xml:space="preserve">B.8 Reproducibility</w:t>
      </w:r>
    </w:p>
    <w:p>
      <w:pPr>
        <w:spacing w:after="130"/>
      </w:pPr>
      <w:r>
        <w:t xml:space="preserve">Data are public. Three scripts prepare the site, run the pairwise transfers, and compare single-donor with population inheritance; each writes its table of results. The whole appendix recomputes in about seven minutes on an ordinary laptop.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2026-09-22T20:28:25.423Z</dcterms:created>
  <dcterms:modified xsi:type="dcterms:W3CDTF">2026-09-22T20:28:25.423Z</dcterms:modified>
</cp:coreProperties>
</file>

<file path=docProps/custom.xml><?xml version="1.0" encoding="utf-8"?>
<Properties xmlns="http://schemas.openxmlformats.org/officeDocument/2006/custom-properties" xmlns:vt="http://schemas.openxmlformats.org/officeDocument/2006/docPropsVTypes"/>
</file>