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pPr>
      <w:r>
        <w:t xml:space="preserve">Appendix C. What is inherited in a pipe network: the rule of placement, not the rule of detection</w:t>
      </w:r>
    </w:p>
    <w:p>
      <w:pPr>
        <w:spacing w:after="130"/>
      </w:pPr>
      <w:r>
        <w:t xml:space="preserve">Appendices A and B found that inherited experience was worth little where an individual can acquire it cheaply. This appendix looks for a case where it cannot, in a domain whose body is a graph rather than a list of parameters: the water network of a building or a district.</w:t>
      </w:r>
    </w:p>
    <w:p>
      <w:pPr>
        <w:pStyle w:val="Heading2"/>
        <w:spacing w:after="120" w:before="240"/>
      </w:pPr>
      <w:r>
        <w:t xml:space="preserve">C.1 Setting</w:t>
      </w:r>
    </w:p>
    <w:p>
      <w:pPr>
        <w:spacing w:after="130"/>
      </w:pPr>
      <w:r>
        <w:t xml:space="preserve">Six published benchmark networks, simulated with EPANET through WNTR: Net1, Net2, Net3, ky4, Anytown and CCWI17-Herman-Mahmoud, from 9 to 959 junctions. Each network is given 45 scenarios of three days at hourly resolution: 20 without a leak and 25 with one. A leak is an emitter of random size at a random junction, starting at a random hour; each scenario also has its own demand multiplier and sensor noise of 1 m of head.</w:t>
      </w:r>
    </w:p>
    <w:p>
      <w:pPr>
        <w:spacing w:after="130"/>
      </w:pPr>
      <w:r>
        <w:t xml:space="preserve">Normal operation is cheap: the baseline of expected pressure by hour of day is estimated from leak-free scenarios, which every network has in abundance. Failures are not: a donor network has lived through 15–18 leaks, a newcomer through one or two.</w:t>
      </w:r>
    </w:p>
    <w:p>
      <w:pPr>
        <w:pStyle w:val="Heading2"/>
        <w:spacing w:after="120" w:before="240"/>
      </w:pPr>
      <w:r>
        <w:t xml:space="preserve">C.2 Experiment 1: transferring the detection rule</w:t>
      </w:r>
    </w:p>
    <w:p>
      <w:pPr>
        <w:spacing w:after="130"/>
      </w:pPr>
      <w:r>
        <w:t xml:space="preserve">Three pressure sensors; features are permutation-invariant summaries of the standardised deviations (minimum, maximum, mean, spread, count below −2, hour), so a rule fitted on one network can be applied to another regardless of size or node names. The rule is a gradient-boosted classifier; performance is average precision on held-out scenarios.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800"/>
        <w:gridCol w:w="3200"/>
        <w:gridCol w:w="1800"/>
      </w:tblGrid>
      <w:tr>
        <w:trPr>
          <w:tblHeader/>
        </w:trPr>
        <w:tc>
          <w:tcPr>
            <w:tcW w:type="dxa" w:w="3800"/>
            <w:shd w:fill="EFEFEF" w:val="clear"/>
          </w:tcPr>
          <w:p>
            <w:pPr>
              <w:spacing w:after="40" w:before="40"/>
            </w:pPr>
            <w:r>
              <w:rPr>
                <w:b/>
                <w:bCs/>
                <w:sz w:val="18"/>
                <w:szCs w:val="18"/>
              </w:rPr>
              <w:t xml:space="preserve">Condition</w:t>
            </w:r>
          </w:p>
        </w:tc>
        <w:tc>
          <w:tcPr>
            <w:tcW w:type="dxa" w:w="3200"/>
            <w:shd w:fill="EFEFEF" w:val="clear"/>
          </w:tcPr>
          <w:p>
            <w:pPr>
              <w:spacing w:after="40" w:before="40"/>
            </w:pPr>
            <w:r>
              <w:rPr>
                <w:b/>
                <w:bCs/>
                <w:sz w:val="18"/>
                <w:szCs w:val="18"/>
              </w:rPr>
              <w:t xml:space="preserve">Median change against the newcomer's own rule</w:t>
            </w:r>
          </w:p>
        </w:tc>
        <w:tc>
          <w:tcPr>
            <w:tcW w:type="dxa" w:w="1800"/>
            <w:shd w:fill="EFEFEF" w:val="clear"/>
          </w:tcPr>
          <w:p>
            <w:pPr>
              <w:spacing w:after="40" w:before="40"/>
            </w:pPr>
            <w:r>
              <w:rPr>
                <w:b/>
                <w:bCs/>
                <w:sz w:val="18"/>
                <w:szCs w:val="18"/>
              </w:rPr>
              <w:t xml:space="preserve">Better in</w:t>
            </w:r>
          </w:p>
        </w:tc>
      </w:tr>
      <w:tr>
        <w:tc>
          <w:tcPr>
            <w:tcW w:type="dxa" w:w="3800"/>
          </w:tcPr>
          <w:p>
            <w:pPr>
              <w:spacing w:after="40" w:before="40"/>
            </w:pPr>
            <w:r>
              <w:rPr>
                <w:b w:val="false"/>
                <w:bCs w:val="false"/>
                <w:sz w:val="18"/>
                <w:szCs w:val="18"/>
              </w:rPr>
              <w:t xml:space="preserve">a donor's rule, unchanged</w:t>
            </w:r>
          </w:p>
        </w:tc>
        <w:tc>
          <w:tcPr>
            <w:tcW w:type="dxa" w:w="3200"/>
          </w:tcPr>
          <w:p>
            <w:pPr>
              <w:spacing w:after="40" w:before="40"/>
            </w:pPr>
            <w:r>
              <w:rPr>
                <w:b w:val="false"/>
                <w:bCs w:val="false"/>
                <w:sz w:val="18"/>
                <w:szCs w:val="18"/>
              </w:rPr>
              <w:t xml:space="preserve">−5.4 %</w:t>
            </w:r>
          </w:p>
        </w:tc>
        <w:tc>
          <w:tcPr>
            <w:tcW w:type="dxa" w:w="1800"/>
          </w:tcPr>
          <w:p>
            <w:pPr>
              <w:spacing w:after="40" w:before="40"/>
            </w:pPr>
            <w:r>
              <w:rPr>
                <w:b w:val="false"/>
                <w:bCs w:val="false"/>
                <w:sz w:val="18"/>
                <w:szCs w:val="18"/>
              </w:rPr>
              <w:t xml:space="preserve">17 % of networks</w:t>
            </w:r>
          </w:p>
        </w:tc>
      </w:tr>
      <w:tr>
        <w:tc>
          <w:tcPr>
            <w:tcW w:type="dxa" w:w="3800"/>
          </w:tcPr>
          <w:p>
            <w:pPr>
              <w:spacing w:after="40" w:before="40"/>
            </w:pPr>
            <w:r>
              <w:rPr>
                <w:b w:val="false"/>
                <w:bCs w:val="false"/>
                <w:sz w:val="18"/>
                <w:szCs w:val="18"/>
              </w:rPr>
              <w:t xml:space="preserve">a donor's rule, refined on the newcomer's own failure</w:t>
            </w:r>
          </w:p>
        </w:tc>
        <w:tc>
          <w:tcPr>
            <w:tcW w:type="dxa" w:w="3200"/>
          </w:tcPr>
          <w:p>
            <w:pPr>
              <w:spacing w:after="40" w:before="40"/>
            </w:pPr>
            <w:r>
              <w:rPr>
                <w:b w:val="false"/>
                <w:bCs w:val="false"/>
                <w:sz w:val="18"/>
                <w:szCs w:val="18"/>
              </w:rPr>
              <w:t xml:space="preserve">−0.2 %</w:t>
            </w:r>
          </w:p>
        </w:tc>
        <w:tc>
          <w:tcPr>
            <w:tcW w:type="dxa" w:w="1800"/>
          </w:tcPr>
          <w:p>
            <w:pPr>
              <w:spacing w:after="40" w:before="40"/>
            </w:pPr>
            <w:r>
              <w:rPr>
                <w:b w:val="false"/>
                <w:bCs w:val="false"/>
                <w:sz w:val="18"/>
                <w:szCs w:val="18"/>
              </w:rPr>
              <w:t xml:space="preserve">33 %</w:t>
            </w:r>
          </w:p>
        </w:tc>
      </w:tr>
      <w:tr>
        <w:tc>
          <w:tcPr>
            <w:tcW w:type="dxa" w:w="3800"/>
          </w:tcPr>
          <w:p>
            <w:pPr>
              <w:spacing w:after="40" w:before="40"/>
            </w:pPr>
            <w:r>
              <w:rPr>
                <w:b w:val="false"/>
                <w:bCs w:val="false"/>
                <w:sz w:val="18"/>
                <w:szCs w:val="18"/>
              </w:rPr>
              <w:t xml:space="preserve">a rule fitted on all other networks</w:t>
            </w:r>
          </w:p>
        </w:tc>
        <w:tc>
          <w:tcPr>
            <w:tcW w:type="dxa" w:w="3200"/>
          </w:tcPr>
          <w:p>
            <w:pPr>
              <w:spacing w:after="40" w:before="40"/>
            </w:pPr>
            <w:r>
              <w:rPr>
                <w:b w:val="false"/>
                <w:bCs w:val="false"/>
                <w:sz w:val="18"/>
                <w:szCs w:val="18"/>
              </w:rPr>
              <w:t xml:space="preserve">−0.6 %</w:t>
            </w:r>
          </w:p>
        </w:tc>
        <w:tc>
          <w:tcPr>
            <w:tcW w:type="dxa" w:w="1800"/>
          </w:tcPr>
          <w:p>
            <w:pPr>
              <w:spacing w:after="40" w:before="40"/>
            </w:pPr>
            <w:r>
              <w:rPr>
                <w:b w:val="false"/>
                <w:bCs w:val="false"/>
                <w:sz w:val="18"/>
                <w:szCs w:val="18"/>
              </w:rPr>
              <w:t xml:space="preserve">33 %</w:t>
            </w:r>
          </w:p>
        </w:tc>
      </w:tr>
      <w:tr>
        <w:tc>
          <w:tcPr>
            <w:tcW w:type="dxa" w:w="3800"/>
          </w:tcPr>
          <w:p>
            <w:pPr>
              <w:spacing w:after="40" w:before="40"/>
            </w:pPr>
            <w:r>
              <w:rPr>
                <w:b w:val="false"/>
                <w:bCs w:val="false"/>
                <w:sz w:val="18"/>
                <w:szCs w:val="18"/>
              </w:rPr>
              <w:t xml:space="preserve">that rule, refined on the newcomer's own failure</w:t>
            </w:r>
          </w:p>
        </w:tc>
        <w:tc>
          <w:tcPr>
            <w:tcW w:type="dxa" w:w="3200"/>
          </w:tcPr>
          <w:p>
            <w:pPr>
              <w:spacing w:after="40" w:before="40"/>
            </w:pPr>
            <w:r>
              <w:rPr>
                <w:b w:val="false"/>
                <w:bCs w:val="false"/>
                <w:sz w:val="18"/>
                <w:szCs w:val="18"/>
              </w:rPr>
              <w:t xml:space="preserve">+0.7 %</w:t>
            </w:r>
          </w:p>
        </w:tc>
        <w:tc>
          <w:tcPr>
            <w:tcW w:type="dxa" w:w="1800"/>
          </w:tcPr>
          <w:p>
            <w:pPr>
              <w:spacing w:after="40" w:before="40"/>
            </w:pPr>
            <w:r>
              <w:rPr>
                <w:b w:val="false"/>
                <w:bCs w:val="false"/>
                <w:sz w:val="18"/>
                <w:szCs w:val="18"/>
              </w:rPr>
              <w:t xml:space="preserve">67 %</w:t>
            </w:r>
          </w:p>
        </w:tc>
      </w:tr>
    </w:tbl>
    <w:p>
      <w:pPr>
        <w:spacing w:after="130"/>
      </w:pPr>
      <w:r>
        <w:t xml:space="preserve">The result repeats Appendices A and B. A single failure is enough for a network to fit a nearly perfect detector of its own: a leak lowers pressure conspicuously, and there is little acquired knowledge left to inherit.</w:t>
      </w:r>
    </w:p>
    <w:p>
      <w:pPr>
        <w:pStyle w:val="Heading2"/>
        <w:spacing w:after="120" w:before="240"/>
      </w:pPr>
      <w:r>
        <w:t xml:space="preserve">C.3 Experiment 2: transferring the rule of placement</w:t>
      </w:r>
    </w:p>
    <w:p>
      <w:pPr>
        <w:spacing w:after="130"/>
      </w:pPr>
      <w:r>
        <w:t xml:space="preserve">The second experiment moves the inherited object one level up. What is transferred is not how to decide that a leak is present, but where to watch. A placement rule assigns weights to structural properties of a junction — degree, hops from the nearest source, elevation, base demand, mean diameter of adjacent pipes — standardised within each network, and selects the three highest-scoring junctions. No node identity crosses between networks; only the way of choosing a place does.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700"/>
        <w:gridCol w:w="1500"/>
        <w:gridCol w:w="1400"/>
        <w:gridCol w:w="1500"/>
      </w:tblGrid>
      <w:tr>
        <w:trPr>
          <w:tblHeader/>
        </w:trPr>
        <w:tc>
          <w:tcPr>
            <w:tcW w:type="dxa" w:w="1500"/>
            <w:shd w:fill="EFEFEF" w:val="clear"/>
          </w:tcPr>
          <w:p>
            <w:pPr>
              <w:spacing w:after="40" w:before="40"/>
            </w:pPr>
            <w:r>
              <w:rPr>
                <w:b/>
                <w:bCs/>
                <w:sz w:val="18"/>
                <w:szCs w:val="18"/>
              </w:rPr>
              <w:t xml:space="preserve">Network</w:t>
            </w:r>
          </w:p>
        </w:tc>
        <w:tc>
          <w:tcPr>
            <w:tcW w:type="dxa" w:w="1600"/>
            <w:shd w:fill="EFEFEF" w:val="clear"/>
          </w:tcPr>
          <w:p>
            <w:pPr>
              <w:spacing w:after="40" w:before="40"/>
            </w:pPr>
            <w:r>
              <w:rPr>
                <w:b/>
                <w:bCs/>
                <w:sz w:val="18"/>
                <w:szCs w:val="18"/>
              </w:rPr>
              <w:t xml:space="preserve">Random placement</w:t>
            </w:r>
          </w:p>
        </w:tc>
        <w:tc>
          <w:tcPr>
            <w:tcW w:type="dxa" w:w="1700"/>
            <w:shd w:fill="EFEFEF" w:val="clear"/>
          </w:tcPr>
          <w:p>
            <w:pPr>
              <w:spacing w:after="40" w:before="40"/>
            </w:pPr>
            <w:r>
              <w:rPr>
                <w:b/>
                <w:bCs/>
                <w:sz w:val="18"/>
                <w:szCs w:val="18"/>
              </w:rPr>
              <w:t xml:space="preserve">Own rule, 2 failures</w:t>
            </w:r>
          </w:p>
        </w:tc>
        <w:tc>
          <w:tcPr>
            <w:tcW w:type="dxa" w:w="1500"/>
            <w:shd w:fill="EFEFEF" w:val="clear"/>
          </w:tcPr>
          <w:p>
            <w:pPr>
              <w:spacing w:after="40" w:before="40"/>
            </w:pPr>
            <w:r>
              <w:rPr>
                <w:b/>
                <w:bCs/>
                <w:sz w:val="18"/>
                <w:szCs w:val="18"/>
              </w:rPr>
              <w:t xml:space="preserve">A donor's rule</w:t>
            </w:r>
          </w:p>
        </w:tc>
        <w:tc>
          <w:tcPr>
            <w:tcW w:type="dxa" w:w="1400"/>
            <w:shd w:fill="EFEFEF" w:val="clear"/>
          </w:tcPr>
          <w:p>
            <w:pPr>
              <w:spacing w:after="40" w:before="40"/>
            </w:pPr>
            <w:r>
              <w:rPr>
                <w:b/>
                <w:bCs/>
                <w:sz w:val="18"/>
                <w:szCs w:val="18"/>
              </w:rPr>
              <w:t xml:space="preserve">Population rule</w:t>
            </w:r>
          </w:p>
        </w:tc>
        <w:tc>
          <w:tcPr>
            <w:tcW w:type="dxa" w:w="1500"/>
            <w:shd w:fill="EFEFEF" w:val="clear"/>
          </w:tcPr>
          <w:p>
            <w:pPr>
              <w:spacing w:after="40" w:before="40"/>
            </w:pPr>
            <w:r>
              <w:rPr>
                <w:b/>
                <w:bCs/>
                <w:sz w:val="18"/>
                <w:szCs w:val="18"/>
              </w:rPr>
              <w:t xml:space="preserve">Population, refined</w:t>
            </w:r>
          </w:p>
        </w:tc>
      </w:tr>
      <w:tr>
        <w:tc>
          <w:tcPr>
            <w:tcW w:type="dxa" w:w="1500"/>
          </w:tcPr>
          <w:p>
            <w:pPr>
              <w:spacing w:after="40" w:before="40"/>
            </w:pPr>
            <w:r>
              <w:rPr>
                <w:b w:val="false"/>
                <w:bCs w:val="false"/>
                <w:sz w:val="18"/>
                <w:szCs w:val="18"/>
              </w:rPr>
              <w:t xml:space="preserve">Anytown</w:t>
            </w:r>
          </w:p>
        </w:tc>
        <w:tc>
          <w:tcPr>
            <w:tcW w:type="dxa" w:w="1600"/>
          </w:tcPr>
          <w:p>
            <w:pPr>
              <w:spacing w:after="40" w:before="40"/>
            </w:pPr>
            <w:r>
              <w:rPr>
                <w:b w:val="false"/>
                <w:bCs w:val="false"/>
                <w:sz w:val="18"/>
                <w:szCs w:val="18"/>
              </w:rPr>
              <w:t xml:space="preserve">0.117</w:t>
            </w:r>
          </w:p>
        </w:tc>
        <w:tc>
          <w:tcPr>
            <w:tcW w:type="dxa" w:w="1700"/>
          </w:tcPr>
          <w:p>
            <w:pPr>
              <w:spacing w:after="40" w:before="40"/>
            </w:pPr>
            <w:r>
              <w:rPr>
                <w:b w:val="false"/>
                <w:bCs w:val="false"/>
                <w:sz w:val="18"/>
                <w:szCs w:val="18"/>
              </w:rPr>
              <w:t xml:space="preserve">0.212</w:t>
            </w:r>
          </w:p>
        </w:tc>
        <w:tc>
          <w:tcPr>
            <w:tcW w:type="dxa" w:w="1500"/>
          </w:tcPr>
          <w:p>
            <w:pPr>
              <w:spacing w:after="40" w:before="40"/>
            </w:pPr>
            <w:r>
              <w:rPr>
                <w:b w:val="false"/>
                <w:bCs w:val="false"/>
                <w:sz w:val="18"/>
                <w:szCs w:val="18"/>
              </w:rPr>
              <w:t xml:space="preserve">0.173</w:t>
            </w:r>
          </w:p>
        </w:tc>
        <w:tc>
          <w:tcPr>
            <w:tcW w:type="dxa" w:w="1400"/>
          </w:tcPr>
          <w:p>
            <w:pPr>
              <w:spacing w:after="40" w:before="40"/>
            </w:pPr>
            <w:r>
              <w:rPr>
                <w:b w:val="false"/>
                <w:bCs w:val="false"/>
                <w:sz w:val="18"/>
                <w:szCs w:val="18"/>
              </w:rPr>
              <w:t xml:space="preserve">0.215</w:t>
            </w:r>
          </w:p>
        </w:tc>
        <w:tc>
          <w:tcPr>
            <w:tcW w:type="dxa" w:w="1500"/>
          </w:tcPr>
          <w:p>
            <w:pPr>
              <w:spacing w:after="40" w:before="40"/>
            </w:pPr>
            <w:r>
              <w:rPr>
                <w:b w:val="false"/>
                <w:bCs w:val="false"/>
                <w:sz w:val="18"/>
                <w:szCs w:val="18"/>
              </w:rPr>
              <w:t xml:space="preserve">0.214</w:t>
            </w:r>
          </w:p>
        </w:tc>
      </w:tr>
      <w:tr>
        <w:tc>
          <w:tcPr>
            <w:tcW w:type="dxa" w:w="1500"/>
          </w:tcPr>
          <w:p>
            <w:pPr>
              <w:spacing w:after="40" w:before="40"/>
            </w:pPr>
            <w:r>
              <w:rPr>
                <w:b w:val="false"/>
                <w:bCs w:val="false"/>
                <w:sz w:val="18"/>
                <w:szCs w:val="18"/>
              </w:rPr>
              <w:t xml:space="preserve">Net3</w:t>
            </w:r>
          </w:p>
        </w:tc>
        <w:tc>
          <w:tcPr>
            <w:tcW w:type="dxa" w:w="1600"/>
          </w:tcPr>
          <w:p>
            <w:pPr>
              <w:spacing w:after="40" w:before="40"/>
            </w:pPr>
            <w:r>
              <w:rPr>
                <w:b w:val="false"/>
                <w:bCs w:val="false"/>
                <w:sz w:val="18"/>
                <w:szCs w:val="18"/>
              </w:rPr>
              <w:t xml:space="preserve">0.931</w:t>
            </w:r>
          </w:p>
        </w:tc>
        <w:tc>
          <w:tcPr>
            <w:tcW w:type="dxa" w:w="1700"/>
          </w:tcPr>
          <w:p>
            <w:pPr>
              <w:spacing w:after="40" w:before="40"/>
            </w:pPr>
            <w:r>
              <w:rPr>
                <w:b w:val="false"/>
                <w:bCs w:val="false"/>
                <w:sz w:val="18"/>
                <w:szCs w:val="18"/>
              </w:rPr>
              <w:t xml:space="preserve">0.967</w:t>
            </w:r>
          </w:p>
        </w:tc>
        <w:tc>
          <w:tcPr>
            <w:tcW w:type="dxa" w:w="1500"/>
          </w:tcPr>
          <w:p>
            <w:pPr>
              <w:spacing w:after="40" w:before="40"/>
            </w:pPr>
            <w:r>
              <w:rPr>
                <w:b w:val="false"/>
                <w:bCs w:val="false"/>
                <w:sz w:val="18"/>
                <w:szCs w:val="18"/>
              </w:rPr>
              <w:t xml:space="preserve">0.939</w:t>
            </w:r>
          </w:p>
        </w:tc>
        <w:tc>
          <w:tcPr>
            <w:tcW w:type="dxa" w:w="1400"/>
          </w:tcPr>
          <w:p>
            <w:pPr>
              <w:spacing w:after="40" w:before="40"/>
            </w:pPr>
            <w:r>
              <w:rPr>
                <w:b w:val="false"/>
                <w:bCs w:val="false"/>
                <w:sz w:val="18"/>
                <w:szCs w:val="18"/>
              </w:rPr>
              <w:t xml:space="preserve">1.000</w:t>
            </w:r>
          </w:p>
        </w:tc>
        <w:tc>
          <w:tcPr>
            <w:tcW w:type="dxa" w:w="1500"/>
          </w:tcPr>
          <w:p>
            <w:pPr>
              <w:spacing w:after="40" w:before="40"/>
            </w:pPr>
            <w:r>
              <w:rPr>
                <w:b w:val="false"/>
                <w:bCs w:val="false"/>
                <w:sz w:val="18"/>
                <w:szCs w:val="18"/>
              </w:rPr>
              <w:t xml:space="preserve">1.000</w:t>
            </w:r>
          </w:p>
        </w:tc>
      </w:tr>
      <w:tr>
        <w:tc>
          <w:tcPr>
            <w:tcW w:type="dxa" w:w="1500"/>
          </w:tcPr>
          <w:p>
            <w:pPr>
              <w:spacing w:after="40" w:before="40"/>
            </w:pPr>
            <w:r>
              <w:rPr>
                <w:b w:val="false"/>
                <w:bCs w:val="false"/>
                <w:sz w:val="18"/>
                <w:szCs w:val="18"/>
              </w:rPr>
              <w:t xml:space="preserve">Net1</w:t>
            </w:r>
          </w:p>
        </w:tc>
        <w:tc>
          <w:tcPr>
            <w:tcW w:type="dxa" w:w="1600"/>
          </w:tcPr>
          <w:p>
            <w:pPr>
              <w:spacing w:after="40" w:before="40"/>
            </w:pPr>
            <w:r>
              <w:rPr>
                <w:b w:val="false"/>
                <w:bCs w:val="false"/>
                <w:sz w:val="18"/>
                <w:szCs w:val="18"/>
              </w:rPr>
              <w:t xml:space="preserve">1.000</w:t>
            </w:r>
          </w:p>
        </w:tc>
        <w:tc>
          <w:tcPr>
            <w:tcW w:type="dxa" w:w="1700"/>
          </w:tcPr>
          <w:p>
            <w:pPr>
              <w:spacing w:after="40" w:before="40"/>
            </w:pPr>
            <w:r>
              <w:rPr>
                <w:b w:val="false"/>
                <w:bCs w:val="false"/>
                <w:sz w:val="18"/>
                <w:szCs w:val="18"/>
              </w:rPr>
              <w:t xml:space="preserve">1.000</w:t>
            </w:r>
          </w:p>
        </w:tc>
        <w:tc>
          <w:tcPr>
            <w:tcW w:type="dxa" w:w="1500"/>
          </w:tcPr>
          <w:p>
            <w:pPr>
              <w:spacing w:after="40" w:before="40"/>
            </w:pPr>
            <w:r>
              <w:rPr>
                <w:b w:val="false"/>
                <w:bCs w:val="false"/>
                <w:sz w:val="18"/>
                <w:szCs w:val="18"/>
              </w:rPr>
              <w:t xml:space="preserve">1.000</w:t>
            </w:r>
          </w:p>
        </w:tc>
        <w:tc>
          <w:tcPr>
            <w:tcW w:type="dxa" w:w="1400"/>
          </w:tcPr>
          <w:p>
            <w:pPr>
              <w:spacing w:after="40" w:before="40"/>
            </w:pPr>
            <w:r>
              <w:rPr>
                <w:b w:val="false"/>
                <w:bCs w:val="false"/>
                <w:sz w:val="18"/>
                <w:szCs w:val="18"/>
              </w:rPr>
              <w:t xml:space="preserve">1.000</w:t>
            </w:r>
          </w:p>
        </w:tc>
        <w:tc>
          <w:tcPr>
            <w:tcW w:type="dxa" w:w="1500"/>
          </w:tcPr>
          <w:p>
            <w:pPr>
              <w:spacing w:after="40" w:before="40"/>
            </w:pPr>
            <w:r>
              <w:rPr>
                <w:b w:val="false"/>
                <w:bCs w:val="false"/>
                <w:sz w:val="18"/>
                <w:szCs w:val="18"/>
              </w:rPr>
              <w:t xml:space="preserve">1.000</w:t>
            </w:r>
          </w:p>
        </w:tc>
      </w:tr>
      <w:tr>
        <w:tc>
          <w:tcPr>
            <w:tcW w:type="dxa" w:w="1500"/>
          </w:tcPr>
          <w:p>
            <w:pPr>
              <w:spacing w:after="40" w:before="40"/>
            </w:pPr>
            <w:r>
              <w:rPr>
                <w:b w:val="false"/>
                <w:bCs w:val="false"/>
                <w:sz w:val="18"/>
                <w:szCs w:val="18"/>
              </w:rPr>
              <w:t xml:space="preserve">Net2</w:t>
            </w:r>
          </w:p>
        </w:tc>
        <w:tc>
          <w:tcPr>
            <w:tcW w:type="dxa" w:w="1600"/>
          </w:tcPr>
          <w:p>
            <w:pPr>
              <w:spacing w:after="40" w:before="40"/>
            </w:pPr>
            <w:r>
              <w:rPr>
                <w:b w:val="false"/>
                <w:bCs w:val="false"/>
                <w:sz w:val="18"/>
                <w:szCs w:val="18"/>
              </w:rPr>
              <w:t xml:space="preserve">0.846</w:t>
            </w:r>
          </w:p>
        </w:tc>
        <w:tc>
          <w:tcPr>
            <w:tcW w:type="dxa" w:w="1700"/>
          </w:tcPr>
          <w:p>
            <w:pPr>
              <w:spacing w:after="40" w:before="40"/>
            </w:pPr>
            <w:r>
              <w:rPr>
                <w:b w:val="false"/>
                <w:bCs w:val="false"/>
                <w:sz w:val="18"/>
                <w:szCs w:val="18"/>
              </w:rPr>
              <w:t xml:space="preserve">0.849</w:t>
            </w:r>
          </w:p>
        </w:tc>
        <w:tc>
          <w:tcPr>
            <w:tcW w:type="dxa" w:w="1500"/>
          </w:tcPr>
          <w:p>
            <w:pPr>
              <w:spacing w:after="40" w:before="40"/>
            </w:pPr>
            <w:r>
              <w:rPr>
                <w:b w:val="false"/>
                <w:bCs w:val="false"/>
                <w:sz w:val="18"/>
                <w:szCs w:val="18"/>
              </w:rPr>
              <w:t xml:space="preserve">0.846</w:t>
            </w:r>
          </w:p>
        </w:tc>
        <w:tc>
          <w:tcPr>
            <w:tcW w:type="dxa" w:w="1400"/>
          </w:tcPr>
          <w:p>
            <w:pPr>
              <w:spacing w:after="40" w:before="40"/>
            </w:pPr>
            <w:r>
              <w:rPr>
                <w:b w:val="false"/>
                <w:bCs w:val="false"/>
                <w:sz w:val="18"/>
                <w:szCs w:val="18"/>
              </w:rPr>
              <w:t xml:space="preserve">0.849</w:t>
            </w:r>
          </w:p>
        </w:tc>
        <w:tc>
          <w:tcPr>
            <w:tcW w:type="dxa" w:w="1500"/>
          </w:tcPr>
          <w:p>
            <w:pPr>
              <w:spacing w:after="40" w:before="40"/>
            </w:pPr>
            <w:r>
              <w:rPr>
                <w:b w:val="false"/>
                <w:bCs w:val="false"/>
                <w:sz w:val="18"/>
                <w:szCs w:val="18"/>
              </w:rPr>
              <w:t xml:space="preserve">0.851</w:t>
            </w:r>
          </w:p>
        </w:tc>
      </w:tr>
      <w:tr>
        <w:tc>
          <w:tcPr>
            <w:tcW w:type="dxa" w:w="1500"/>
          </w:tcPr>
          <w:p>
            <w:pPr>
              <w:spacing w:after="40" w:before="40"/>
            </w:pPr>
            <w:r>
              <w:rPr>
                <w:b w:val="false"/>
                <w:bCs w:val="false"/>
                <w:sz w:val="18"/>
                <w:szCs w:val="18"/>
              </w:rPr>
              <w:t xml:space="preserve">ky4</w:t>
            </w:r>
          </w:p>
        </w:tc>
        <w:tc>
          <w:tcPr>
            <w:tcW w:type="dxa" w:w="1600"/>
          </w:tcPr>
          <w:p>
            <w:pPr>
              <w:spacing w:after="40" w:before="40"/>
            </w:pPr>
            <w:r>
              <w:rPr>
                <w:b w:val="false"/>
                <w:bCs w:val="false"/>
                <w:sz w:val="18"/>
                <w:szCs w:val="18"/>
              </w:rPr>
              <w:t xml:space="preserve">0.843</w:t>
            </w:r>
          </w:p>
        </w:tc>
        <w:tc>
          <w:tcPr>
            <w:tcW w:type="dxa" w:w="1700"/>
          </w:tcPr>
          <w:p>
            <w:pPr>
              <w:spacing w:after="40" w:before="40"/>
            </w:pPr>
            <w:r>
              <w:rPr>
                <w:b w:val="false"/>
                <w:bCs w:val="false"/>
                <w:sz w:val="18"/>
                <w:szCs w:val="18"/>
              </w:rPr>
              <w:t xml:space="preserve">0.841</w:t>
            </w:r>
          </w:p>
        </w:tc>
        <w:tc>
          <w:tcPr>
            <w:tcW w:type="dxa" w:w="1500"/>
          </w:tcPr>
          <w:p>
            <w:pPr>
              <w:spacing w:after="40" w:before="40"/>
            </w:pPr>
            <w:r>
              <w:rPr>
                <w:b w:val="false"/>
                <w:bCs w:val="false"/>
                <w:sz w:val="18"/>
                <w:szCs w:val="18"/>
              </w:rPr>
              <w:t xml:space="preserve">0.842</w:t>
            </w:r>
          </w:p>
        </w:tc>
        <w:tc>
          <w:tcPr>
            <w:tcW w:type="dxa" w:w="1400"/>
          </w:tcPr>
          <w:p>
            <w:pPr>
              <w:spacing w:after="40" w:before="40"/>
            </w:pPr>
            <w:r>
              <w:rPr>
                <w:b w:val="false"/>
                <w:bCs w:val="false"/>
                <w:sz w:val="18"/>
                <w:szCs w:val="18"/>
              </w:rPr>
              <w:t xml:space="preserve">0.858</w:t>
            </w:r>
          </w:p>
        </w:tc>
        <w:tc>
          <w:tcPr>
            <w:tcW w:type="dxa" w:w="1500"/>
          </w:tcPr>
          <w:p>
            <w:pPr>
              <w:spacing w:after="40" w:before="40"/>
            </w:pPr>
            <w:r>
              <w:rPr>
                <w:b w:val="false"/>
                <w:bCs w:val="false"/>
                <w:sz w:val="18"/>
                <w:szCs w:val="18"/>
              </w:rPr>
              <w:t xml:space="preserve">0.858</w:t>
            </w:r>
          </w:p>
        </w:tc>
      </w:tr>
      <w:tr>
        <w:tc>
          <w:tcPr>
            <w:tcW w:type="dxa" w:w="1500"/>
          </w:tcPr>
          <w:p>
            <w:pPr>
              <w:spacing w:after="40" w:before="40"/>
            </w:pPr>
            <w:r>
              <w:rPr>
                <w:b w:val="false"/>
                <w:bCs w:val="false"/>
                <w:sz w:val="18"/>
                <w:szCs w:val="18"/>
              </w:rPr>
              <w:t xml:space="preserve">Herman</w:t>
            </w:r>
          </w:p>
        </w:tc>
        <w:tc>
          <w:tcPr>
            <w:tcW w:type="dxa" w:w="1600"/>
          </w:tcPr>
          <w:p>
            <w:pPr>
              <w:spacing w:after="40" w:before="40"/>
            </w:pPr>
            <w:r>
              <w:rPr>
                <w:b w:val="false"/>
                <w:bCs w:val="false"/>
                <w:sz w:val="18"/>
                <w:szCs w:val="18"/>
              </w:rPr>
              <w:t xml:space="preserve">0.290</w:t>
            </w:r>
          </w:p>
        </w:tc>
        <w:tc>
          <w:tcPr>
            <w:tcW w:type="dxa" w:w="1700"/>
          </w:tcPr>
          <w:p>
            <w:pPr>
              <w:spacing w:after="40" w:before="40"/>
            </w:pPr>
            <w:r>
              <w:rPr>
                <w:b w:val="false"/>
                <w:bCs w:val="false"/>
                <w:sz w:val="18"/>
                <w:szCs w:val="18"/>
              </w:rPr>
              <w:t xml:space="preserve">0.290</w:t>
            </w:r>
          </w:p>
        </w:tc>
        <w:tc>
          <w:tcPr>
            <w:tcW w:type="dxa" w:w="1500"/>
          </w:tcPr>
          <w:p>
            <w:pPr>
              <w:spacing w:after="40" w:before="40"/>
            </w:pPr>
            <w:r>
              <w:rPr>
                <w:b w:val="false"/>
                <w:bCs w:val="false"/>
                <w:sz w:val="18"/>
                <w:szCs w:val="18"/>
              </w:rPr>
              <w:t xml:space="preserve">0.290</w:t>
            </w:r>
          </w:p>
        </w:tc>
        <w:tc>
          <w:tcPr>
            <w:tcW w:type="dxa" w:w="1400"/>
          </w:tcPr>
          <w:p>
            <w:pPr>
              <w:spacing w:after="40" w:before="40"/>
            </w:pPr>
            <w:r>
              <w:rPr>
                <w:b w:val="false"/>
                <w:bCs w:val="false"/>
                <w:sz w:val="18"/>
                <w:szCs w:val="18"/>
              </w:rPr>
              <w:t xml:space="preserve">0.290</w:t>
            </w:r>
          </w:p>
        </w:tc>
        <w:tc>
          <w:tcPr>
            <w:tcW w:type="dxa" w:w="1500"/>
          </w:tcPr>
          <w:p>
            <w:pPr>
              <w:spacing w:after="40" w:before="40"/>
            </w:pPr>
            <w:r>
              <w:rPr>
                <w:b w:val="false"/>
                <w:bCs w:val="false"/>
                <w:sz w:val="18"/>
                <w:szCs w:val="18"/>
              </w:rPr>
              <w:t xml:space="preserve">0.290</w:t>
            </w:r>
          </w:p>
        </w:tc>
      </w:tr>
    </w:tbl>
    <w:p>
      <w:pPr>
        <w:spacing w:after="130"/>
      </w:pPr>
      <w:r>
        <w:t xml:space="preserve">In four networks placement barely matters: a leak is visible from almost anywhere, and every method gives the same number. The informative cases are the two where it matters.</w:t>
      </w:r>
    </w:p>
    <w:p>
      <w:pPr>
        <w:spacing w:after="40"/>
      </w:pPr>
      <w:r>
        <w:rPr>
          <w:rFonts w:ascii="Consolas" w:cs="Consolas" w:eastAsia="Consolas" w:hAnsi="Consolas"/>
          <w:sz w:val="17"/>
          <w:szCs w:val="17"/>
        </w:rPr>
        <w:t xml:space="preserve">Anytown   random 0.117 → population rule 0.215   +84 %</w:t>
      </w:r>
    </w:p>
    <w:p>
      <w:pPr>
        <w:spacing w:after="40"/>
      </w:pPr>
      <w:r>
        <w:rPr>
          <w:rFonts w:ascii="Consolas" w:cs="Consolas" w:eastAsia="Consolas" w:hAnsi="Consolas"/>
          <w:sz w:val="17"/>
          <w:szCs w:val="17"/>
        </w:rPr>
        <w:t xml:space="preserve">          a single donor's rule 0.173            +48 %</w:t>
      </w:r>
    </w:p>
    <w:p>
      <w:pPr>
        <w:spacing w:after="40"/>
      </w:pPr>
      <w:r>
        <w:rPr>
          <w:rFonts w:ascii="Consolas" w:cs="Consolas" w:eastAsia="Consolas" w:hAnsi="Consolas"/>
          <w:sz w:val="17"/>
          <w:szCs w:val="17"/>
        </w:rPr>
        <w:t xml:space="preserve">          its own rule from two failures 0.212   +81 %</w:t>
      </w:r>
    </w:p>
    <w:p>
      <w:pPr>
        <w:spacing w:after="40"/>
      </w:pPr>
      <w:r>
        <w:rPr>
          <w:rFonts w:ascii="Consolas" w:cs="Consolas" w:eastAsia="Consolas" w:hAnsi="Consolas"/>
          <w:sz w:val="17"/>
          <w:szCs w:val="17"/>
        </w:rPr>
        <w:t xml:space="preserve">Net3      random 0.931 → population rule 1.000    +7 %</w:t>
      </w:r>
    </w:p>
    <w:p>
      <w:pPr>
        <w:spacing w:after="40"/>
      </w:pPr>
      <w:r>
        <w:rPr>
          <w:rFonts w:ascii="Consolas" w:cs="Consolas" w:eastAsia="Consolas" w:hAnsi="Consolas"/>
          <w:sz w:val="17"/>
          <w:szCs w:val="17"/>
        </w:rPr>
        <w:t xml:space="preserve">          its own rule from two failures 0.967    +4 %</w:t>
      </w:r>
    </w:p>
    <w:p>
      <w:pPr>
        <w:spacing w:after="130"/>
      </w:pPr>
      <w:r>
        <w:t xml:space="preserve">Here, for the first time in this series of experiments, an inherited rule is not worse than what the individual could acquire for itself, and in one network it is better. The ordering is the same as everywhere else: the population above a single donor, a single donor above chance.</w:t>
      </w:r>
    </w:p>
    <w:p>
      <w:pPr>
        <w:spacing w:after="130"/>
      </w:pPr>
      <w:r>
        <w:t xml:space="preserve">Herman stays at 0.290 under every placement. Three pressure sensors cannot see a leak in that network at all. This is not a failure of transfer but a limit of the formulation: such a network must be observed differently.</w:t>
      </w:r>
    </w:p>
    <w:p>
      <w:pPr>
        <w:pStyle w:val="Heading2"/>
        <w:spacing w:after="120" w:before="240"/>
      </w:pPr>
      <w:r>
        <w:t xml:space="preserve">C.4 Why this case is different</w:t>
      </w:r>
    </w:p>
    <w:p>
      <w:pPr>
        <w:pStyle w:val="ListParagraph"/>
        <w:numPr>
          <w:ilvl w:val="0"/>
          <w:numId w:val="1"/>
        </w:numPr>
        <w:spacing w:after="70"/>
      </w:pPr>
      <w:r>
        <w:t xml:space="preserve">A detection rule can be acquired from a single failure. Nothing forces a building to inherit it.</w:t>
      </w:r>
    </w:p>
    <w:p>
      <w:pPr>
        <w:pStyle w:val="ListParagraph"/>
        <w:numPr>
          <w:ilvl w:val="0"/>
          <w:numId w:val="1"/>
        </w:numPr>
        <w:spacing w:after="70"/>
      </w:pPr>
      <w:r>
        <w:t xml:space="preserve">A placement rule cannot. To learn where to watch, an individual needs many failures at many different places — exactly what a new building does not have and cannot obtain in time.</w:t>
      </w:r>
    </w:p>
    <w:p>
      <w:pPr>
        <w:pStyle w:val="ListParagraph"/>
        <w:numPr>
          <w:ilvl w:val="0"/>
          <w:numId w:val="1"/>
        </w:numPr>
        <w:spacing w:after="70"/>
      </w:pPr>
      <w:r>
        <w:t xml:space="preserve">The transferable object is structural: weights on properties of a position, not values of settings and not the identity of a node. It survives the change of body because it never referred to a particular body.</w:t>
      </w:r>
    </w:p>
    <w:p>
      <w:pPr>
        <w:spacing w:after="130"/>
      </w:pPr>
      <w:r>
        <w:t xml:space="preserve">This narrows the answer given in Appendix B. What is preserved and passed on is the arrangement of observation and regulation — where to look, what counts as a signal, what to do first — and not the settings an individual happened to arrive at.</w:t>
      </w:r>
    </w:p>
    <w:p>
      <w:pPr>
        <w:pStyle w:val="Heading2"/>
        <w:spacing w:after="120" w:before="240"/>
      </w:pPr>
      <w:r>
        <w:t xml:space="preserve">C.5 Limits</w:t>
      </w:r>
    </w:p>
    <w:p>
      <w:pPr>
        <w:pStyle w:val="ListParagraph"/>
        <w:numPr>
          <w:ilvl w:val="0"/>
          <w:numId w:val="1"/>
        </w:numPr>
        <w:spacing w:after="70"/>
      </w:pPr>
      <w:r>
        <w:t xml:space="preserve">Six networks, one failure mode, pressure sensors only. Placement is limited to three sensors and to a linear scoring rule over five structural properties.</w:t>
      </w:r>
    </w:p>
    <w:p>
      <w:pPr>
        <w:pStyle w:val="ListParagraph"/>
        <w:numPr>
          <w:ilvl w:val="0"/>
          <w:numId w:val="1"/>
        </w:numPr>
        <w:spacing w:after="70"/>
      </w:pPr>
      <w:r>
        <w:t xml:space="preserve">Leak size, demand variation and noise are chosen by the author; with smaller leaks the whole picture would shift towards inheritance, with larger ones away from it.</w:t>
      </w:r>
    </w:p>
    <w:p>
      <w:pPr>
        <w:pStyle w:val="ListParagraph"/>
        <w:numPr>
          <w:ilvl w:val="0"/>
          <w:numId w:val="1"/>
        </w:numPr>
        <w:spacing w:after="70"/>
      </w:pPr>
      <w:r>
        <w:t xml:space="preserve">Benchmark networks are water distribution systems, not the internal pipework of a single building. The mechanism is the same; the numbers would not carry over.</w:t>
      </w:r>
    </w:p>
    <w:p>
      <w:pPr>
        <w:pStyle w:val="Heading2"/>
        <w:spacing w:after="120" w:before="240"/>
      </w:pPr>
      <w:r>
        <w:t xml:space="preserve">C.6 Reproducibility</w:t>
      </w:r>
    </w:p>
    <w:p>
      <w:pPr>
        <w:spacing w:after="130"/>
      </w:pPr>
      <w:r>
        <w:t xml:space="preserve">Networks ship with WNTR; all scenarios are generated from fixed seeds. Four scripts: scenario generation, the detection-rule transfer, the structural features and placement search, and the placement transfer. The whole appendix recomputes in about two minutes.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2026-09-22T21:10:04.269Z</dcterms:created>
  <dcterms:modified xsi:type="dcterms:W3CDTF">2026-09-22T21:10:04.281Z</dcterms:modified>
</cp:coreProperties>
</file>

<file path=docProps/custom.xml><?xml version="1.0" encoding="utf-8"?>
<Properties xmlns="http://schemas.openxmlformats.org/officeDocument/2006/custom-properties" xmlns:vt="http://schemas.openxmlformats.org/officeDocument/2006/docPropsVTypes"/>
</file>