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83" w:rsidRDefault="005A0A0A" w:rsidP="005A0A0A">
      <w:pPr>
        <w:pStyle w:val="a3"/>
        <w:rPr>
          <w:b/>
        </w:rPr>
      </w:pPr>
      <w:r w:rsidRPr="005A0A0A">
        <w:rPr>
          <w:b/>
        </w:rPr>
        <w:t>Рассмотрение кредитной заявки</w:t>
      </w:r>
      <w:r>
        <w:rPr>
          <w:b/>
        </w:rPr>
        <w:t xml:space="preserve"> (физического лица)</w:t>
      </w:r>
      <w:r w:rsidRPr="005A0A0A">
        <w:rPr>
          <w:b/>
        </w:rPr>
        <w:t>.</w:t>
      </w:r>
    </w:p>
    <w:p w:rsidR="005A0A0A" w:rsidRPr="005A0A0A" w:rsidRDefault="005A0A0A" w:rsidP="005A0A0A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Возможность обучения моделей определяется набором поступающих данных и способностью их качественной обработки. Работу с поступающими от заемщика данными мы оценивали с позиции готовности  обработки следующих видов информации: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персональные данные заемщика;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 работодателе;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 доходе;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 стаже;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персональные данные о связанных лицах;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 занятости связанных лиц;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об имуществе;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об образовании;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об иждивенцах;</w:t>
      </w:r>
    </w:p>
    <w:p w:rsidR="005A0A0A" w:rsidRPr="005A0A0A" w:rsidRDefault="005A0A0A" w:rsidP="005A0A0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данные о кредитной задолженности, в том числе связанных лиц.</w:t>
      </w:r>
    </w:p>
    <w:p w:rsidR="005A0A0A" w:rsidRPr="005A0A0A" w:rsidRDefault="005A0A0A" w:rsidP="005A0A0A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При этом делался акцент на том, где разработчик берет данные. То есть учитывался опыт внедрения систем в работающем кредитном бизнесе, количество и география данных для обучения моделей,  возможности их обновления.</w:t>
      </w:r>
    </w:p>
    <w:p w:rsidR="005A0A0A" w:rsidRPr="005A0A0A" w:rsidRDefault="005A0A0A" w:rsidP="005A0A0A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 позиции качества верификации данных о заемщике и их дополнения из внешних источников, возможности обучения моделей на внешних данных, мы выделили наличие интеграции со следующими источниками данных:</w:t>
      </w:r>
    </w:p>
    <w:p w:rsidR="005A0A0A" w:rsidRPr="005A0A0A" w:rsidRDefault="005A0A0A" w:rsidP="005A0A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· НБКИ</w:t>
      </w:r>
    </w:p>
    <w:p w:rsidR="005A0A0A" w:rsidRPr="005A0A0A" w:rsidRDefault="005A0A0A" w:rsidP="005A0A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· ОКБ</w:t>
      </w:r>
    </w:p>
    <w:p w:rsidR="005A0A0A" w:rsidRPr="005A0A0A" w:rsidRDefault="005A0A0A" w:rsidP="005A0A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· ЦККИ</w:t>
      </w:r>
    </w:p>
    <w:p w:rsidR="005A0A0A" w:rsidRPr="005A0A0A" w:rsidRDefault="005A0A0A" w:rsidP="005A0A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· </w:t>
      </w:r>
      <w:proofErr w:type="spellStart"/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Спарк</w:t>
      </w:r>
      <w:proofErr w:type="spellEnd"/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- Интерфакс, прочие ИАС по платежеспособности и не фиктивности работодателя</w:t>
      </w:r>
    </w:p>
    <w:p w:rsidR="005A0A0A" w:rsidRPr="005A0A0A" w:rsidRDefault="005A0A0A" w:rsidP="005A0A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· информация об оборотах по счетам, транзакциях в платежных системах, покупках</w:t>
      </w:r>
    </w:p>
    <w:p w:rsidR="005A0A0A" w:rsidRPr="005A0A0A" w:rsidRDefault="005A0A0A" w:rsidP="005A0A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· информация об обременениях имущества</w:t>
      </w:r>
    </w:p>
    <w:p w:rsidR="005A0A0A" w:rsidRPr="005A0A0A" w:rsidRDefault="005A0A0A" w:rsidP="005A0A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· макроэкономические индикаторы и данные, с учетом региона продаж</w:t>
      </w:r>
    </w:p>
    <w:p w:rsidR="005A0A0A" w:rsidRDefault="005A0A0A" w:rsidP="005A0A0A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5A0A0A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Качество моделей определяется арсеналом реализованных в них бизнес – правил и процедур проверки, наличием всевозможных триггеров. Мы  выделили следующие типы правил и процедур: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проверка наличия плохих долгов по кредитной истории;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проверка судимостей;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по стажу работы, должностям, соответствию доходов;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по внешним не кредитным долгам;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расчёт минимальной кредитной емкости с учетом потребительской корзины, текущих расходов и обслуживания всех долгов;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– правила типа платежи/долг;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по проверкам КЛАДР;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по проверкам IP;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бизнес - правила по </w:t>
      </w:r>
      <w:proofErr w:type="spellStart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геолокации</w:t>
      </w:r>
      <w:proofErr w:type="spellEnd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места проживания и подачи заявки;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бизнес - правила по </w:t>
      </w:r>
      <w:proofErr w:type="spellStart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геолокации</w:t>
      </w:r>
      <w:proofErr w:type="spellEnd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места работы, проверка работодателя по адресам;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стабильности дохода и сохранения его уровня на момент окончания кредита;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по контейнеру выдач кредита;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  - правила на основе обработки информации из соц. сетей;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hyperlink r:id="rId5" w:history="1">
        <w:r w:rsidRPr="0076210B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семантический анализ</w:t>
        </w:r>
      </w:hyperlink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и отнесение к определенной поведенческой группе;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проверки по сто</w:t>
      </w:r>
      <w:proofErr w:type="gramStart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п-</w:t>
      </w:r>
      <w:proofErr w:type="gramEnd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листам и  </w:t>
      </w:r>
      <w:proofErr w:type="spellStart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web</w:t>
      </w:r>
      <w:proofErr w:type="spellEnd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- соц. группам;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на основе проверки активности платежных средств;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по достаточности обеспечения;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проверки адекватности оценки предмета залога;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использование внутренних справочников по стоимости недвижимости;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учет обременений на имущество;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бизнес - правила на основе социально-демографических признаков;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использование внутренних  справочников на основе данных ФСГС, факторы макроэкономики и региональной статистики;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алгоритмы перекрестных проверок данных;</w:t>
      </w:r>
    </w:p>
    <w:p w:rsidR="0076210B" w:rsidRPr="0076210B" w:rsidRDefault="0076210B" w:rsidP="0076210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алгоритмы непротиворечивости данных.</w:t>
      </w:r>
    </w:p>
    <w:p w:rsidR="0076210B" w:rsidRPr="0076210B" w:rsidRDefault="0076210B" w:rsidP="0076210B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При рассмотрении типов используемых сто</w:t>
      </w:r>
      <w:proofErr w:type="gramStart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п-</w:t>
      </w:r>
      <w:proofErr w:type="gramEnd"/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листов, мы рассматривали возможность интеграции со следующими их видами:</w:t>
      </w:r>
    </w:p>
    <w:p w:rsidR="0076210B" w:rsidRPr="0076210B" w:rsidRDefault="0076210B" w:rsidP="0076210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черный список банков и МФО;</w:t>
      </w:r>
    </w:p>
    <w:p w:rsidR="0076210B" w:rsidRPr="0076210B" w:rsidRDefault="0076210B" w:rsidP="0076210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черный список работодателей;</w:t>
      </w:r>
    </w:p>
    <w:p w:rsidR="0076210B" w:rsidRPr="0076210B" w:rsidRDefault="0076210B" w:rsidP="0076210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черный список по легализации;</w:t>
      </w:r>
    </w:p>
    <w:p w:rsidR="0076210B" w:rsidRPr="0076210B" w:rsidRDefault="0076210B" w:rsidP="0076210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черный список участников платежей и держателей платежных инструментов;</w:t>
      </w:r>
    </w:p>
    <w:p w:rsidR="0076210B" w:rsidRPr="0076210B" w:rsidRDefault="0076210B" w:rsidP="0076210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базы недействительных документов;</w:t>
      </w:r>
    </w:p>
    <w:p w:rsidR="0076210B" w:rsidRPr="0076210B" w:rsidRDefault="0076210B" w:rsidP="0076210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76210B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базы обременений на имущество.</w:t>
      </w:r>
    </w:p>
    <w:p w:rsidR="00F46B47" w:rsidRPr="00F46B47" w:rsidRDefault="00F46B47" w:rsidP="00F46B4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Отдельно позиционируемый разработчиком ETL </w:t>
      </w:r>
      <w:hyperlink r:id="rId6" w:anchor="snoski" w:history="1">
        <w:r w:rsidRPr="00F46B47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[3]</w:t>
        </w:r>
      </w:hyperlink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- модуль мы рассматривали как важный функционал, его наличие является существенным фактором при выборе. Поскольку извлекать данные могут многие, но качественную их очистку производят единицы.</w:t>
      </w:r>
    </w:p>
    <w:p w:rsidR="00F46B47" w:rsidRPr="00F46B47" w:rsidRDefault="00F46B47" w:rsidP="00F46B4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Ранее мы говорили, о важности инструментария поддержки решений в вопросе </w:t>
      </w:r>
      <w:hyperlink r:id="rId7" w:history="1">
        <w:r w:rsidRPr="00F46B47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управления рисками портфелей кредитора</w:t>
        </w:r>
      </w:hyperlink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. Поэтому, наличие отдельно позиционируемого ALM </w:t>
      </w:r>
      <w:hyperlink r:id="rId8" w:anchor="snoski" w:history="1">
        <w:r w:rsidRPr="00F46B47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[4]</w:t>
        </w:r>
      </w:hyperlink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- модуля так же рассматривался как существенный плюс.</w:t>
      </w:r>
    </w:p>
    <w:p w:rsidR="00F46B47" w:rsidRPr="00F46B47" w:rsidRDefault="00F46B47" w:rsidP="00F46B4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18"/>
          <w:szCs w:val="18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18"/>
          <w:szCs w:val="18"/>
          <w:lang w:eastAsia="ru-RU"/>
        </w:rPr>
        <w:t> </w:t>
      </w:r>
    </w:p>
    <w:p w:rsidR="00F46B47" w:rsidRPr="00F46B47" w:rsidRDefault="00F46B47" w:rsidP="00F46B4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Отдельные баллы качества мы присваивали при наличии такого решения как возможность осуществления поведенческой сегментации и возможность организации внутрикорпоративного </w:t>
      </w:r>
      <w:proofErr w:type="spellStart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антифрода</w:t>
      </w:r>
      <w:proofErr w:type="spellEnd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. Таким образом, мы изучили возможность применения рассмотренных решений при оценке персонала кредитора и организации системы за предотвращением внутрикорпоративного мошенничества.</w:t>
      </w:r>
    </w:p>
    <w:p w:rsidR="00F46B47" w:rsidRPr="00F46B47" w:rsidRDefault="00F46B47" w:rsidP="00F46B4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Безусловно, что качество принимаемых решений и возможность адаптации моделей зависит и от наличия инструментария аналитиков. В этой связи, при рассмотрении решений, мы оценивали:</w:t>
      </w:r>
    </w:p>
    <w:p w:rsidR="00F46B47" w:rsidRPr="00F46B47" w:rsidRDefault="00F46B47" w:rsidP="00F46B4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возможность организации настраиваемых кубов и витрин данных, как для риск </w:t>
      </w:r>
      <w:proofErr w:type="gramStart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-а</w:t>
      </w:r>
      <w:proofErr w:type="gramEnd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налитика, так и для клиентов - заказчиков услуг </w:t>
      </w:r>
      <w:proofErr w:type="spellStart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андеррайтинга</w:t>
      </w:r>
      <w:proofErr w:type="spellEnd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;</w:t>
      </w:r>
    </w:p>
    <w:p w:rsidR="00F46B47" w:rsidRPr="00F46B47" w:rsidRDefault="00F46B47" w:rsidP="00F46B4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возможность представления лога расчетов, при выработке решения, для клиента и риск – офицеров;</w:t>
      </w:r>
    </w:p>
    <w:p w:rsidR="00F46B47" w:rsidRPr="00F46B47" w:rsidRDefault="00F46B47" w:rsidP="00F46B4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наличие специальных алгоритмов машинного обучения моделей;</w:t>
      </w:r>
    </w:p>
    <w:p w:rsidR="00F46B47" w:rsidRPr="00F46B47" w:rsidRDefault="00F46B47" w:rsidP="00F46B4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возможность оперативной смены и выборов ревизий моделей;</w:t>
      </w:r>
    </w:p>
    <w:p w:rsidR="00F46B47" w:rsidRPr="00F46B47" w:rsidRDefault="00F46B47" w:rsidP="00F46B4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возможность осуществления стресс – </w:t>
      </w:r>
      <w:proofErr w:type="spellStart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тестинга</w:t>
      </w:r>
      <w:proofErr w:type="spellEnd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моделей;</w:t>
      </w:r>
    </w:p>
    <w:p w:rsidR="00F46B47" w:rsidRPr="00F46B47" w:rsidRDefault="00F46B47" w:rsidP="00F46B4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возможность организации ревизий для применения метода </w:t>
      </w:r>
      <w:proofErr w:type="spellStart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Campion</w:t>
      </w:r>
      <w:proofErr w:type="spellEnd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challenger</w:t>
      </w:r>
      <w:proofErr w:type="spellEnd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  <w:hyperlink r:id="rId9" w:anchor="snoski" w:history="1">
        <w:r w:rsidRPr="00F46B47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[5]</w:t>
        </w:r>
      </w:hyperlink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;</w:t>
      </w:r>
    </w:p>
    <w:p w:rsidR="00F46B47" w:rsidRDefault="00F46B47" w:rsidP="00F46B4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наличие среды моделирования и настройки бизнес – процессов, в т.ч. наличие BPMS </w:t>
      </w:r>
      <w:hyperlink r:id="rId10" w:anchor="snoski" w:history="1">
        <w:r w:rsidRPr="00F46B47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[6]</w:t>
        </w:r>
      </w:hyperlink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lastRenderedPageBreak/>
        <w:t>С позиции влияния на процесс управления кредитным портфелем, мы оценивали  возможность охвата различных его стадий. В частности, мы оценивали потенциал систем при проведении  следующих процедур:</w:t>
      </w:r>
    </w:p>
    <w:p w:rsidR="00DA6EA7" w:rsidRPr="00DA6EA7" w:rsidRDefault="00DA6EA7" w:rsidP="00DA6EA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Прескоринг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  <w:hyperlink r:id="rId11" w:anchor="snoski" w:history="1">
        <w:r w:rsidRPr="00143245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[7]</w:t>
        </w:r>
      </w:hyperlink>
    </w:p>
    <w:p w:rsidR="00DA6EA7" w:rsidRPr="00DA6EA7" w:rsidRDefault="00DA6EA7" w:rsidP="00DA6EA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</w:t>
      </w:r>
      <w:proofErr w:type="gram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pplication-скоринг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  <w:hyperlink r:id="rId12" w:anchor="snoski" w:history="1">
        <w:r w:rsidRPr="00143245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[8]</w:t>
        </w:r>
      </w:hyperlink>
    </w:p>
    <w:p w:rsidR="00DA6EA7" w:rsidRPr="00DA6EA7" w:rsidRDefault="00DA6EA7" w:rsidP="00DA6EA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Behavioral-скоринг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  <w:hyperlink r:id="rId13" w:anchor="snoski" w:history="1">
        <w:r w:rsidRPr="00143245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[9]</w:t>
        </w:r>
      </w:hyperlink>
    </w:p>
    <w:p w:rsidR="00DA6EA7" w:rsidRPr="00DA6EA7" w:rsidRDefault="00DA6EA7" w:rsidP="00DA6EA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Collection-скоринг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  <w:hyperlink r:id="rId14" w:anchor="snoski" w:history="1">
        <w:r w:rsidRPr="00143245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[10]</w:t>
        </w:r>
      </w:hyperlink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</w:p>
    <w:p w:rsidR="00DA6EA7" w:rsidRPr="00DA6EA7" w:rsidRDefault="00DA6EA7" w:rsidP="00DA6EA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Fraud-скоринг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  <w:hyperlink r:id="rId15" w:anchor="snoski" w:history="1">
        <w:r w:rsidRPr="00143245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[11]</w:t>
        </w:r>
      </w:hyperlink>
    </w:p>
    <w:p w:rsidR="00DA6EA7" w:rsidRPr="00DA6EA7" w:rsidRDefault="00DA6EA7" w:rsidP="00DA6EA7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Attrition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Response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  <w:hyperlink r:id="rId16" w:anchor="snoski" w:history="1">
        <w:r w:rsidRPr="00143245">
          <w:rPr>
            <w:rFonts w:ascii="GothamPro" w:eastAsia="Times New Roman" w:hAnsi="GothamPro" w:cs="Times New Roman"/>
            <w:color w:val="0000FF"/>
            <w:sz w:val="24"/>
            <w:szCs w:val="24"/>
            <w:lang w:eastAsia="ru-RU"/>
          </w:rPr>
          <w:t>[12]</w:t>
        </w:r>
      </w:hyperlink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Помимо этого оценивалась возможность формирования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скоринговой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карты как таковой, расчету совокупного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скорингового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балла, групп риска, внутренних кредитных рейтингов, адаптивности решений к стандартам управления рисками, например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Basel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III+.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Так же оценивалась возможность структурирования на этапы процедуры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андеррайтинга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, прерывание/пересмотр результатов процедуры и принятия окончательного  решения  риск - офицером самостоятельно.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За рамками сравнения мы оставили вопрос о стоимости решений и сроках их внедрения. К примеру,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SaaS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Скориста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» и или сервис от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Kreditech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может быть отнесены к классу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Plug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&amp;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Work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т.е. потребитель услуг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андеррайтинга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начинает работу после подключения к системе. В то время как «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Turnkey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Lender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» требует настройки моделей, либо покупки их у компании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Scorto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а функционал EGAR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Technology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вообще поставляется лишь в составе автоматизированного банковского комплекса. Таким образом мы постарались акцентировать внимание именно на потребительских свойствах того или иного решения. 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Подводя итоги исследования, мы пришли к выводу, что новички рынка, в течени</w:t>
      </w:r>
      <w:proofErr w:type="gram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и</w:t>
      </w:r>
      <w:proofErr w:type="gram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  относительно короткого периода, могут догнать, а некоторые по потребительским свойствам это уже сделали, таких сторожил рынка как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Experian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, с его рыночной капитализацией 15 млрд. долларов США. Безусловно, что капитализация обуславливается и инфраструктурными моментами. Однако и стоимость самих алгоритмов играет не последнюю роль.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Как следствие, опираясь  на результаты исследования и наши планы, мы можем рассуждать об увеличении капитализации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SaaS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Скориста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»  минимум до 57,6 млн. USD уже к середине 2015 г.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Ке</w:t>
      </w:r>
      <w:proofErr w:type="gram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y-words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: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Скориста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Scorista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Scorto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SaaS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ОКБ,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PowerCurve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Tallyman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Hunter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EGAR, FICO, НБКИ, CRIF, РАБИС,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ApplicationScoring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Андеррайтинг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Zaimo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СППР,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Collection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Behavioral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Fraud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ERP, МФО, кредитный риск,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микрофинансы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МФО, кредитование, экспресс-кредит, семантический анализ, оценка кредитоспособности,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скоринговые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системы, модель оценки дефолта, решения для МФО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 </w:t>
      </w:r>
    </w:p>
    <w:p w:rsidR="00DA6EA7" w:rsidRPr="00DA6EA7" w:rsidRDefault="00DA6EA7" w:rsidP="00DA6EA7">
      <w:pPr>
        <w:spacing w:after="0" w:line="240" w:lineRule="auto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lastRenderedPageBreak/>
        <w:br w:type="textWrapping" w:clear="all"/>
      </w:r>
    </w:p>
    <w:p w:rsidR="00DA6EA7" w:rsidRPr="00DA6EA7" w:rsidRDefault="00DA6EA7" w:rsidP="00DA6EA7">
      <w:pPr>
        <w:spacing w:after="0" w:line="240" w:lineRule="auto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pict>
          <v:rect id="_x0000_i1025" style="width:154.35pt;height:0" o:hrpct="330" o:hrstd="t" o:hr="t" fillcolor="#a0a0a0" stroked="f"/>
        </w:pic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bookmarkStart w:id="0" w:name="snoski"/>
      <w:bookmarkEnd w:id="0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[1] Система поддержки принятия управленческих решений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[2] Оценивался отдельно, как комплексное решение для кредитных организаций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[3]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Extract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Transform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Load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(ETL) — дословно «извлечение, преобразование, загрузка» — один из основных процессов в управлении хранилищами данных, который включает в себя: извлечение данных из внешних источников; их трансформация и очистка.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[4]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Asset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Liability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Management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(AML -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) – Система управления активами и пассивами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[5] Тест, проводимый с целью оценки достигнутых результатов относительно нормы.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[6] BPMS (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Business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Management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Sistem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) - класс программного обеспечения для управления бизнес-процессами и административными регламентами.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[7]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Прескоринг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(предварительный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</w:t>
      </w:r>
      <w:proofErr w:type="spellEnd"/>
      <w:proofErr w:type="gram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)</w:t>
      </w:r>
      <w:proofErr w:type="gram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— предварительная оценка вероятности того, что клиент исполнит обязательства по запрашиваемому кредиту. Может проводиться на основании анкетных данных.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[8]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Application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scoring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заявителя) – в отличие от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прескоринга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, более полная оценка вероятности того, что клиент рассчитается по кредитным обязательствам.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[9]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Behavioral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scoring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поведенческий</w:t>
      </w:r>
      <w:proofErr w:type="gram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) – определение уровня риска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невозврата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по существующим должникам на основе имеющихся данных о поведении заемщиков.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[10]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Collection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scoring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для работы с просроченной задолженностью) – определяют, когда и какие именно меры должны быть приняты в отношении неплательщиков.</w:t>
      </w:r>
    </w:p>
    <w:p w:rsidR="00DA6EA7" w:rsidRP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[11]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Fraud-scoring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– вид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скоринга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, статистическая оценка вероятности мошеннических действий со стороны потенциального заемщика.</w:t>
      </w:r>
    </w:p>
    <w:p w:rsidR="00DA6EA7" w:rsidRDefault="00DA6EA7" w:rsidP="00DA6EA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[12] При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Attrition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Response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скоринге</w:t>
      </w:r>
      <w:proofErr w:type="spellEnd"/>
      <w:r w:rsidRPr="00DA6EA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оценивают реакцию клиента на направленные ему предложения и возможность отказа от исполнения обязательств.</w:t>
      </w:r>
    </w:p>
    <w:p w:rsidR="006D6BAD" w:rsidRPr="006D6BAD" w:rsidRDefault="006D6BAD" w:rsidP="006D6BAD">
      <w:pPr>
        <w:pStyle w:val="2"/>
        <w:spacing w:before="113" w:beforeAutospacing="0" w:after="0" w:afterAutospacing="0"/>
        <w:rPr>
          <w:bCs w:val="0"/>
          <w:color w:val="000000"/>
          <w:sz w:val="32"/>
          <w:szCs w:val="32"/>
        </w:rPr>
      </w:pPr>
      <w:r>
        <w:rPr>
          <w:rFonts w:ascii="GothamPro" w:hAnsi="GothamPro"/>
          <w:b w:val="0"/>
          <w:bCs w:val="0"/>
          <w:color w:val="000000"/>
          <w:sz w:val="18"/>
          <w:szCs w:val="18"/>
        </w:rPr>
        <w:br/>
      </w:r>
      <w:r w:rsidRPr="006D6BAD">
        <w:rPr>
          <w:bCs w:val="0"/>
          <w:color w:val="000000"/>
          <w:sz w:val="32"/>
          <w:szCs w:val="32"/>
        </w:rPr>
        <w:t>Модель оценки платежеспособности и благонадежности заемщиков для МФО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 о наличии  источников выплат лежит в основе решения о предоставлении кредита. Мы можем оценивать историю взаимоотношений с кредиторами, рассматривать под микроскопом те или иные свойства заемщика, но нашей конечной целью всегда будут оставаться ответы на следующие вопросы:</w:t>
      </w:r>
    </w:p>
    <w:p w:rsidR="006D6BAD" w:rsidRPr="006D6BAD" w:rsidRDefault="006D6BAD" w:rsidP="006D6BAD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обладает ли заемщик возможностью генерации в своем обороте свободных денежных сре</w:t>
      </w:r>
      <w:proofErr w:type="gram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в д</w:t>
      </w:r>
      <w:proofErr w:type="gram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олжном объеме и в нужные даты для погашения кредитных обязательств;</w:t>
      </w:r>
    </w:p>
    <w:p w:rsidR="006D6BAD" w:rsidRPr="006D6BAD" w:rsidRDefault="006D6BAD" w:rsidP="006D6BAD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является ли единственной альтернативой использования свободных денежных средств именно погашение кредитных  обязательств.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отличие от банков, запрашивающих подтверждение доходов и имеющих доступ к информации по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зарплатным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счетам заемщиков,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микрофинансовые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организации не обладают подобными сведениями и вынуждены обходиться лишь анкетными данными. А далее начинается волшебство.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Безусловно, что предоставляя услуги удаленного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андеррайтинга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агентство было вынуждено уделить достаточно много внимания разработке модели оценки платежеспособности. Попытаемся поделиться с читателями нашим опытом в этом направлении.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нам предстоит смоделировать денежный поток потенциального заемщика и сопоставить его с кредитной нагрузкой. В нашем распоряжении мы имеем следующие данные: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 заемщика;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рождения;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ареал его обитания;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отрасль, в которой заемщик работает, либо имеет определенный опыт работы и знания;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стаж на последнем месте работы или общий стаж;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 некотором рыночном и отраслевом окружении;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 наличии иждивенцев и семейном положении;</w:t>
      </w:r>
    </w:p>
    <w:p w:rsidR="006D6BAD" w:rsidRPr="006D6BAD" w:rsidRDefault="006D6BAD" w:rsidP="006D6BA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 кредитной истории.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правило, это стандартный для МФО набор данных.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Первым делом необходимо оценить присущий для заемщика уровень доходов. Начнем с рассмотрения вида его занятости. Как правило, кредитор использует различные классификаторы. Например,  Агентство использует следующий классификатор: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Безработный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Инвалидность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Пенсионер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Бюджетник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Военный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Научный сотрудник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найму в коммерческой структуре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Собственный бизнес</w:t>
      </w:r>
    </w:p>
    <w:p w:rsidR="006D6BAD" w:rsidRPr="006D6BAD" w:rsidRDefault="006D6BAD" w:rsidP="006D6BA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в анкете  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</w:t>
      </w:r>
      <w:hyperlink r:id="rId17" w:history="1">
        <w:r w:rsidRPr="006D6BA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Статистические данные</w:t>
        </w:r>
      </w:hyperlink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нам позволяют определить некоторый базовый уровень доходов, присущий тому или иному виду занятости и отрасли к моменту рассмотрения заявки. Однако неоднородность рынка труда в России не позволяет использовать данные величины по отношению к различным регионам. Поэтому, должен быть поправочный коэффициент в зависимости от географии работодателей. Кроме того, базовый уровень присущего заработка необходимо скорректировать на стаж работы.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Далее нам необходимо рассчитать присущие заемщику расходы не кредитного характера. Данные расходы можно подразделить на три главных агрегата: иждивенцы, потребительские расходы, коммунальные расходы, прочие требования.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</w:t>
      </w:r>
      <w:proofErr w:type="gram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присущие заемщику доходы мы рассчитываем в национальной валюте, то базовые уровни тех или иных расходов мы определяем в долларах США, приведя их к рублевому эквиваленту на момент проведения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андеррайтинга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Индексация расходов, в зависимости от возраста и причастности к той или иной сфере деятельности, так же должна производиться по-разному. К примеру, молодежь в большей степени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долларозависимые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чем скажем бюджетник – пенсионер.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Ежемесячные расходы на иждивенцев.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расчетах обращаем внимание, что удельные расходы на одного ребенка и трех различны. Кроме того, необходимо учитывать и возможную погрешность в вычислениях в связи с тем, что мы не имеем данных о возрасте иждивенца или наличии иждивенцев – инвалидов.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Семейный статус подскажет нам, как в семье могут распределяться траты на иждивенцев. Для простоты, можно для брачующихся базовый уровень расходов делить на два.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Потребительские расходы.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зависимости от возраста человеку присущ некий уровень базовых потребительских расходов. Даже не заикаемся о МРОТ. Определяем их  экспертным путем. Учитываем, что студенты, как правило, сидят на шее родителей, до 30 лет и позже так же разные уровни потребления. Не забываем про опыт и способы выживания в России людей </w:t>
      </w:r>
      <w:proofErr w:type="gram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</w:t>
      </w:r>
      <w:proofErr w:type="gram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пенсионного возраста. Однако и при данном ранжировании потребительской корзины необходимо учитывать географию проживания. В некоторых случаях, для простоты, можно выделить перечень мегаполисов, определить по ним базовый уровень, от которого, в дальнейшем, разрабатываются поправочные коэффициенты.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Расходы коммунального характера.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Оценка информации позволяет сделать вывод, что для каждой из возрастных групп присущ некоторый размер жилища, в которой человек чувствует себя комфортно. Имея из публичных источников данные о стоимости аренды площадей и удельный уровень расходов на содержание  одного квадратного метра жилья, мы можем делать предположение о коммунальных расходах. Наблюдения позволяют нам сделать вывод, что в возрасте с 18 до 35 лет, базовый уровень необходимо увеличивать на 30-50 %. Это объясняется тем, что молодежь, в большинстве случаев, вынуждена прибегать к аренде жилья. При этом не факт, что стоимость аренды не носит существенной спекулятивной составляющей. К 30 годам человек, более или менее обзаводится собственным или наследуемым жильем. Кроме того, после наступления «возраста Христа» многие начинают понимать, что жить втроем в квартирах по 200 и </w:t>
      </w: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более квадратных метров  не есть великое благо. Именно к данному возрасту человек приходит к некоторому оптимуму, в том числе и по коммунальным расходам.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Прочие требования.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Помимо присущих в нормальном режиме трат, отдельные индивидуумы несут бремя дополнительных расходов не кредитного характера. Кто - то успел несколько раз развестись и наплодить детей, кто-то по жизни выплачивает стоимость разбитого в ДТП Мерседеса, кто-то продолжает выплачивать коллектору ранее списанный с баланса банка кредит. Базы судебных приставов нам в помощь для корректировки ежемесячных расходов заемщиков.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Расходы кредитного характера.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данные о долгах из кредитной истории, определяем уровень потенциальной кредитной нагрузки.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 денежные поступления и траты заемщика, мы можем использовать привычные для оценки платежеспособности агрегаты. Например:</w:t>
      </w:r>
    </w:p>
    <w:p w:rsidR="006D6BAD" w:rsidRPr="006D6BAD" w:rsidRDefault="006D6BAD" w:rsidP="006D6BA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 месячных доходов к процентным  расходам, включая расходы на обслуживание запрашиваемого займа.</w:t>
      </w:r>
    </w:p>
    <w:p w:rsidR="006D6BAD" w:rsidRPr="006D6BAD" w:rsidRDefault="006D6BAD" w:rsidP="006D6BA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 доходов к совокупным долгам.</w:t>
      </w:r>
    </w:p>
    <w:p w:rsidR="006D6BAD" w:rsidRPr="006D6BAD" w:rsidRDefault="006D6BAD" w:rsidP="006D6BA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финансовой устойчивости и без дефицитности личного бюджета, определяемое как отношение  доходов к расходам.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примеру, анализ 27000 кредитных решений свидетельствует, что вероятность дефолта по заявкам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микрокредитования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 покрытии месячных расходов доходами от 50% до 120%, на треть меньше, чем при более высоком соотношении. Наличие избыточной денежной массы в обороте заемщика, особенно при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беззалоговом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кредитовании, не значительно влияет на возвратность кредитов. Поэтому, хороший заемщик должен быть немножко голоден и зависим от своей кредитной репутации.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Уровень кредитной нагрузки и ее отношение к доходам будет так же влиять на вероятность дефолта. Однако при анализе данных показателей необходимо помнить, что на вероятность дефолта в большей степени влияет изменение данного показателя во времени, чем  его значение как таковое. Данное правило особенно ярко выражено на заемщиках, находящихся в режиме постоянной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перекредитовки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Которые, по сути, финансируют достаточно длинные кассовые разрывы короткими и более дешевыми кредитами. Отказ по очередной кредитной заявке приведет к коллапсу привычного платежного режима и дефолту по остальным кредитным обязательствам заемщика. На практике это объясняет, например, почему заемщики, имеющие относительно высокую, но стабильную кредитную нагрузку, при отсутствии каких либо других факторов, выходят на дефолт реже.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Рассчитав показатели платежеспособности, и определив свой риск – аппетит, мы можем установить пороги по каждому из показателей, при которых заемщик будет отнесен к определенному классу платежеспособности. А далее, мы выбираем стратегию, при которой мы, например, выдаем кредиты только хорошим – платежеспособным в нашем понимании заемщикам, или заемщикам, с отдельными не значительными признаками неплатежеспособности.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 При применении подходов при принятии кредитных решений на основе модели платежеспособности заемщика необходимо всегда помнить, что при расчете платежеспособности мы лишь отвечаем на вопрос о том, может ли кредит быть возвращен за счет генерации/обладания заемщиком источников его возврата. Однако модель платежеспособности не ответит нам на вопрос о том, захочет ли заемщик погасить кредит, даже при наличии источников погашения. Поэтому, применение только одной модели на основе расчета платежеспособности для принятия кредитного решения не допустимо. Но при качественной системе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антифрода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конгломерат дает весьма не плохие результаты.</w: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Результаты, полученные Агентством при применении модели платежеспособности заемщиков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450"/>
        <w:gridCol w:w="1847"/>
        <w:gridCol w:w="1847"/>
        <w:gridCol w:w="1211"/>
      </w:tblGrid>
      <w:tr w:rsidR="006D6BAD" w:rsidRPr="006D6BAD" w:rsidTr="006D6BAD">
        <w:trPr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6BAD" w:rsidRPr="006D6BAD" w:rsidRDefault="006D6BAD" w:rsidP="006D6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6BAD" w:rsidRPr="006D6BAD" w:rsidTr="006D6BAD">
        <w:trPr>
          <w:tblCellSpacing w:w="0" w:type="dxa"/>
        </w:trPr>
        <w:tc>
          <w:tcPr>
            <w:tcW w:w="2600" w:type="pct"/>
            <w:vAlign w:val="center"/>
            <w:hideMark/>
          </w:tcPr>
          <w:p w:rsidR="006D6BAD" w:rsidRPr="006D6BAD" w:rsidRDefault="006D6BAD" w:rsidP="006D6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Отказываем  для  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Bad</w:t>
            </w:r>
            <w:proofErr w:type="spell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Pre-Bad</w:t>
            </w:r>
            <w:proofErr w:type="spellEnd"/>
          </w:p>
        </w:tc>
        <w:tc>
          <w:tcPr>
            <w:tcW w:w="70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Отказываем только 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Bad</w:t>
            </w:r>
            <w:proofErr w:type="spellEnd"/>
          </w:p>
        </w:tc>
        <w:tc>
          <w:tcPr>
            <w:tcW w:w="85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Отказ при К</w:t>
            </w:r>
            <w:proofErr w:type="gram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proofErr w:type="gram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&lt;0,2 или К3 &lt;3,5</w:t>
            </w:r>
            <w:hyperlink r:id="rId18" w:anchor="snoski" w:history="1">
              <w:r w:rsidRPr="006D6BA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lang w:eastAsia="ru-RU"/>
                </w:rPr>
                <w:t>[1]</w:t>
              </w:r>
            </w:hyperlink>
          </w:p>
        </w:tc>
      </w:tr>
      <w:tr w:rsidR="006D6BAD" w:rsidRPr="006D6BAD" w:rsidTr="006D6BAD">
        <w:trPr>
          <w:tblCellSpacing w:w="0" w:type="dxa"/>
        </w:trPr>
        <w:tc>
          <w:tcPr>
            <w:tcW w:w="260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% Одобрения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32%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78%</w:t>
            </w:r>
          </w:p>
        </w:tc>
        <w:tc>
          <w:tcPr>
            <w:tcW w:w="85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37%</w:t>
            </w:r>
          </w:p>
        </w:tc>
      </w:tr>
      <w:tr w:rsidR="006D6BAD" w:rsidRPr="006D6BAD" w:rsidTr="006D6BAD">
        <w:trPr>
          <w:tblCellSpacing w:w="0" w:type="dxa"/>
        </w:trPr>
        <w:tc>
          <w:tcPr>
            <w:tcW w:w="260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Невозврата</w:t>
            </w:r>
            <w:proofErr w:type="spell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шт.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35%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35%</w:t>
            </w:r>
          </w:p>
        </w:tc>
        <w:tc>
          <w:tcPr>
            <w:tcW w:w="85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35%</w:t>
            </w:r>
          </w:p>
        </w:tc>
      </w:tr>
      <w:tr w:rsidR="006D6BAD" w:rsidRPr="006D6BAD" w:rsidTr="006D6BAD">
        <w:trPr>
          <w:tblCellSpacing w:w="0" w:type="dxa"/>
        </w:trPr>
        <w:tc>
          <w:tcPr>
            <w:tcW w:w="260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Чувствительность модели (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Sensitivity</w:t>
            </w:r>
            <w:proofErr w:type="spell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 –доля выявленных хороших заемщиков, среди  хороших заемщиков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35,4%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77,9%</w:t>
            </w:r>
          </w:p>
        </w:tc>
        <w:tc>
          <w:tcPr>
            <w:tcW w:w="85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41,7%</w:t>
            </w:r>
          </w:p>
        </w:tc>
      </w:tr>
      <w:tr w:rsidR="006D6BAD" w:rsidRPr="006D6BAD" w:rsidTr="006D6BAD">
        <w:trPr>
          <w:tblCellSpacing w:w="0" w:type="dxa"/>
        </w:trPr>
        <w:tc>
          <w:tcPr>
            <w:tcW w:w="260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Специфичность модели (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Specificity</w:t>
            </w:r>
            <w:proofErr w:type="spell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 – доля выявленных плохих заемщиков, среди плохих заемщиков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74,5%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22,1%</w:t>
            </w:r>
          </w:p>
        </w:tc>
        <w:tc>
          <w:tcPr>
            <w:tcW w:w="85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70,7%</w:t>
            </w:r>
          </w:p>
        </w:tc>
      </w:tr>
      <w:tr w:rsidR="006D6BAD" w:rsidRPr="006D6BAD" w:rsidTr="006D6BAD">
        <w:trPr>
          <w:tblCellSpacing w:w="0" w:type="dxa"/>
        </w:trPr>
        <w:tc>
          <w:tcPr>
            <w:tcW w:w="2600" w:type="pct"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False</w:t>
            </w:r>
            <w:proofErr w:type="spell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Positives</w:t>
            </w:r>
            <w:proofErr w:type="spell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Rate</w:t>
            </w:r>
            <w:proofErr w:type="spellEnd"/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6D6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доля не выявленных плохих заемщиков, среди плохих заемщиков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25,5%</w:t>
            </w:r>
          </w:p>
        </w:tc>
        <w:tc>
          <w:tcPr>
            <w:tcW w:w="70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77,9%</w:t>
            </w:r>
          </w:p>
        </w:tc>
        <w:tc>
          <w:tcPr>
            <w:tcW w:w="850" w:type="pct"/>
            <w:noWrap/>
            <w:vAlign w:val="center"/>
            <w:hideMark/>
          </w:tcPr>
          <w:p w:rsidR="006D6BAD" w:rsidRPr="006D6BAD" w:rsidRDefault="006D6BAD" w:rsidP="006D6BAD">
            <w:pPr>
              <w:spacing w:before="240" w:after="240" w:line="240" w:lineRule="auto"/>
              <w:ind w:left="240"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6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29,3%</w:t>
            </w:r>
          </w:p>
        </w:tc>
      </w:tr>
    </w:tbl>
    <w:p w:rsidR="006D6BAD" w:rsidRPr="006D6BAD" w:rsidRDefault="006D6BAD" w:rsidP="006D6B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:rsidR="006D6BAD" w:rsidRPr="006D6BAD" w:rsidRDefault="006D6BAD" w:rsidP="006D6B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6" style="width:154.35pt;height:0" o:hrpct="330" o:hrstd="t" o:hr="t" fillcolor="#a0a0a0" stroked="f"/>
        </w:pict>
      </w:r>
    </w:p>
    <w:p w:rsidR="006D6BAD" w:rsidRPr="006D6BAD" w:rsidRDefault="006D6BAD" w:rsidP="006D6BAD">
      <w:pPr>
        <w:spacing w:before="240" w:after="240" w:line="240" w:lineRule="auto"/>
        <w:ind w:left="24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[1] K2 - отношение источников погашения к сумме запрашиваемого кредита с учетом его месячной </w:t>
      </w:r>
      <w:proofErr w:type="spellStart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лонгации</w:t>
      </w:r>
      <w:proofErr w:type="spellEnd"/>
      <w:r w:rsidRPr="006D6B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К3 - отношение источников погашения к сумме процентного долга по запрашиваемому кредиту.</w:t>
      </w:r>
    </w:p>
    <w:p w:rsidR="00F46B47" w:rsidRPr="00F46B47" w:rsidRDefault="00F46B47" w:rsidP="00F46B4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Рассматривая используемый математический аппарат, мы учитывали наличие в арсенале  следующих математических методов:</w:t>
      </w:r>
    </w:p>
    <w:p w:rsidR="00F46B47" w:rsidRPr="00F46B47" w:rsidRDefault="00F46B47" w:rsidP="00F46B4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lastRenderedPageBreak/>
        <w:t>нейронные сети, байесовские сети;</w:t>
      </w:r>
    </w:p>
    <w:p w:rsidR="00F46B47" w:rsidRPr="00F46B47" w:rsidRDefault="00F46B47" w:rsidP="00F46B4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деревья решений;</w:t>
      </w:r>
    </w:p>
    <w:p w:rsidR="00F46B47" w:rsidRPr="00F46B47" w:rsidRDefault="00F46B47" w:rsidP="00F46B4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proofErr w:type="spellStart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логистическая</w:t>
      </w:r>
      <w:proofErr w:type="spellEnd"/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 xml:space="preserve"> регрессия.</w:t>
      </w:r>
    </w:p>
    <w:p w:rsidR="00F46B47" w:rsidRPr="00F46B47" w:rsidRDefault="00F46B47" w:rsidP="00F46B47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При этом, оценивая возможность работы с тем или иным арсеналом средств, так же рассматривалась возможность:</w:t>
      </w:r>
    </w:p>
    <w:p w:rsidR="00F46B47" w:rsidRPr="00F46B47" w:rsidRDefault="00F46B47" w:rsidP="00F46B4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кодировки бизнес - правил без привлечения программиста;</w:t>
      </w:r>
    </w:p>
    <w:p w:rsidR="00F46B47" w:rsidRPr="00F46B47" w:rsidRDefault="00F46B47" w:rsidP="00F46B47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  <w:r w:rsidRPr="00F46B47"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  <w:t>статистическая обработка данных без привлечения программиста непосредственно в среде продуктов или в отдельных интегрированных модулях.</w:t>
      </w:r>
    </w:p>
    <w:p w:rsidR="0076210B" w:rsidRPr="005A0A0A" w:rsidRDefault="0076210B" w:rsidP="005A0A0A">
      <w:pPr>
        <w:spacing w:before="240" w:after="240" w:line="240" w:lineRule="auto"/>
        <w:ind w:left="240" w:right="240"/>
        <w:rPr>
          <w:rFonts w:ascii="GothamPro" w:eastAsia="Times New Roman" w:hAnsi="GothamPro" w:cs="Times New Roman"/>
          <w:color w:val="000000"/>
          <w:sz w:val="24"/>
          <w:szCs w:val="24"/>
          <w:lang w:eastAsia="ru-RU"/>
        </w:rPr>
      </w:pP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 xml:space="preserve">Понятие и структура автоматизированной системы </w:t>
      </w:r>
      <w:proofErr w:type="gramStart"/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>кредитного</w:t>
      </w:r>
      <w:proofErr w:type="gramEnd"/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 xml:space="preserve"> </w:t>
      </w:r>
      <w:proofErr w:type="spellStart"/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>скоринга</w:t>
      </w:r>
      <w:proofErr w:type="spellEnd"/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Автоматизированная система оценки кредитоспособности (кредитного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скоринга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>) включает взаимосвязанные модули (элементы), обеспечивающие процесс принятия решения о предоставлении кредита заёмщику и обслуживание кредитного портфеля банка. Ключевые преимущества от внедрения подобных информационных систем в кредитной организации: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1. Увеличение числа и скорости обработки кредитных заявок.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2. Эффективная оценка и постоянный контроль уровня рисков заемщика.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3. Снижение влияния субъективных факторов при принятии решения о предоставлении кредита. Обеспечение объективности в оценке заявок во всех отделениях кредитной организации.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4. Оценка и управление риском портфеля кредитов банка в целом, включая его отделения. Учет, при определении параметров новых кредитов, уровня рентабельности и риска кредитного портфеля.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5. Реализация единого подхода при оценке заемщиков для различных типов кредитных продуктов банка (кредитные карты, потребительские кредиты,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автокредитование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>, ипотечные кредиты).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6. Адаптация параметров (условий) кредита под возможности заемщика (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кастомизация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кредитного продукта).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7. Сокращение численности банковского персонала, экономия за счет использования персонала более низкой квалификации.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Полный список и подробное описание подобных моделей представлено в работе [3].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Нейросетевая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модель «CRIS» оценивает вероятность мошенничества посредством анализа схемы авторизации и </w:t>
      </w:r>
      <w:r>
        <w:rPr>
          <w:rStyle w:val="a7"/>
          <w:rFonts w:ascii="Georgia" w:hAnsi="Georgia"/>
          <w:color w:val="111111"/>
          <w:sz w:val="27"/>
          <w:szCs w:val="27"/>
        </w:rPr>
        <w:lastRenderedPageBreak/>
        <w:t>характеристики расходов владельца кредитной карточки. Модель «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Experian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National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Risk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Model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>» основана на прошлых кредитных характеристиках и прогнозирует проблемное поведение заемщика в течение двадцати четырех месяцев. Система «HORIZON» включает одиннадцать моделей, построенных на основе характеристик заемщика, и определяет коэффициент потерь при банкротстве заемщика. Модель «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TransRisk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Auto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» определяет вероятность просрочки выплат по кредиту в течение двенадцати месяцев по кредитам на приобретение транспортного средства. </w:t>
      </w:r>
      <w:proofErr w:type="gramStart"/>
      <w:r>
        <w:rPr>
          <w:rStyle w:val="a7"/>
          <w:rFonts w:ascii="Georgia" w:hAnsi="Georgia"/>
          <w:color w:val="111111"/>
          <w:sz w:val="27"/>
          <w:szCs w:val="27"/>
        </w:rPr>
        <w:t xml:space="preserve">На основе обзора российских и западных систем подобного рода выделим типовую структуру автоматизированной системы кредитного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скоринга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>, представленную на рис. 1.</w:t>
      </w:r>
      <w:proofErr w:type="gramEnd"/>
    </w:p>
    <w:p w:rsidR="002E30F0" w:rsidRDefault="002E30F0" w:rsidP="002E30F0">
      <w:pPr>
        <w:pStyle w:val="HTML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noProof/>
          <w:color w:val="0066CC"/>
          <w:sz w:val="27"/>
          <w:szCs w:val="27"/>
        </w:rPr>
        <w:drawing>
          <wp:inline distT="0" distB="0" distL="0" distR="0">
            <wp:extent cx="4514850" cy="2586355"/>
            <wp:effectExtent l="19050" t="0" r="0" b="0"/>
            <wp:docPr id="14" name="Рисунок 14" descr="http://web.snauka.ru/wp-content/uploads/2011/09/1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1/09/1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F0" w:rsidRDefault="002E30F0" w:rsidP="002E30F0">
      <w:pPr>
        <w:pStyle w:val="HTML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 </w:t>
      </w:r>
    </w:p>
    <w:p w:rsidR="002E30F0" w:rsidRDefault="002E30F0" w:rsidP="002E30F0">
      <w:pPr>
        <w:pStyle w:val="HTML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 </w:t>
      </w:r>
    </w:p>
    <w:p w:rsidR="002E30F0" w:rsidRDefault="002E30F0" w:rsidP="002E30F0">
      <w:pPr>
        <w:pStyle w:val="HTML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 xml:space="preserve">Рис. 1. Структура автоматизированной системы </w:t>
      </w:r>
      <w:proofErr w:type="gramStart"/>
      <w:r>
        <w:rPr>
          <w:rFonts w:ascii="Georgia" w:hAnsi="Georgia"/>
          <w:color w:val="111111"/>
          <w:sz w:val="27"/>
          <w:szCs w:val="27"/>
        </w:rPr>
        <w:t>кредитного</w:t>
      </w:r>
      <w:proofErr w:type="gramEnd"/>
      <w:r>
        <w:rPr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111111"/>
          <w:sz w:val="27"/>
          <w:szCs w:val="27"/>
        </w:rPr>
        <w:t>скоринга</w:t>
      </w:r>
      <w:proofErr w:type="spellEnd"/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Модуль построения модели оценки кредитоспособности (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скоринговой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модели) является ядром, ключевым элементом системы кредитного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скоринга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. Остальные модули являются вспомогательными и обеспечивают процесс принятия решения о предоставлении кредита, используя результат модуля </w:t>
      </w:r>
      <w:r>
        <w:rPr>
          <w:rStyle w:val="a7"/>
          <w:rFonts w:ascii="Georgia" w:hAnsi="Georgia"/>
          <w:color w:val="111111"/>
          <w:sz w:val="27"/>
          <w:szCs w:val="27"/>
        </w:rPr>
        <w:noBreakHyphen/>
        <w:t xml:space="preserve"> модель, на основе которой оценивается кредитоспособность заемщика.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Модуль построения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скоринговой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модели – совокупность методов, подходов, хранилищ информации, используя которые сотрудники кредитной организации получают модель оценки кредитоспособности, на основе которой оценивается заёмщик. Главная задача данного модуля – построение модели оценки кредитоспособности, используя различные методы и подходы, имеющиеся в распоряжении сотрудников (аналитиков) кредитной организации, данные (кредитная история, знания экспертов, макроэкономические показатели региона и так далее), руководствуясь </w:t>
      </w:r>
      <w:r>
        <w:rPr>
          <w:rStyle w:val="a7"/>
          <w:rFonts w:ascii="Georgia" w:hAnsi="Georgia"/>
          <w:color w:val="111111"/>
          <w:sz w:val="27"/>
          <w:szCs w:val="27"/>
        </w:rPr>
        <w:lastRenderedPageBreak/>
        <w:t>при этом перечнем требований и ограничений. Результатом функционирования данного модуля является построенная модель оценки кредитоспособности.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Рассмотрим это понятие подробнее. В упрощенном виде подобная модель представляет собой взвешенную сумму (свёртку) значений определенных характеристик заемщика. В результате получается интегральный показатель (кредитный рейтинг). Чем он выше, тем ниже уровень кредитного риска. Формализовано модель оценки кредитоспособности (CSM –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Credit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Scoring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Model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>) в общем виде можно представить следующим образом:</w:t>
      </w:r>
    </w:p>
    <w:p w:rsidR="002E30F0" w:rsidRDefault="002E30F0" w:rsidP="002E30F0">
      <w:pPr>
        <w:pStyle w:val="a4"/>
        <w:shd w:val="clear" w:color="auto" w:fill="FFFFFF"/>
        <w:jc w:val="center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CSM = &lt; I</w:t>
      </w:r>
      <w:r>
        <w:rPr>
          <w:rStyle w:val="a7"/>
          <w:rFonts w:ascii="Georgia" w:hAnsi="Georgia"/>
          <w:color w:val="111111"/>
          <w:sz w:val="27"/>
          <w:szCs w:val="27"/>
          <w:vertAlign w:val="subscript"/>
        </w:rPr>
        <w:t>0</w:t>
      </w:r>
      <w:r>
        <w:rPr>
          <w:rStyle w:val="a7"/>
          <w:rFonts w:ascii="Georgia" w:hAnsi="Georgia"/>
          <w:color w:val="111111"/>
          <w:sz w:val="27"/>
          <w:szCs w:val="27"/>
        </w:rPr>
        <w:t> (G, L, Ф, А); К (I); Т &gt;,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где I</w:t>
      </w:r>
      <w:r>
        <w:rPr>
          <w:rStyle w:val="a7"/>
          <w:rFonts w:ascii="Georgia" w:hAnsi="Georgia"/>
          <w:color w:val="111111"/>
          <w:sz w:val="27"/>
          <w:szCs w:val="27"/>
          <w:vertAlign w:val="subscript"/>
        </w:rPr>
        <w:t>0 </w:t>
      </w:r>
      <w:r>
        <w:rPr>
          <w:rStyle w:val="a7"/>
          <w:rFonts w:ascii="Georgia" w:hAnsi="Georgia"/>
          <w:color w:val="111111"/>
          <w:sz w:val="27"/>
          <w:szCs w:val="27"/>
        </w:rPr>
        <w:t>– кредитный рейтинг, мера кредитоспособности заёмщика; G – набор факторов кредитоспособности заёмщика; L – набор оценок каждого фактора из набора G; Ф – набор весов, задающих значимость каждого фактора из набора G; А – метод расчёта I</w:t>
      </w:r>
      <w:r>
        <w:rPr>
          <w:rStyle w:val="a7"/>
          <w:rFonts w:ascii="Georgia" w:hAnsi="Georgia"/>
          <w:color w:val="111111"/>
          <w:sz w:val="27"/>
          <w:szCs w:val="27"/>
          <w:vertAlign w:val="subscript"/>
        </w:rPr>
        <w:t>0</w:t>
      </w:r>
      <w:r>
        <w:rPr>
          <w:rStyle w:val="a7"/>
          <w:rFonts w:ascii="Georgia" w:hAnsi="Georgia"/>
          <w:color w:val="111111"/>
          <w:sz w:val="27"/>
          <w:szCs w:val="27"/>
        </w:rPr>
        <w:t xml:space="preserve">; </w:t>
      </w:r>
      <w:proofErr w:type="gramStart"/>
      <w:r>
        <w:rPr>
          <w:rStyle w:val="a7"/>
          <w:rFonts w:ascii="Georgia" w:hAnsi="Georgia"/>
          <w:color w:val="111111"/>
          <w:sz w:val="27"/>
          <w:szCs w:val="27"/>
        </w:rPr>
        <w:t>К</w:t>
      </w:r>
      <w:proofErr w:type="gramEnd"/>
      <w:r>
        <w:rPr>
          <w:rStyle w:val="a7"/>
          <w:rFonts w:ascii="Georgia" w:hAnsi="Georgia"/>
          <w:color w:val="111111"/>
          <w:sz w:val="27"/>
          <w:szCs w:val="27"/>
        </w:rPr>
        <w:t xml:space="preserve"> – модель определения условий кредитования на базе I</w:t>
      </w:r>
      <w:r>
        <w:rPr>
          <w:rStyle w:val="a7"/>
          <w:rFonts w:ascii="Georgia" w:hAnsi="Georgia"/>
          <w:color w:val="111111"/>
          <w:sz w:val="27"/>
          <w:szCs w:val="27"/>
          <w:vertAlign w:val="subscript"/>
        </w:rPr>
        <w:t>0</w:t>
      </w:r>
      <w:r>
        <w:rPr>
          <w:rStyle w:val="a7"/>
          <w:rFonts w:ascii="Georgia" w:hAnsi="Georgia"/>
          <w:color w:val="111111"/>
          <w:sz w:val="27"/>
          <w:szCs w:val="27"/>
        </w:rPr>
        <w:t>; Т – налагаемые модельные ограничения.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 xml:space="preserve">Требования к автоматизированной системе кредитного </w:t>
      </w:r>
      <w:proofErr w:type="spellStart"/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>скоринга</w:t>
      </w:r>
      <w:proofErr w:type="spellEnd"/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В процессе принятия решения о предоставлении кредита заемщику, как правило, задействованы две группы специалистов: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эксперты</w:t>
      </w:r>
      <w:r>
        <w:rPr>
          <w:rStyle w:val="a7"/>
          <w:rFonts w:ascii="Georgia" w:hAnsi="Georgia"/>
          <w:color w:val="111111"/>
          <w:sz w:val="27"/>
          <w:szCs w:val="27"/>
        </w:rPr>
        <w:noBreakHyphen/>
        <w:t>аналитики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, которые определяют условия кредитования и корректируют модель оценки, и операторы, непосредственно работающие с моделью в отделениях банка. Каждая из этих групп выдвигает ряд требований к разрабатываемой модели. По мнению авторов, автоматизированная система </w:t>
      </w:r>
      <w:proofErr w:type="gramStart"/>
      <w:r>
        <w:rPr>
          <w:rStyle w:val="a7"/>
          <w:rFonts w:ascii="Georgia" w:hAnsi="Georgia"/>
          <w:color w:val="111111"/>
          <w:sz w:val="27"/>
          <w:szCs w:val="27"/>
        </w:rPr>
        <w:t>кредитного</w:t>
      </w:r>
      <w:proofErr w:type="gram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скоринга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должна отвечать нескольким требованиям: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1. Объективность. Модель должна выявлять объективные закономерности между различными факторами и минимизировать влияние субъективного человеческого фактора на принятие решений.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2. Автоматизация. Модель должна обеспечить возможность обрабатывать большие потоки кредитных заявок в режиме реального времени. Этого можно добиться путем создания программного инструмента.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3. Точность. Модель должна обеспечить приемлемый уровень предикативной мощности (точности), другими словами, приемлемый уровень неправильно классифицированных заемщиков.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4. 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Адаптируемость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. Модель должна учитывать изменения во внешней и внутренней среде кредитной организации, в том числе учитывать </w:t>
      </w:r>
      <w:r>
        <w:rPr>
          <w:rStyle w:val="a7"/>
          <w:rFonts w:ascii="Georgia" w:hAnsi="Georgia"/>
          <w:color w:val="111111"/>
          <w:sz w:val="27"/>
          <w:szCs w:val="27"/>
        </w:rPr>
        <w:lastRenderedPageBreak/>
        <w:t>нормативные акты надзорных органов. Это позволяет принимать более обоснованные и точные кредитные решения.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5. Гибкость. Гибкость модели </w:t>
      </w:r>
      <w:r>
        <w:rPr>
          <w:rStyle w:val="a7"/>
          <w:rFonts w:ascii="Georgia" w:hAnsi="Georgia"/>
          <w:color w:val="111111"/>
          <w:sz w:val="27"/>
          <w:szCs w:val="27"/>
        </w:rPr>
        <w:noBreakHyphen/>
        <w:t xml:space="preserve"> возможность внесения корректировок в модель, например, изменение весов факторов, добавление новых факторов, изменение параметров модели. Модель не должна при этом требовать привлечения квалифицированных экспертов для ее адаптации под новую структуру данных.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6. Объяснимость. Важная характеристика модели — возможность объяснить, почему данный заемщик получил определенный кредитный рейтинг. Некоторые методики не позволяют объяснить, почему данному заемщику следует отказать в кредите. Модель с высоким уровнем объяснимости принятого решения ведет к удобной интерпретации полученных результатов, их наглядности.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7. Сложность. Сложность модели целесообразно определять количеством переменных и характером их взаимосвязей; затратами (временными и стоимостными) на создание модели; сложностью подхода к синтезу модели. Переменных в модели должно быть не слишком много и в то же время достаточно для точной оценки заемщика. При этом модель должна содержать значимые переменные и обеспечивать минимум дополнительных квалификационных требований к кредитному менеджеру для работы с моделью.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 xml:space="preserve">Проблемы внедрения автоматизированной системы кредитного </w:t>
      </w:r>
      <w:proofErr w:type="spellStart"/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>скоринга</w:t>
      </w:r>
      <w:proofErr w:type="spellEnd"/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Можно выделить два основных подхода к решению проблемы внедрения [3]: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1. Приобрести типовую модель. Ключевыми преимуществами подхода являются: относительно незначительные затраты на внедрение; наличие опыта использования модели, что создаёт возможность оценить эффективность модели. Главный недостаток </w:t>
      </w:r>
      <w:r>
        <w:rPr>
          <w:rStyle w:val="a7"/>
          <w:rFonts w:ascii="Georgia" w:hAnsi="Georgia"/>
          <w:color w:val="111111"/>
          <w:sz w:val="27"/>
          <w:szCs w:val="27"/>
        </w:rPr>
        <w:noBreakHyphen/>
        <w:t xml:space="preserve"> отсутствие гибкости и возможностей для развития модели, невозможность корректировать и актуализировать модель без помощи разработчиков. В силу того, что в зарубежных кредитных организациях использование моделей оценки кредитоспособности заемщиков имеет историю, логично предположить, что их можно применять в российских условиях как типовые, не создавая собственных инструментов принятия решений. По мнению авторов, использование зарубежных типовых моделей в российских условиях затруднено, поскольку есть особенности, связанные с нестабильностью экономики страны в целом, большой долей теневых доходов, вариабельностью регионов по условиям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социально</w:t>
      </w:r>
      <w:r>
        <w:rPr>
          <w:rStyle w:val="a7"/>
          <w:rFonts w:ascii="Georgia" w:hAnsi="Georgia"/>
          <w:color w:val="111111"/>
          <w:sz w:val="27"/>
          <w:szCs w:val="27"/>
        </w:rPr>
        <w:noBreakHyphen/>
        <w:t>экономического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развития, спецификой законодательной базы, что оказывает влияние на организацию процедуры оценки </w:t>
      </w:r>
      <w:r>
        <w:rPr>
          <w:rStyle w:val="a7"/>
          <w:rFonts w:ascii="Georgia" w:hAnsi="Georgia"/>
          <w:color w:val="111111"/>
          <w:sz w:val="27"/>
          <w:szCs w:val="27"/>
        </w:rPr>
        <w:lastRenderedPageBreak/>
        <w:t>кредитоспособности заемщиков. Модель должна соответствовать определенной стране, ее экономическим и финансовым условиям, особенностям конкретной кредитной организации.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2. Разработать модель силами собственных или сторонних аналитиков. Результатом подхода, в терминах работы [3], станет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индивидуально</w:t>
      </w:r>
      <w:r>
        <w:rPr>
          <w:rStyle w:val="a7"/>
          <w:rFonts w:ascii="Georgia" w:hAnsi="Georgia"/>
          <w:color w:val="111111"/>
          <w:sz w:val="27"/>
          <w:szCs w:val="27"/>
        </w:rPr>
        <w:noBreakHyphen/>
        <w:t>адаптированная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модель оценки кредитоспособности. Ключевые преимущества подхода </w:t>
      </w:r>
      <w:r>
        <w:rPr>
          <w:rStyle w:val="a7"/>
          <w:rFonts w:ascii="Georgia" w:hAnsi="Georgia"/>
          <w:color w:val="111111"/>
          <w:sz w:val="27"/>
          <w:szCs w:val="27"/>
        </w:rPr>
        <w:noBreakHyphen/>
        <w:t xml:space="preserve"> учёт специфики кредитной организации и возможность развития модели. Главные недостатки – относительно ресурсоемкий подход и потребность в квалифицированных специалистах.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 xml:space="preserve">Пример использования автоматизированной системы кредитного </w:t>
      </w:r>
      <w:proofErr w:type="spellStart"/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>скоринга</w:t>
      </w:r>
      <w:proofErr w:type="spellEnd"/>
      <w:r>
        <w:rPr>
          <w:rStyle w:val="a6"/>
          <w:rFonts w:ascii="Georgia" w:hAnsi="Georgia"/>
          <w:i/>
          <w:iCs/>
          <w:color w:val="111111"/>
          <w:sz w:val="27"/>
          <w:szCs w:val="27"/>
        </w:rPr>
        <w:t xml:space="preserve"> на основе нечеткого логического вывода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В работе [1] авторы предложили модель оценки кредитного рейтинга заемщика и модель определения условий кредитования на базе данного рейтинга. Основа предложенных моделей – теория нечетких множеств.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Внедрению и эксплуатации разработанной модели оценки кредитоспособности физических лиц в кредитной организации предшествуют создание организационного обеспечения модели. В рамках создания организационного обеспечения модели необходимо определить последовательность этапов эксплуатации модели; перечень принимаемых решений; необходимую информацию и результат на каждом этапе; лиц, ответственных за принятие решения. Эксплуатация модели в кредитном отделе может быть разделена на три этапа: сбор информации о заёмщике, оценка заемщика, принятие решения о кредитовании.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На рис. 2 представлена блок-схема предварительной оценки заемщика (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прескоринга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>). Предварительная оценка необходима, поскольку требуется учесть необходимые условия предоставления кредита. На практике к таким условиям можно отнести степень адекватности поведения заемщика, проверка подлинности документов, отсутствие негативной кредитной истории, соответствие заемщика кредитной политике организации. На рис. 3 представлена последовательность принятия решения на основе модели. Модель является обучаемой, записанные данные о характеристиках заемщика используются для уточнения параметров функций принадлежности нечетко – множественных классификаторов. Формируются два значения кредитного рейтинга – количественное и качественное.</w:t>
      </w:r>
    </w:p>
    <w:p w:rsidR="002E30F0" w:rsidRDefault="002E30F0" w:rsidP="002E30F0">
      <w:pPr>
        <w:pStyle w:val="a4"/>
        <w:shd w:val="clear" w:color="auto" w:fill="FFFFFF"/>
        <w:jc w:val="center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i/>
          <w:iCs/>
          <w:noProof/>
          <w:color w:val="0066CC"/>
          <w:sz w:val="27"/>
          <w:szCs w:val="27"/>
        </w:rPr>
        <w:lastRenderedPageBreak/>
        <w:drawing>
          <wp:inline distT="0" distB="0" distL="0" distR="0">
            <wp:extent cx="4921885" cy="6864985"/>
            <wp:effectExtent l="19050" t="0" r="0" b="0"/>
            <wp:docPr id="15" name="Рисунок 15" descr="http://web.snauka.ru/wp-content/uploads/2011/09/2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1/09/2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686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F0" w:rsidRDefault="002E30F0" w:rsidP="002E30F0">
      <w:pPr>
        <w:pStyle w:val="a4"/>
        <w:shd w:val="clear" w:color="auto" w:fill="FFFFFF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Рис. 2. Последовательность предварительной оценки заемщика</w:t>
      </w:r>
    </w:p>
    <w:p w:rsidR="002E30F0" w:rsidRDefault="002E30F0" w:rsidP="002E30F0">
      <w:pPr>
        <w:pStyle w:val="a4"/>
        <w:shd w:val="clear" w:color="auto" w:fill="FFFFFF"/>
        <w:jc w:val="center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noProof/>
          <w:color w:val="0066CC"/>
          <w:sz w:val="27"/>
          <w:szCs w:val="27"/>
        </w:rPr>
        <w:lastRenderedPageBreak/>
        <w:drawing>
          <wp:inline distT="0" distB="0" distL="0" distR="0">
            <wp:extent cx="4679315" cy="6886575"/>
            <wp:effectExtent l="19050" t="0" r="6985" b="0"/>
            <wp:docPr id="16" name="Рисунок 16" descr="http://web.snauka.ru/wp-content/uploads/2011/09/3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.snauka.ru/wp-content/uploads/2011/09/3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F0" w:rsidRDefault="002E30F0" w:rsidP="002E30F0">
      <w:pPr>
        <w:pStyle w:val="a4"/>
        <w:shd w:val="clear" w:color="auto" w:fill="FFFFFF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Рис. 3. Последовательность принятия решения о кредитовании на основе модели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Информационное обеспечение рассмотрим с точки зрения необходимой информации для принятия решения о кредитовании, источников её получения и модели потоков данных. Основным источником получения информации является анкета-заявка, заполняемая заемщиком и содержащая значения его характеристик. Информация, содержащаяся в анкете-заявке, подтверждается соответствующими документами, перечень которых устанавливается кредитной организацией в соответствии с кредитной политикой. Решение о кредитовании </w:t>
      </w:r>
      <w:r>
        <w:rPr>
          <w:rStyle w:val="a7"/>
          <w:rFonts w:ascii="Georgia" w:hAnsi="Georgia"/>
          <w:color w:val="111111"/>
          <w:sz w:val="27"/>
          <w:szCs w:val="27"/>
        </w:rPr>
        <w:lastRenderedPageBreak/>
        <w:t>может основываться только на анкете-заявке без подтверждения информации соответствующими документами, что может привести к ошибочным решениям из-за недостоверности представленной информации. Увеличение числа предоставляемых документов приводит к увеличению трудоемкости обработки кредитного обращения и повышению уровня достоверности содержащейся в анкете-заявке информации.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На рис 4. представлена диаграмма, выполненная в нотации DFD и отражающая потоки информации, возникающие в процессе оценки кредитоспособности заемщика на основе предложенной модели</w:t>
      </w:r>
    </w:p>
    <w:p w:rsidR="002E30F0" w:rsidRDefault="002E30F0" w:rsidP="002E30F0">
      <w:pPr>
        <w:pStyle w:val="a4"/>
        <w:shd w:val="clear" w:color="auto" w:fill="FFFFFF"/>
        <w:jc w:val="both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noProof/>
          <w:color w:val="0066CC"/>
          <w:sz w:val="27"/>
          <w:szCs w:val="27"/>
        </w:rPr>
        <w:drawing>
          <wp:inline distT="0" distB="0" distL="0" distR="0">
            <wp:extent cx="6193790" cy="4200525"/>
            <wp:effectExtent l="19050" t="0" r="0" b="0"/>
            <wp:docPr id="17" name="Рисунок 17" descr="http://web.snauka.ru/wp-content/uploads/2011/09/4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eb.snauka.ru/wp-content/uploads/2011/09/4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F0" w:rsidRDefault="002E30F0" w:rsidP="002E30F0">
      <w:pPr>
        <w:pStyle w:val="a4"/>
        <w:shd w:val="clear" w:color="auto" w:fill="FFFFFF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>Рис. 4. Диаграмма потоков информации в процессе оценки кредитоспособности заемщика</w:t>
      </w:r>
    </w:p>
    <w:tbl>
      <w:tblPr>
        <w:tblW w:w="80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67"/>
        <w:gridCol w:w="268"/>
        <w:gridCol w:w="268"/>
      </w:tblGrid>
      <w:tr w:rsidR="002E30F0" w:rsidTr="002F1058">
        <w:trPr>
          <w:tblCellSpacing w:w="0" w:type="dxa"/>
        </w:trPr>
        <w:tc>
          <w:tcPr>
            <w:tcW w:w="0" w:type="auto"/>
            <w:vAlign w:val="center"/>
            <w:hideMark/>
          </w:tcPr>
          <w:p w:rsidR="002E30F0" w:rsidRDefault="002E30F0">
            <w:pPr>
              <w:rPr>
                <w:rFonts w:ascii="Arial" w:hAnsi="Arial" w:cs="Arial"/>
                <w:spacing w:val="1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30F0" w:rsidRDefault="002E30F0">
            <w:pPr>
              <w:rPr>
                <w:rFonts w:ascii="Arial" w:hAnsi="Arial" w:cs="Arial"/>
                <w:spacing w:val="1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2E30F0" w:rsidRDefault="002E30F0">
            <w:pPr>
              <w:rPr>
                <w:rFonts w:ascii="Arial" w:hAnsi="Arial" w:cs="Arial"/>
                <w:spacing w:val="1"/>
                <w:sz w:val="14"/>
                <w:szCs w:val="14"/>
              </w:rPr>
            </w:pPr>
          </w:p>
        </w:tc>
      </w:tr>
    </w:tbl>
    <w:p w:rsidR="002E30F0" w:rsidRDefault="002E30F0" w:rsidP="002E30F0">
      <w:pPr>
        <w:shd w:val="clear" w:color="auto" w:fill="FFFFFF"/>
        <w:spacing w:line="240" w:lineRule="auto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 </w:t>
      </w:r>
    </w:p>
    <w:p w:rsidR="002E30F0" w:rsidRDefault="002E30F0" w:rsidP="002E30F0">
      <w:pPr>
        <w:shd w:val="clear" w:color="auto" w:fill="FFFFFF"/>
        <w:spacing w:line="6" w:lineRule="atLeast"/>
        <w:textAlignment w:val="top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noProof/>
          <w:color w:val="0066CC"/>
          <w:sz w:val="27"/>
          <w:szCs w:val="27"/>
          <w:lang w:eastAsia="ru-RU"/>
        </w:rPr>
        <w:drawing>
          <wp:inline distT="0" distB="0" distL="0" distR="0">
            <wp:extent cx="685800" cy="200025"/>
            <wp:effectExtent l="19050" t="0" r="0" b="0"/>
            <wp:docPr id="20" name="Рисунок 20" descr="http://web.snauka.ru/wp-content/plugins/share-buttons/images/social/original_count/yandex.png">
              <a:hlinkClick xmlns:a="http://schemas.openxmlformats.org/drawingml/2006/main" r:id="rId27" tgtFrame="&quot;_blank&quot;" tooltip="&quot;Опубликовать в Яндек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eb.snauka.ru/wp-content/plugins/share-buttons/images/social/original_count/yandex.png">
                      <a:hlinkClick r:id="rId27" tgtFrame="&quot;_blank&quot;" tooltip="&quot;Опубликовать в Яндек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F0" w:rsidRDefault="002E30F0" w:rsidP="002E30F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111111"/>
          <w:sz w:val="27"/>
          <w:szCs w:val="27"/>
        </w:rPr>
        <w:br/>
      </w:r>
      <w:r>
        <w:rPr>
          <w:rFonts w:ascii="Georgia" w:hAnsi="Georgia"/>
          <w:b/>
          <w:bCs/>
          <w:color w:val="111111"/>
          <w:sz w:val="27"/>
          <w:szCs w:val="27"/>
          <w:shd w:val="clear" w:color="auto" w:fill="FFFFFF"/>
        </w:rPr>
        <w:t>Библиографический список</w:t>
      </w:r>
      <w:r>
        <w:rPr>
          <w:rFonts w:ascii="Georgia" w:hAnsi="Georgia"/>
          <w:color w:val="111111"/>
          <w:sz w:val="27"/>
          <w:szCs w:val="27"/>
        </w:rPr>
        <w:br/>
      </w:r>
    </w:p>
    <w:p w:rsidR="002E30F0" w:rsidRDefault="002E30F0" w:rsidP="002E30F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lastRenderedPageBreak/>
        <w:t>Дуболазов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В. А., Лукашевич Н. С. Нечетко – множественный подход к оценке кредитоспособности физических лиц // Финансы и кредит. 2009. № 13(349). С. 35 – 45.</w:t>
      </w:r>
    </w:p>
    <w:p w:rsidR="002E30F0" w:rsidRDefault="002E30F0" w:rsidP="002E30F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Дуболазов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В. А., Павлов Н. В. Принятие управленческих решений в маркетинге с помощью компьютерных средств. СПб.: Изд-во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Политехн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. ун-та, 2005. 210 </w:t>
      </w:r>
      <w:proofErr w:type="gramStart"/>
      <w:r>
        <w:rPr>
          <w:rStyle w:val="a7"/>
          <w:rFonts w:ascii="Georgia" w:hAnsi="Georgia"/>
          <w:color w:val="111111"/>
          <w:sz w:val="27"/>
          <w:szCs w:val="27"/>
        </w:rPr>
        <w:t>с</w:t>
      </w:r>
      <w:proofErr w:type="gramEnd"/>
      <w:r>
        <w:rPr>
          <w:rStyle w:val="a7"/>
          <w:rFonts w:ascii="Georgia" w:hAnsi="Georgia"/>
          <w:color w:val="111111"/>
          <w:sz w:val="27"/>
          <w:szCs w:val="27"/>
        </w:rPr>
        <w:t>.</w:t>
      </w:r>
    </w:p>
    <w:p w:rsidR="002E30F0" w:rsidRDefault="002E30F0" w:rsidP="002E30F0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Georgia" w:hAnsi="Georgia"/>
          <w:color w:val="111111"/>
          <w:sz w:val="27"/>
          <w:szCs w:val="27"/>
        </w:rPr>
      </w:pPr>
      <w:r>
        <w:rPr>
          <w:rStyle w:val="a7"/>
          <w:rFonts w:ascii="Georgia" w:hAnsi="Georgia"/>
          <w:color w:val="111111"/>
          <w:sz w:val="27"/>
          <w:szCs w:val="27"/>
        </w:rPr>
        <w:t xml:space="preserve">Руководство по </w:t>
      </w:r>
      <w:proofErr w:type="gramStart"/>
      <w:r>
        <w:rPr>
          <w:rStyle w:val="a7"/>
          <w:rFonts w:ascii="Georgia" w:hAnsi="Georgia"/>
          <w:color w:val="111111"/>
          <w:sz w:val="27"/>
          <w:szCs w:val="27"/>
        </w:rPr>
        <w:t>кредитному</w:t>
      </w:r>
      <w:proofErr w:type="gram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скорингу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/ Элизабет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Мэйз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. Минск: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Гревцов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 xml:space="preserve"> </w:t>
      </w:r>
      <w:proofErr w:type="spellStart"/>
      <w:r>
        <w:rPr>
          <w:rStyle w:val="a7"/>
          <w:rFonts w:ascii="Georgia" w:hAnsi="Georgia"/>
          <w:color w:val="111111"/>
          <w:sz w:val="27"/>
          <w:szCs w:val="27"/>
        </w:rPr>
        <w:t>Паблишер</w:t>
      </w:r>
      <w:proofErr w:type="spellEnd"/>
      <w:r>
        <w:rPr>
          <w:rStyle w:val="a7"/>
          <w:rFonts w:ascii="Georgia" w:hAnsi="Georgia"/>
          <w:color w:val="111111"/>
          <w:sz w:val="27"/>
          <w:szCs w:val="27"/>
        </w:rPr>
        <w:t>, 2008. 464 с.</w:t>
      </w:r>
    </w:p>
    <w:p w:rsidR="005A0A0A" w:rsidRPr="005A0A0A" w:rsidRDefault="005A0A0A" w:rsidP="005A0A0A">
      <w:pPr>
        <w:pStyle w:val="a3"/>
      </w:pPr>
    </w:p>
    <w:sectPr w:rsidR="005A0A0A" w:rsidRPr="005A0A0A" w:rsidSect="00AC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tham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423E"/>
    <w:multiLevelType w:val="multilevel"/>
    <w:tmpl w:val="12D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0402B"/>
    <w:multiLevelType w:val="multilevel"/>
    <w:tmpl w:val="571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777B9"/>
    <w:multiLevelType w:val="multilevel"/>
    <w:tmpl w:val="778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80F72"/>
    <w:multiLevelType w:val="multilevel"/>
    <w:tmpl w:val="968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71829"/>
    <w:multiLevelType w:val="multilevel"/>
    <w:tmpl w:val="3382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BE6C83"/>
    <w:multiLevelType w:val="multilevel"/>
    <w:tmpl w:val="6AE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E3A28"/>
    <w:multiLevelType w:val="multilevel"/>
    <w:tmpl w:val="843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7515A"/>
    <w:multiLevelType w:val="multilevel"/>
    <w:tmpl w:val="681A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824AA"/>
    <w:multiLevelType w:val="multilevel"/>
    <w:tmpl w:val="8F7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8557BF"/>
    <w:multiLevelType w:val="multilevel"/>
    <w:tmpl w:val="0C42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D4298D"/>
    <w:multiLevelType w:val="multilevel"/>
    <w:tmpl w:val="63E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DA0FF6"/>
    <w:multiLevelType w:val="multilevel"/>
    <w:tmpl w:val="FAFC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235C1C"/>
    <w:multiLevelType w:val="multilevel"/>
    <w:tmpl w:val="DFC4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A421D"/>
    <w:rsid w:val="00143245"/>
    <w:rsid w:val="002E30F0"/>
    <w:rsid w:val="002F1058"/>
    <w:rsid w:val="005A0A0A"/>
    <w:rsid w:val="006D6BAD"/>
    <w:rsid w:val="0076210B"/>
    <w:rsid w:val="00AC3483"/>
    <w:rsid w:val="00BB7881"/>
    <w:rsid w:val="00DA421D"/>
    <w:rsid w:val="00DA6EA7"/>
    <w:rsid w:val="00F4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483"/>
  </w:style>
  <w:style w:type="paragraph" w:styleId="2">
    <w:name w:val="heading 2"/>
    <w:basedOn w:val="a"/>
    <w:link w:val="20"/>
    <w:uiPriority w:val="9"/>
    <w:qFormat/>
    <w:rsid w:val="006D6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A0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5A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6210B"/>
    <w:rPr>
      <w:color w:val="0000FF"/>
      <w:u w:val="single"/>
    </w:rPr>
  </w:style>
  <w:style w:type="character" w:styleId="a6">
    <w:name w:val="Strong"/>
    <w:basedOn w:val="a0"/>
    <w:uiPriority w:val="22"/>
    <w:qFormat/>
    <w:rsid w:val="00DA6EA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D6B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3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2E30F0"/>
    <w:rPr>
      <w:i/>
      <w:iCs/>
    </w:rPr>
  </w:style>
  <w:style w:type="paragraph" w:styleId="HTML">
    <w:name w:val="HTML Address"/>
    <w:basedOn w:val="a"/>
    <w:link w:val="HTML0"/>
    <w:uiPriority w:val="99"/>
    <w:semiHidden/>
    <w:unhideWhenUsed/>
    <w:rsid w:val="002E30F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2E30F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E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955">
          <w:marLeft w:val="0"/>
          <w:marRight w:val="0"/>
          <w:marTop w:val="338"/>
          <w:marBottom w:val="338"/>
          <w:divBdr>
            <w:top w:val="single" w:sz="4" w:space="11" w:color="auto"/>
            <w:left w:val="none" w:sz="0" w:space="0" w:color="auto"/>
            <w:bottom w:val="single" w:sz="4" w:space="11" w:color="auto"/>
            <w:right w:val="none" w:sz="0" w:space="0" w:color="auto"/>
          </w:divBdr>
          <w:divsChild>
            <w:div w:id="164899243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040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rista.ru/analytics/obzor-resheniy-avtomatizirovannogo-skoringa-i-anderraytinga-zaemshchikov" TargetMode="External"/><Relationship Id="rId13" Type="http://schemas.openxmlformats.org/officeDocument/2006/relationships/hyperlink" Target="https://scorista.ru/analytics/obzor-resheniy-avtomatizirovannogo-skoringa-i-anderraytinga-zaemshchikov" TargetMode="External"/><Relationship Id="rId18" Type="http://schemas.openxmlformats.org/officeDocument/2006/relationships/hyperlink" Target="https://scorista.ru/analytics/model-otsenki-plategesposobnosti-zaemshchikov-mfo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://web.snauka.ru/wp-content/uploads/2011/09/2.jpg" TargetMode="External"/><Relationship Id="rId7" Type="http://schemas.openxmlformats.org/officeDocument/2006/relationships/hyperlink" Target="https://scorista.ru/analitika/moduli-dlya-avtomatizatsii-biznesa-mfo" TargetMode="External"/><Relationship Id="rId12" Type="http://schemas.openxmlformats.org/officeDocument/2006/relationships/hyperlink" Target="https://scorista.ru/analytics/obzor-resheniy-avtomatizirovannogo-skoringa-i-anderraytinga-zaemshchikov" TargetMode="External"/><Relationship Id="rId17" Type="http://schemas.openxmlformats.org/officeDocument/2006/relationships/hyperlink" Target="http://www.gks.ru/" TargetMode="External"/><Relationship Id="rId25" Type="http://schemas.openxmlformats.org/officeDocument/2006/relationships/hyperlink" Target="http://web.snauka.ru/wp-content/uploads/2011/09/4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orista.ru/analytics/obzor-resheniy-avtomatizirovannogo-skoringa-i-anderraytinga-zaemshchikov" TargetMode="External"/><Relationship Id="rId20" Type="http://schemas.openxmlformats.org/officeDocument/2006/relationships/image" Target="media/image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orista.ru/analytics/obzor-resheniy-avtomatizirovannogo-skoringa-i-anderraytinga-zaemshchikov" TargetMode="External"/><Relationship Id="rId11" Type="http://schemas.openxmlformats.org/officeDocument/2006/relationships/hyperlink" Target="https://scorista.ru/analytics/obzor-resheniy-avtomatizirovannogo-skoringa-i-anderraytinga-zaemshchikov" TargetMode="External"/><Relationship Id="rId24" Type="http://schemas.openxmlformats.org/officeDocument/2006/relationships/image" Target="media/image3.jpeg"/><Relationship Id="rId5" Type="http://schemas.openxmlformats.org/officeDocument/2006/relationships/hyperlink" Target="https://scorista.ru/analitika/semanticheskiy-analiz-sotsialnih-setey" TargetMode="External"/><Relationship Id="rId15" Type="http://schemas.openxmlformats.org/officeDocument/2006/relationships/hyperlink" Target="https://scorista.ru/analytics/obzor-resheniy-avtomatizirovannogo-skoringa-i-anderraytinga-zaemshchikov" TargetMode="External"/><Relationship Id="rId23" Type="http://schemas.openxmlformats.org/officeDocument/2006/relationships/hyperlink" Target="http://web.snauka.ru/wp-content/uploads/2011/09/3.jpg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scorista.ru/analytics/obzor-resheniy-avtomatizirovannogo-skoringa-i-anderraytinga-zaemshchikov" TargetMode="External"/><Relationship Id="rId19" Type="http://schemas.openxmlformats.org/officeDocument/2006/relationships/hyperlink" Target="http://web.snauka.ru/wp-content/uploads/2011/09/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rista.ru/analytics/obzor-resheniy-avtomatizirovannogo-skoringa-i-anderraytinga-zaemshchikov" TargetMode="External"/><Relationship Id="rId14" Type="http://schemas.openxmlformats.org/officeDocument/2006/relationships/hyperlink" Target="https://scorista.ru/analytics/obzor-resheniy-avtomatizirovannogo-skoringa-i-anderraytinga-zaemshchikov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share.yandex.ru/go.xml?service=yaru&amp;url=http://web.snauka.ru/issues/2011/09/2262&amp;title=%D0%A3%D0%BF%D1%80%D0%B0%D0%B2%D0%BB%D0%B5%D0%BD%D0%B8%D0%B5%20%D0%BA%D1%80%D0%B5%D0%B4%D0%B8%D1%82%D0%BD%D1%8B%D0%BC%D0%B8%20%D0%B7%D0%B0%D1%8F%D0%B2%D0%BA%D0%B0%D0%BC%D0%B8%20%D0%BD%D0%B0%20%D0%BE%D1%81%D0%BD%D0%BE%D0%B2%D0%B5%20%D0%B0%D0%B2%D1%82%D0%BE%D0%BC%D0%B0%D1%82%D0%B8%D0%B7%D0%B8%D1%80%D0%BE%D0%B2%D0%B0%D0%BD%D0%BD%D0%BE%D0%B9%20%D1%81%D0%B8%D1%81%D1%82%D0%B5%D0%BC%D1%8B%20%D0%BA%D1%80%D0%B5%D0%B4%D0%B8%D1%82%D0%BD%D0%BE%D0%B3%D0%BE%20%D1%81%D0%BA%D0%BE%D1%80%D0%B8%D0%BD%D0%B3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4710</Words>
  <Characters>26851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</cp:revision>
  <dcterms:created xsi:type="dcterms:W3CDTF">2019-11-23T14:37:00Z</dcterms:created>
  <dcterms:modified xsi:type="dcterms:W3CDTF">2019-11-23T16:17:00Z</dcterms:modified>
</cp:coreProperties>
</file>