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Cs w:val="24"/>
          <w:lang w:eastAsia="ru-RU"/>
        </w:rPr>
        <w:t>Томская область</w:t>
      </w:r>
    </w:p>
    <w:p>
      <w:pPr>
        <w:pStyle w:val="style0"/>
      </w:pPr>
      <w:r>
        <w:rPr>
          <w:szCs w:val="24"/>
          <w:lang w:eastAsia="ru-RU"/>
        </w:rPr>
        <w:t>индустрия</w:t>
      </w:r>
    </w:p>
    <w:p>
      <w:pPr>
        <w:pStyle w:val="style0"/>
      </w:pPr>
      <w:r>
        <w:rPr>
          <w:szCs w:val="24"/>
          <w:lang w:eastAsia="ru-RU"/>
        </w:rPr>
        <w:t>Лента</w:t>
      </w:r>
    </w:p>
    <w:p>
      <w:pPr>
        <w:pStyle w:val="style0"/>
      </w:pPr>
      <w:r>
        <w:rPr>
          <w:szCs w:val="24"/>
          <w:lang w:eastAsia="ru-RU"/>
        </w:rPr>
        <w:t>Тема дня</w:t>
      </w:r>
    </w:p>
    <w:p>
      <w:pPr>
        <w:pStyle w:val="style0"/>
      </w:pPr>
      <w:r>
        <w:rPr>
          <w:szCs w:val="24"/>
          <w:lang w:eastAsia="ru-RU"/>
        </w:rPr>
      </w:r>
    </w:p>
    <w:p>
      <w:pPr>
        <w:pStyle w:val="style0"/>
      </w:pPr>
      <w:r>
        <w:rPr>
          <w:i/>
          <w:shd w:fill="FFFF00"/>
          <w:szCs w:val="24"/>
          <w:iCs/>
          <w:lang w:eastAsia="ru-RU"/>
        </w:rPr>
        <w:t>Объем инвестиций в реализацию этих проектов составит около 500 млн рублей</w:t>
      </w:r>
    </w:p>
    <w:p>
      <w:pPr>
        <w:pStyle w:val="style0"/>
      </w:pPr>
      <w:hyperlink r:id="rId2">
        <w:r>
          <w:rPr>
            <w:i/>
            <w:shd w:fill="FFFF00"/>
            <w:szCs w:val="24"/>
            <w:iCs/>
            <w:rStyle w:val="style16"/>
            <w:lang w:eastAsia="ru-RU"/>
          </w:rPr>
          <w:t>http://pioss.net/uploads/images/d/2/0/d/148/10c3dc9786.jpg</w:t>
        </w:r>
      </w:hyperlink>
    </w:p>
    <w:p>
      <w:pPr>
        <w:pStyle w:val="style0"/>
      </w:pPr>
      <w:r>
        <w:rPr>
          <w:i/>
          <w:shd w:fill="FFFF00"/>
          <w:szCs w:val="24"/>
          <w:iCs/>
          <w:lang w:eastAsia="ru-RU"/>
        </w:rPr>
      </w:r>
    </w:p>
    <w:p>
      <w:pPr>
        <w:pStyle w:val="style0"/>
      </w:pPr>
      <w:r>
        <w:rPr>
          <w:i/>
          <w:shd w:fill="FFFF00"/>
          <w:szCs w:val="24"/>
          <w:iCs/>
          <w:lang w:eastAsia="ru-RU"/>
        </w:rPr>
        <w:t>второй фоткой — грант!!!</w:t>
      </w:r>
    </w:p>
    <w:p>
      <w:pPr>
        <w:pStyle w:val="style0"/>
      </w:pPr>
      <w:r>
        <w:rPr>
          <w:szCs w:val="24"/>
          <w:lang w:eastAsia="ru-RU"/>
        </w:rPr>
      </w:r>
    </w:p>
    <w:p>
      <w:pPr>
        <w:pStyle w:val="style0"/>
      </w:pPr>
      <w:r>
        <w:rPr>
          <w:b/>
          <w:szCs w:val="24"/>
          <w:bCs/>
          <w:lang w:eastAsia="ru-RU"/>
        </w:rPr>
        <w:t>Пять инновационных компаний получили статус резидента томской ОЭЗ</w:t>
      </w:r>
    </w:p>
    <w:p>
      <w:pPr>
        <w:pStyle w:val="style0"/>
      </w:pPr>
      <w:r>
        <w:rPr>
          <w:szCs w:val="24"/>
          <w:lang w:eastAsia="ru-RU"/>
        </w:rPr>
      </w:r>
    </w:p>
    <w:p>
      <w:pPr>
        <w:pStyle w:val="style0"/>
      </w:pPr>
      <w:r>
        <w:rPr>
          <w:szCs w:val="24"/>
          <w:lang w:eastAsia="ru-RU"/>
        </w:rPr>
        <w:t>Экспертный совет по технико-внедренческим особым экономическим зонам присвоил статус резидента ОЭЗ «Томск» инновационным компаниям «Руслед», «Синтегал», «Сольвейг Мультимедиа», «Томские клеточные технологии», а также НИИ «Проект», которые намерены инвестировать в развитие проектов на территории ОЭЗ около 500 млн рублей. Как сообщили «ФедералПресс» в пресс-службе администрации Томской области, планируется, что на территории ОЭЗ компаниями будет создано более 400 новых рабочих мест.</w:t>
      </w:r>
    </w:p>
    <w:p>
      <w:pPr>
        <w:pStyle w:val="style0"/>
      </w:pPr>
      <w:r>
        <w:rPr>
          <w:szCs w:val="24"/>
          <w:lang w:eastAsia="ru-RU"/>
        </w:rPr>
      </w:r>
    </w:p>
    <w:p>
      <w:pPr>
        <w:pStyle w:val="style0"/>
      </w:pPr>
      <w:r>
        <w:rPr>
          <w:szCs w:val="24"/>
          <w:lang w:eastAsia="ru-RU"/>
        </w:rPr>
        <w:t>«В ближайшее время с компаниями будет заключено соглашение о ведении технико-внедренческой деятельности на территории особой экономической зоны в Томске, – сообщили в пресс-службе. – После чего они получат официальный статус резидента ОЭЗ».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Как отметили в пресс-службе, </w:t>
      </w:r>
      <w:r>
        <w:rPr>
          <w:szCs w:val="24"/>
          <w:lang w:eastAsia="ru-RU"/>
        </w:rPr>
        <w:t xml:space="preserve">дополнительным положительным фактором в увеличении привлекательности ОЭЗ для инвесторов станут изменения в законодательстве, касающиеся функционирования особых экономических зон, которые вступили в силу с </w:t>
      </w:r>
      <w:bookmarkStart w:id="0" w:name="_GoBack"/>
      <w:r>
        <w:rPr>
          <w:szCs w:val="24"/>
          <w:lang w:eastAsia="ru-RU"/>
        </w:rPr>
        <w:t xml:space="preserve">января 2012 </w:t>
      </w:r>
      <w:bookmarkEnd w:id="0"/>
      <w:r>
        <w:rPr>
          <w:szCs w:val="24"/>
          <w:lang w:eastAsia="ru-RU"/>
        </w:rPr>
        <w:t>года. Количество резидентов ОЭЗ увеличилось до 59 инновационных компаний.</w:t>
      </w:r>
    </w:p>
    <w:p>
      <w:pPr>
        <w:pStyle w:val="style0"/>
      </w:pPr>
      <w:r>
        <w:rPr>
          <w:szCs w:val="24"/>
          <w:lang w:eastAsia="ru-RU"/>
        </w:rPr>
      </w:r>
    </w:p>
    <w:p>
      <w:pPr>
        <w:pStyle w:val="style0"/>
      </w:pPr>
      <w:r>
        <w:rPr>
          <w:i/>
          <w:szCs w:val="24"/>
          <w:iCs/>
          <w:lang w:eastAsia="ru-RU"/>
        </w:rPr>
        <w:t>Виктор Полторацкий</w:t>
      </w:r>
    </w:p>
    <w:p>
      <w:pPr>
        <w:pStyle w:val="style0"/>
      </w:pPr>
      <w:r>
        <w:rPr>
          <w:szCs w:val="24"/>
          <w:lang w:eastAsia="ru-RU"/>
        </w:rPr>
      </w:r>
    </w:p>
    <w:p>
      <w:pPr>
        <w:pStyle w:val="style0"/>
      </w:pPr>
      <w:r>
        <w:rPr>
          <w:szCs w:val="24"/>
          <w:lang w:eastAsia="ru-RU"/>
        </w:rPr>
        <w:t>Томск</w:t>
      </w:r>
    </w:p>
    <w:p>
      <w:pPr>
        <w:pStyle w:val="style0"/>
      </w:pPr>
      <w:r>
        <w:rPr>
          <w:szCs w:val="24"/>
          <w:lang w:eastAsia="ru-RU"/>
        </w:rPr>
        <w:t>ОЭЗ</w:t>
      </w:r>
    </w:p>
    <w:p>
      <w:pPr>
        <w:pStyle w:val="style0"/>
      </w:pPr>
      <w:r>
        <w:rPr>
          <w:szCs w:val="24"/>
          <w:lang w:eastAsia="ru-RU"/>
        </w:rPr>
        <w:t>Руслед</w:t>
      </w:r>
    </w:p>
    <w:p>
      <w:pPr>
        <w:pStyle w:val="style0"/>
      </w:pPr>
      <w:r>
        <w:rPr>
          <w:szCs w:val="24"/>
          <w:lang w:eastAsia="ru-RU"/>
        </w:rPr>
        <w:t>Синтегал</w:t>
      </w:r>
    </w:p>
    <w:p>
      <w:pPr>
        <w:pStyle w:val="style0"/>
      </w:pPr>
      <w:r>
        <w:rPr>
          <w:szCs w:val="24"/>
          <w:lang w:eastAsia="ru-RU"/>
        </w:rPr>
        <w:t>Сольвейг Мультимедиа</w:t>
      </w:r>
    </w:p>
    <w:p>
      <w:pPr>
        <w:pStyle w:val="style0"/>
      </w:pPr>
      <w:r>
        <w:rPr>
          <w:szCs w:val="24"/>
          <w:lang w:eastAsia="ru-RU"/>
        </w:rPr>
        <w:t>Томские клеточные технологии</w:t>
      </w:r>
    </w:p>
    <w:p>
      <w:pPr>
        <w:pStyle w:val="style0"/>
      </w:pPr>
      <w:r>
        <w:rPr>
          <w:szCs w:val="24"/>
          <w:lang w:eastAsia="ru-RU"/>
        </w:rPr>
        <w:t>Проект</w:t>
      </w:r>
    </w:p>
    <w:p>
      <w:pPr>
        <w:pStyle w:val="style0"/>
      </w:pPr>
      <w:r>
        <w:rPr>
          <w:szCs w:val="24"/>
          <w:lang w:eastAsia="ru-RU"/>
        </w:rPr>
        <w:t>инвестиции</w:t>
      </w:r>
    </w:p>
    <w:p>
      <w:pPr>
        <w:pStyle w:val="style0"/>
      </w:pPr>
      <w:r>
        <w:rPr>
          <w:szCs w:val="24"/>
          <w:lang w:eastAsia="ru-RU"/>
        </w:rPr>
        <w:t>технико-внедренческая деятельность</w:t>
      </w:r>
    </w:p>
    <w:p>
      <w:pPr>
        <w:pStyle w:val="style0"/>
      </w:pPr>
      <w:r>
        <w:rPr>
          <w:szCs w:val="24"/>
          <w:lang w:eastAsia="ru-RU"/>
        </w:rPr>
        <w:t>резидент</w:t>
      </w:r>
    </w:p>
    <w:sectPr>
      <w:formProt w:val="off"/>
      <w:pgSz w:h="16838" w:w="11906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0" w:before="0" w:line="276" w:lineRule="atLeast"/>
    </w:pPr>
    <w:rPr>
      <w:color w:val="auto"/>
      <w:sz w:val="24"/>
      <w:szCs w:val="22"/>
      <w:rFonts w:ascii="Times New Roman" w:cs="" w:eastAsia="FZSongTi" w:hAnsi="Times New Roman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Интернет-ссылка"/>
    <w:basedOn w:val="style15"/>
    <w:next w:val="style16"/>
    <w:rPr>
      <w:color w:val="0000FF"/>
      <w:u w:val="single"/>
      <w:lang w:bidi="ru-RU" w:eastAsia="ru-RU" w:val="ru-RU"/>
    </w:rPr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sz w:val="28"/>
      <w:szCs w:val="28"/>
      <w:rFonts w:ascii="Albany AMT" w:cs="Albany AMT" w:eastAsia="FZHeiTi" w:hAnsi="Albany AMT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Albany AMT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Albany AMT"/>
    </w:rPr>
  </w:style>
  <w:style w:styleId="style21" w:type="paragraph">
    <w:name w:val="Указатель"/>
    <w:basedOn w:val="style0"/>
    <w:next w:val="style21"/>
    <w:pPr>
      <w:suppressLineNumbers/>
    </w:pPr>
    <w:rPr>
      <w:rFonts w:cs="Albany AM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ioss.net/uploads/images/d/2/0/d/148/10c3dc9786.jpg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OpenOffice.org/3.2$Linux OpenOffice.org_project/320m21$Build-9319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2012-01-11T10:17:00.00Z</dcterms:created>
  <dc:creator>USER</dc:creator>
  <cp:lastModifiedBy>USER</cp:lastModifiedBy>
  <dcterms:modified xsi:type="dcterms:W3CDTF">2012-01-11T10:45:00.00Z</dcterms:modified>
  <cp:revision>8</cp:revision>
</cp:coreProperties>
</file>