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ХМАО, банки и финансы, лента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  <w:t>В 2011 году банк привлек рекордное количество новых заемщиков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hAnsi="Arial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hAnsi="Arial"/>
        </w:rPr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</w:r>
    </w:p>
    <w:p>
      <w:pPr>
        <w:pStyle w:val="style0"/>
        <w:spacing w:after="0" w:before="0" w:line="100" w:lineRule="atLeast"/>
      </w:pPr>
      <w:r>
        <w:rPr>
          <w:sz w:val="24"/>
          <w:b/>
          <w:szCs w:val="24"/>
          <w:rFonts w:ascii="Arial" w:cs="Times New Roman" w:eastAsia="Times New Roman" w:hAnsi="Arial"/>
          <w:lang w:eastAsia="ru-RU"/>
        </w:rPr>
        <w:t>Югорский банк снижает ставки по кредитам</w:t>
      </w:r>
    </w:p>
    <w:p>
      <w:pPr>
        <w:pStyle w:val="style0"/>
        <w:spacing w:after="0" w:before="0" w:line="100" w:lineRule="atLeast"/>
      </w:pPr>
      <w:r>
        <w:rPr>
          <w:sz w:val="24"/>
          <w:szCs w:val="24"/>
          <w:rFonts w:ascii="Arial" w:cs="Times New Roman" w:eastAsia="Times New Roman" w:hAnsi="Arial"/>
          <w:lang w:eastAsia="ru-RU"/>
        </w:rPr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hAnsi="Arial"/>
        </w:rPr>
        <w:t xml:space="preserve">Ханты-Мансийский банк до 1 февраля продолжает акцию «Процент в подарок!», в рамках которой всем клиентам, оформившим кредит «Дружеский», «Отпускной» или «Для своих», процентная ставка будет снижена на 1 %. </w:t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hAnsi="Arial"/>
        </w:rPr>
        <w:t>Как пояснили «УралПолит.</w:t>
      </w:r>
      <w:r>
        <w:rPr>
          <w:sz w:val="24"/>
          <w:szCs w:val="24"/>
          <w:rFonts w:ascii="Arial" w:cs="Times New Roman" w:hAnsi="Arial"/>
          <w:lang w:val="en-US"/>
        </w:rPr>
        <w:t>Ru</w:t>
      </w:r>
      <w:r>
        <w:rPr>
          <w:sz w:val="24"/>
          <w:szCs w:val="24"/>
          <w:rFonts w:ascii="Arial" w:cs="Times New Roman" w:hAnsi="Arial"/>
        </w:rPr>
        <w:t xml:space="preserve">» в пресс-службе банка, все три займа особенно популярны у клиентов. По словам вице-президента банка Владимира Вешнякова, о преимуществах этих кредитов и других предложений финансовой организации говорит тот факт, что в 2011 году банк привлек рекордное количество новых заемщиков. </w:t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hAnsi="Arial"/>
        </w:rPr>
        <w:t xml:space="preserve">«Рост розничного кредитного портфеля в прошедшем году существенно превысил средние показатели по российской банковской отрасли, это можно объяснить востребованностью наших предложений. Кредиты Ханты-Мансийского банка не предусматривают комиссий за выдачу и обслуживание, отсутствуют моратории по их досрочному погашению. </w:t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hAnsi="Arial"/>
        </w:rPr>
        <w:t>«Мы также стараемся удерживать ставки на привлекательном уровне, а в рамках акции «Процент в подарок!» до 1 февраля делаем нашим клиентам одно из самых лучших предложений на рынке», – пояснил Владимир Вешняков.</w:t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hAnsi="Arial"/>
        </w:rPr>
        <w:t>Вероника Мысляева</w:t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hAnsi="Arial"/>
        </w:rPr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hAnsi="Arial"/>
        </w:rPr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hAnsi="Arial"/>
        </w:rPr>
        <w:t>Ханты-Мансийский банк</w:t>
      </w:r>
    </w:p>
    <w:p>
      <w:pPr>
        <w:pStyle w:val="style0"/>
        <w:spacing w:line="255" w:lineRule="atLeast"/>
      </w:pPr>
      <w:r>
        <w:rPr>
          <w:sz w:val="24"/>
          <w:szCs w:val="24"/>
          <w:rFonts w:ascii="Arial" w:cs="Times New Roman" w:hAnsi="Arial"/>
        </w:rPr>
        <w:t>кредиты</w:t>
      </w:r>
    </w:p>
    <w:p>
      <w:pPr>
        <w:pStyle w:val="style0"/>
        <w:spacing w:after="200" w:before="0"/>
      </w:pPr>
      <w:r>
        <w:rPr>
          <w:sz w:val="24"/>
          <w:szCs w:val="24"/>
          <w:rFonts w:ascii="Arial" w:hAnsi="Arial"/>
        </w:rPr>
      </w:r>
    </w:p>
    <w:sectPr>
      <w:formProt w:val="false"/>
      <w:pgSz w:h="16838" w:w="11906"/>
      <w:docGrid w:charSpace="4096" w:linePitch="360" w:type="default"/>
      <w:textDirection w:val="lrTb"/>
      <w:pgNumType w:fmt="decimal"/>
      <w:type w:val="nextPage"/>
      <w:pgMar w:bottom="1134" w:left="1276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方正宋体" w:hAnsi="Calibri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LibreOffice/3.3$Linux LibreOffice_project/330m19$Build-8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2012-01-11T11:44:00.00Z</dcterms:created>
  <dc:creator>user</dc:creator>
  <cp:lastModifiedBy>user</cp:lastModifiedBy>
  <dcterms:modified xsi:type="dcterms:W3CDTF">2012-01-11T11:44:00.00Z</dcterms:modified>
  <cp:revision>2</cp:revision>
</cp:coreProperties>
</file>