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6467" w14:textId="77777777" w:rsidR="007F5495" w:rsidRDefault="006D7A72" w:rsidP="006D7A72">
      <w:pPr>
        <w:pStyle w:val="Title"/>
      </w:pPr>
      <w:r>
        <w:t>Aanwezigheid opdracht 8  + PE contactmomenten</w:t>
      </w:r>
    </w:p>
    <w:p w14:paraId="21C1B7EF" w14:textId="77777777" w:rsidR="006D7A72" w:rsidRDefault="006D7A72" w:rsidP="006D7A72">
      <w:r>
        <w:tab/>
      </w:r>
      <w:r>
        <w:tab/>
      </w:r>
      <w:r>
        <w:tab/>
      </w:r>
      <w:r>
        <w:tab/>
      </w:r>
      <w:r>
        <w:tab/>
      </w:r>
      <w:r>
        <w:tab/>
      </w:r>
      <w:r>
        <w:tab/>
      </w:r>
      <w:r>
        <w:tab/>
      </w:r>
      <w:r>
        <w:tab/>
        <w:t>Deadline 8        Deadline PE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D7A72" w14:paraId="109FEAF6" w14:textId="77777777" w:rsidTr="006D7A72">
        <w:tc>
          <w:tcPr>
            <w:tcW w:w="1288" w:type="dxa"/>
          </w:tcPr>
          <w:p w14:paraId="1FBA109C" w14:textId="77777777" w:rsidR="006D7A72" w:rsidRDefault="006D7A72" w:rsidP="006D7A72"/>
        </w:tc>
        <w:tc>
          <w:tcPr>
            <w:tcW w:w="1288" w:type="dxa"/>
          </w:tcPr>
          <w:p w14:paraId="401C00C5" w14:textId="77777777" w:rsidR="006D7A72" w:rsidRDefault="006D7A72" w:rsidP="006D7A72">
            <w:r>
              <w:t>24/04/2020</w:t>
            </w:r>
          </w:p>
        </w:tc>
        <w:tc>
          <w:tcPr>
            <w:tcW w:w="1288" w:type="dxa"/>
          </w:tcPr>
          <w:p w14:paraId="0D566614" w14:textId="77777777" w:rsidR="006D7A72" w:rsidRDefault="006D7A72" w:rsidP="006D7A72">
            <w:r>
              <w:t>29/04/2020</w:t>
            </w:r>
          </w:p>
        </w:tc>
        <w:tc>
          <w:tcPr>
            <w:tcW w:w="1288" w:type="dxa"/>
          </w:tcPr>
          <w:p w14:paraId="4696BEF1" w14:textId="77777777" w:rsidR="006D7A72" w:rsidRDefault="006D7A72" w:rsidP="006D7A72">
            <w:r>
              <w:t>1/05/2020</w:t>
            </w:r>
          </w:p>
        </w:tc>
        <w:tc>
          <w:tcPr>
            <w:tcW w:w="1288" w:type="dxa"/>
          </w:tcPr>
          <w:p w14:paraId="20280DCD" w14:textId="77777777" w:rsidR="006D7A72" w:rsidRDefault="006D7A72" w:rsidP="006D7A72">
            <w:r>
              <w:t>6/05/2020</w:t>
            </w:r>
          </w:p>
        </w:tc>
        <w:tc>
          <w:tcPr>
            <w:tcW w:w="1288" w:type="dxa"/>
          </w:tcPr>
          <w:p w14:paraId="3BA63AAE" w14:textId="77777777" w:rsidR="006D7A72" w:rsidRDefault="006D7A72" w:rsidP="006D7A72">
            <w:r>
              <w:t>8/05/2020</w:t>
            </w:r>
          </w:p>
        </w:tc>
        <w:tc>
          <w:tcPr>
            <w:tcW w:w="1288" w:type="dxa"/>
          </w:tcPr>
          <w:p w14:paraId="7325EA71" w14:textId="77777777" w:rsidR="006D7A72" w:rsidRDefault="006D7A72" w:rsidP="006D7A72">
            <w:r>
              <w:t>13/05/2020</w:t>
            </w:r>
          </w:p>
        </w:tc>
      </w:tr>
      <w:tr w:rsidR="006D7A72" w14:paraId="61635BF3" w14:textId="77777777" w:rsidTr="003B419D">
        <w:tc>
          <w:tcPr>
            <w:tcW w:w="1288" w:type="dxa"/>
          </w:tcPr>
          <w:p w14:paraId="6205A739" w14:textId="77777777" w:rsidR="006D7A72" w:rsidRDefault="006D7A72" w:rsidP="006D7A72">
            <w:r>
              <w:t>Evi</w:t>
            </w:r>
          </w:p>
        </w:tc>
        <w:tc>
          <w:tcPr>
            <w:tcW w:w="1288" w:type="dxa"/>
            <w:shd w:val="clear" w:color="auto" w:fill="70AD47" w:themeFill="accent6"/>
          </w:tcPr>
          <w:p w14:paraId="0DED16F8" w14:textId="77777777" w:rsidR="006D7A72" w:rsidRDefault="006D7A72" w:rsidP="006D7A72"/>
        </w:tc>
        <w:tc>
          <w:tcPr>
            <w:tcW w:w="1288" w:type="dxa"/>
            <w:shd w:val="clear" w:color="auto" w:fill="70AD47" w:themeFill="accent6"/>
          </w:tcPr>
          <w:p w14:paraId="5B96D2BA" w14:textId="77777777" w:rsidR="006D7A72" w:rsidRDefault="006D7A72" w:rsidP="006D7A72"/>
        </w:tc>
        <w:tc>
          <w:tcPr>
            <w:tcW w:w="1288" w:type="dxa"/>
            <w:shd w:val="clear" w:color="auto" w:fill="70AD47" w:themeFill="accent6"/>
          </w:tcPr>
          <w:p w14:paraId="441F10F9" w14:textId="77777777" w:rsidR="006D7A72" w:rsidRDefault="006D7A72" w:rsidP="006D7A72"/>
        </w:tc>
        <w:tc>
          <w:tcPr>
            <w:tcW w:w="1288" w:type="dxa"/>
            <w:shd w:val="clear" w:color="auto" w:fill="70AD47" w:themeFill="accent6"/>
          </w:tcPr>
          <w:p w14:paraId="76DAED68" w14:textId="77777777" w:rsidR="006D7A72" w:rsidRDefault="006D7A72" w:rsidP="006D7A72"/>
        </w:tc>
        <w:tc>
          <w:tcPr>
            <w:tcW w:w="1288" w:type="dxa"/>
          </w:tcPr>
          <w:p w14:paraId="47D29D86" w14:textId="77777777" w:rsidR="006D7A72" w:rsidRDefault="006D7A72" w:rsidP="006D7A72"/>
        </w:tc>
        <w:tc>
          <w:tcPr>
            <w:tcW w:w="1288" w:type="dxa"/>
          </w:tcPr>
          <w:p w14:paraId="75F20980" w14:textId="77777777" w:rsidR="006D7A72" w:rsidRDefault="006D7A72" w:rsidP="006D7A72"/>
        </w:tc>
      </w:tr>
      <w:tr w:rsidR="006D7A72" w14:paraId="07E13491" w14:textId="77777777" w:rsidTr="003B419D">
        <w:tc>
          <w:tcPr>
            <w:tcW w:w="1288" w:type="dxa"/>
          </w:tcPr>
          <w:p w14:paraId="3BCB5B36" w14:textId="77777777" w:rsidR="006D7A72" w:rsidRDefault="006D7A72" w:rsidP="006D7A72">
            <w:r>
              <w:t>Joy</w:t>
            </w:r>
          </w:p>
        </w:tc>
        <w:tc>
          <w:tcPr>
            <w:tcW w:w="1288" w:type="dxa"/>
            <w:shd w:val="clear" w:color="auto" w:fill="70AD47" w:themeFill="accent6"/>
          </w:tcPr>
          <w:p w14:paraId="0376E99B" w14:textId="77777777" w:rsidR="006D7A72" w:rsidRDefault="006D7A72" w:rsidP="006D7A72"/>
        </w:tc>
        <w:tc>
          <w:tcPr>
            <w:tcW w:w="1288" w:type="dxa"/>
            <w:shd w:val="clear" w:color="auto" w:fill="70AD47" w:themeFill="accent6"/>
          </w:tcPr>
          <w:p w14:paraId="03ECA1A0" w14:textId="77777777" w:rsidR="006D7A72" w:rsidRDefault="006D7A72" w:rsidP="006D7A72"/>
        </w:tc>
        <w:tc>
          <w:tcPr>
            <w:tcW w:w="1288" w:type="dxa"/>
            <w:shd w:val="clear" w:color="auto" w:fill="70AD47" w:themeFill="accent6"/>
          </w:tcPr>
          <w:p w14:paraId="28012116" w14:textId="77777777" w:rsidR="006D7A72" w:rsidRDefault="006D7A72" w:rsidP="006D7A72"/>
        </w:tc>
        <w:tc>
          <w:tcPr>
            <w:tcW w:w="1288" w:type="dxa"/>
            <w:shd w:val="clear" w:color="auto" w:fill="70AD47" w:themeFill="accent6"/>
          </w:tcPr>
          <w:p w14:paraId="4E5F180A" w14:textId="77777777" w:rsidR="006D7A72" w:rsidRDefault="006D7A72" w:rsidP="006D7A72"/>
        </w:tc>
        <w:tc>
          <w:tcPr>
            <w:tcW w:w="1288" w:type="dxa"/>
          </w:tcPr>
          <w:p w14:paraId="312A29AD" w14:textId="77777777" w:rsidR="006D7A72" w:rsidRDefault="006D7A72" w:rsidP="006D7A72"/>
        </w:tc>
        <w:tc>
          <w:tcPr>
            <w:tcW w:w="1288" w:type="dxa"/>
          </w:tcPr>
          <w:p w14:paraId="398D96DB" w14:textId="77777777" w:rsidR="006D7A72" w:rsidRDefault="006D7A72" w:rsidP="006D7A72"/>
        </w:tc>
      </w:tr>
      <w:tr w:rsidR="006D7A72" w14:paraId="38620757" w14:textId="77777777" w:rsidTr="003B419D">
        <w:tc>
          <w:tcPr>
            <w:tcW w:w="1288" w:type="dxa"/>
          </w:tcPr>
          <w:p w14:paraId="65AA4C74" w14:textId="77777777" w:rsidR="006D7A72" w:rsidRDefault="006D7A72" w:rsidP="006D7A72">
            <w:r>
              <w:t>Bernd</w:t>
            </w:r>
          </w:p>
        </w:tc>
        <w:tc>
          <w:tcPr>
            <w:tcW w:w="1288" w:type="dxa"/>
            <w:shd w:val="clear" w:color="auto" w:fill="70AD47" w:themeFill="accent6"/>
          </w:tcPr>
          <w:p w14:paraId="5143FDAB" w14:textId="77777777" w:rsidR="006D7A72" w:rsidRDefault="006D7A72" w:rsidP="006D7A72"/>
        </w:tc>
        <w:tc>
          <w:tcPr>
            <w:tcW w:w="1288" w:type="dxa"/>
            <w:shd w:val="clear" w:color="auto" w:fill="70AD47" w:themeFill="accent6"/>
          </w:tcPr>
          <w:p w14:paraId="386768CE" w14:textId="77777777" w:rsidR="006D7A72" w:rsidRDefault="006D7A72" w:rsidP="006D7A72"/>
        </w:tc>
        <w:tc>
          <w:tcPr>
            <w:tcW w:w="1288" w:type="dxa"/>
            <w:shd w:val="clear" w:color="auto" w:fill="70AD47" w:themeFill="accent6"/>
          </w:tcPr>
          <w:p w14:paraId="722C7EF3" w14:textId="77777777" w:rsidR="006D7A72" w:rsidRDefault="006D7A72" w:rsidP="006D7A72"/>
        </w:tc>
        <w:tc>
          <w:tcPr>
            <w:tcW w:w="1288" w:type="dxa"/>
            <w:shd w:val="clear" w:color="auto" w:fill="70AD47" w:themeFill="accent6"/>
          </w:tcPr>
          <w:p w14:paraId="300F217F" w14:textId="77777777" w:rsidR="006D7A72" w:rsidRDefault="006D7A72" w:rsidP="006D7A72"/>
        </w:tc>
        <w:tc>
          <w:tcPr>
            <w:tcW w:w="1288" w:type="dxa"/>
          </w:tcPr>
          <w:p w14:paraId="4F84CA4B" w14:textId="77777777" w:rsidR="006D7A72" w:rsidRDefault="006D7A72" w:rsidP="006D7A72"/>
        </w:tc>
        <w:tc>
          <w:tcPr>
            <w:tcW w:w="1288" w:type="dxa"/>
          </w:tcPr>
          <w:p w14:paraId="34519230" w14:textId="77777777" w:rsidR="006D7A72" w:rsidRDefault="006D7A72" w:rsidP="006D7A72"/>
        </w:tc>
      </w:tr>
      <w:tr w:rsidR="006D7A72" w14:paraId="70E0F78C" w14:textId="77777777" w:rsidTr="003B419D">
        <w:tc>
          <w:tcPr>
            <w:tcW w:w="1288" w:type="dxa"/>
          </w:tcPr>
          <w:p w14:paraId="23C06E85" w14:textId="77777777" w:rsidR="006D7A72" w:rsidRDefault="006D7A72" w:rsidP="006D7A72">
            <w:r>
              <w:t>Albert</w:t>
            </w:r>
          </w:p>
        </w:tc>
        <w:tc>
          <w:tcPr>
            <w:tcW w:w="1288" w:type="dxa"/>
            <w:shd w:val="clear" w:color="auto" w:fill="FF0000"/>
          </w:tcPr>
          <w:p w14:paraId="285CBCF5" w14:textId="5FF7EB6B" w:rsidR="006D7A72" w:rsidRDefault="008F278B" w:rsidP="006D7A72">
            <w:r w:rsidRPr="008F278B">
              <w:rPr>
                <w:color w:val="FF0000"/>
              </w:rPr>
              <w:t>...................</w:t>
            </w:r>
          </w:p>
        </w:tc>
        <w:tc>
          <w:tcPr>
            <w:tcW w:w="1288" w:type="dxa"/>
            <w:shd w:val="clear" w:color="auto" w:fill="FF0000"/>
          </w:tcPr>
          <w:p w14:paraId="08C9D847" w14:textId="77777777" w:rsidR="006D7A72" w:rsidRDefault="006D7A72" w:rsidP="006D7A72"/>
        </w:tc>
        <w:tc>
          <w:tcPr>
            <w:tcW w:w="1288" w:type="dxa"/>
            <w:shd w:val="clear" w:color="auto" w:fill="FF0000"/>
          </w:tcPr>
          <w:p w14:paraId="427AC408" w14:textId="77777777" w:rsidR="006D7A72" w:rsidRDefault="006D7A72" w:rsidP="006D7A72"/>
        </w:tc>
        <w:tc>
          <w:tcPr>
            <w:tcW w:w="1288" w:type="dxa"/>
            <w:shd w:val="clear" w:color="auto" w:fill="70AD47" w:themeFill="accent6"/>
          </w:tcPr>
          <w:p w14:paraId="7ABF2F22" w14:textId="77777777" w:rsidR="006D7A72" w:rsidRDefault="006D7A72" w:rsidP="006D7A72"/>
        </w:tc>
        <w:tc>
          <w:tcPr>
            <w:tcW w:w="1288" w:type="dxa"/>
          </w:tcPr>
          <w:p w14:paraId="13802F74" w14:textId="77777777" w:rsidR="006D7A72" w:rsidRDefault="006D7A72" w:rsidP="006D7A72"/>
        </w:tc>
        <w:tc>
          <w:tcPr>
            <w:tcW w:w="1288" w:type="dxa"/>
          </w:tcPr>
          <w:p w14:paraId="37A9319C" w14:textId="77777777" w:rsidR="006D7A72" w:rsidRDefault="006D7A72" w:rsidP="006D7A72"/>
        </w:tc>
      </w:tr>
    </w:tbl>
    <w:p w14:paraId="0185B9D0" w14:textId="77777777" w:rsidR="006D7A72" w:rsidRDefault="006D7A72" w:rsidP="006D7A72"/>
    <w:p w14:paraId="02360F19" w14:textId="77777777" w:rsidR="006D7A72" w:rsidRDefault="005E2C7A" w:rsidP="005E2C7A">
      <w:r>
        <w:t xml:space="preserve">Aanwezig = </w:t>
      </w:r>
      <w:r w:rsidRPr="005E2C7A">
        <w:rPr>
          <w:shd w:val="clear" w:color="auto" w:fill="70AD47" w:themeFill="accent6"/>
        </w:rPr>
        <w:t xml:space="preserve">     </w:t>
      </w:r>
      <w:r>
        <w:rPr>
          <w:shd w:val="clear" w:color="auto" w:fill="70AD47" w:themeFill="accent6"/>
        </w:rPr>
        <w:t>X</w:t>
      </w:r>
    </w:p>
    <w:p w14:paraId="6EEDDDD7" w14:textId="77777777" w:rsidR="005E2C7A" w:rsidRDefault="005E2C7A" w:rsidP="005E2C7A">
      <w:pPr>
        <w:rPr>
          <w:shd w:val="clear" w:color="auto" w:fill="FF0000"/>
        </w:rPr>
      </w:pPr>
      <w:r>
        <w:t>Afwezig =</w:t>
      </w:r>
      <w:r>
        <w:rPr>
          <w:shd w:val="clear" w:color="auto" w:fill="FF0000"/>
        </w:rPr>
        <w:t xml:space="preserve">    X   </w:t>
      </w:r>
    </w:p>
    <w:p w14:paraId="36646971" w14:textId="77777777" w:rsidR="005E2C7A" w:rsidRDefault="00570614" w:rsidP="00570614">
      <w:pPr>
        <w:pStyle w:val="Title"/>
      </w:pPr>
      <w:r>
        <w:t>Planning per contactmoment</w:t>
      </w:r>
    </w:p>
    <w:p w14:paraId="452DE799" w14:textId="77777777" w:rsidR="00570614" w:rsidRDefault="00570614" w:rsidP="00570614"/>
    <w:p w14:paraId="0D1AA05E" w14:textId="32E90B46" w:rsidR="00570614" w:rsidRPr="00624DE8" w:rsidRDefault="00570614" w:rsidP="00570614">
      <w:pPr>
        <w:pStyle w:val="ListParagraph"/>
        <w:numPr>
          <w:ilvl w:val="0"/>
          <w:numId w:val="1"/>
        </w:numPr>
        <w:rPr>
          <w:strike/>
        </w:rPr>
      </w:pPr>
      <w:r w:rsidRPr="00624DE8">
        <w:rPr>
          <w:strike/>
        </w:rPr>
        <w:t xml:space="preserve">24/04/2020: Deelopdracht 1 + 2 </w:t>
      </w:r>
    </w:p>
    <w:p w14:paraId="5186EA13" w14:textId="4298CFB4" w:rsidR="00570614" w:rsidRDefault="00570614" w:rsidP="00570614">
      <w:pPr>
        <w:pStyle w:val="ListParagraph"/>
        <w:numPr>
          <w:ilvl w:val="0"/>
          <w:numId w:val="1"/>
        </w:numPr>
      </w:pPr>
      <w:r w:rsidRPr="00F56DD1">
        <w:rPr>
          <w:strike/>
        </w:rPr>
        <w:t xml:space="preserve">29/04/2020: Deelopdracht </w:t>
      </w:r>
      <w:r w:rsidR="003263B5" w:rsidRPr="00DE7417">
        <w:rPr>
          <w:strike/>
        </w:rPr>
        <w:t xml:space="preserve">3 + </w:t>
      </w:r>
      <w:r w:rsidRPr="00DE7417">
        <w:rPr>
          <w:strike/>
        </w:rPr>
        <w:t>4</w:t>
      </w:r>
      <w:r>
        <w:t xml:space="preserve"> </w:t>
      </w:r>
    </w:p>
    <w:p w14:paraId="3FCEB005" w14:textId="69FF5074" w:rsidR="00570614" w:rsidRPr="00F84EA8" w:rsidRDefault="00570614" w:rsidP="00570614">
      <w:pPr>
        <w:pStyle w:val="ListParagraph"/>
        <w:numPr>
          <w:ilvl w:val="0"/>
          <w:numId w:val="1"/>
        </w:numPr>
        <w:rPr>
          <w:strike/>
        </w:rPr>
      </w:pPr>
      <w:r w:rsidRPr="00F84EA8">
        <w:rPr>
          <w:strike/>
        </w:rPr>
        <w:t xml:space="preserve">1/05/2020: </w:t>
      </w:r>
      <w:r w:rsidR="00F84EA8" w:rsidRPr="00F84EA8">
        <w:rPr>
          <w:strike/>
          <w:lang w:val="en-US"/>
        </w:rPr>
        <w:t>Remote Code Execution (PE)</w:t>
      </w:r>
    </w:p>
    <w:p w14:paraId="2A22CF13" w14:textId="022BEBBD" w:rsidR="00D23BB3" w:rsidRPr="00F84EA8" w:rsidRDefault="00570614" w:rsidP="00D23BB3">
      <w:pPr>
        <w:pStyle w:val="ListParagraph"/>
        <w:numPr>
          <w:ilvl w:val="0"/>
          <w:numId w:val="1"/>
        </w:numPr>
        <w:rPr>
          <w:lang w:val="en-US"/>
        </w:rPr>
      </w:pPr>
      <w:r w:rsidRPr="00F84EA8">
        <w:rPr>
          <w:lang w:val="en-US"/>
        </w:rPr>
        <w:t xml:space="preserve">6/05/2020: </w:t>
      </w:r>
      <w:r w:rsidR="00F84EA8" w:rsidRPr="00F84EA8">
        <w:rPr>
          <w:lang w:val="en-US"/>
        </w:rPr>
        <w:t>extra DO7</w:t>
      </w:r>
    </w:p>
    <w:p w14:paraId="774396D7" w14:textId="76C6571C" w:rsidR="00570614" w:rsidRPr="00595C9D" w:rsidRDefault="00570614" w:rsidP="00D23BB3">
      <w:pPr>
        <w:pStyle w:val="ListParagraph"/>
        <w:numPr>
          <w:ilvl w:val="0"/>
          <w:numId w:val="1"/>
        </w:numPr>
      </w:pPr>
      <w:r w:rsidRPr="00595C9D">
        <w:rPr>
          <w:strike/>
          <w:lang w:val="en-US"/>
        </w:rPr>
        <w:t xml:space="preserve">8/05/2020: </w:t>
      </w:r>
      <w:r w:rsidR="00F51037" w:rsidRPr="00595C9D">
        <w:rPr>
          <w:strike/>
        </w:rPr>
        <w:t>RSA (PE)</w:t>
      </w:r>
      <w:r w:rsidR="00F51037" w:rsidRPr="00595C9D">
        <w:t xml:space="preserve"> </w:t>
      </w:r>
    </w:p>
    <w:p w14:paraId="768B76E2" w14:textId="77777777" w:rsidR="003B419D" w:rsidRPr="003B419D" w:rsidRDefault="00570614" w:rsidP="003B419D">
      <w:pPr>
        <w:pStyle w:val="ListParagraph"/>
        <w:numPr>
          <w:ilvl w:val="0"/>
          <w:numId w:val="1"/>
        </w:numPr>
      </w:pPr>
      <w:r>
        <w:t xml:space="preserve">13/02020: </w:t>
      </w:r>
      <w:r w:rsidR="00F51037" w:rsidRPr="00570614">
        <w:rPr>
          <w:lang w:val="en-US"/>
        </w:rPr>
        <w:t>Sniffing (PE)</w:t>
      </w:r>
    </w:p>
    <w:p w14:paraId="0440879F" w14:textId="77777777" w:rsidR="003B419D" w:rsidRPr="003B419D" w:rsidRDefault="003B419D" w:rsidP="003B419D">
      <w:pPr>
        <w:pStyle w:val="ListParagraph"/>
        <w:numPr>
          <w:ilvl w:val="0"/>
          <w:numId w:val="1"/>
        </w:numPr>
      </w:pPr>
    </w:p>
    <w:p w14:paraId="0A799F8A" w14:textId="5F5CC00C" w:rsidR="003B419D" w:rsidRPr="003B419D" w:rsidRDefault="003B419D" w:rsidP="003B419D">
      <w:r w:rsidRPr="003B419D">
        <w:rPr>
          <w:rFonts w:ascii="Arial" w:eastAsia="Times New Roman" w:hAnsi="Arial" w:cs="Arial"/>
          <w:b/>
          <w:bCs/>
          <w:color w:val="444444"/>
          <w:sz w:val="24"/>
          <w:szCs w:val="24"/>
          <w:lang w:val="en-US" w:eastAsia="nl-NL"/>
        </w:rPr>
        <w:t>Buffer overflow</w:t>
      </w:r>
      <w:r w:rsidRPr="003B419D">
        <w:rPr>
          <w:rFonts w:ascii="Arial" w:eastAsia="Times New Roman" w:hAnsi="Arial" w:cs="Arial"/>
          <w:color w:val="444444"/>
          <w:sz w:val="24"/>
          <w:szCs w:val="24"/>
          <w:lang w:val="en-US" w:eastAsia="nl-NL"/>
        </w:rPr>
        <w:br/>
        <w:t>A </w:t>
      </w:r>
      <w:hyperlink r:id="rId5" w:tgtFrame="_blank" w:history="1">
        <w:r w:rsidRPr="003B419D">
          <w:rPr>
            <w:rFonts w:ascii="Arial" w:eastAsia="Times New Roman" w:hAnsi="Arial" w:cs="Arial"/>
            <w:color w:val="F99D1C"/>
            <w:sz w:val="24"/>
            <w:szCs w:val="24"/>
            <w:u w:val="single"/>
            <w:lang w:val="en-US" w:eastAsia="nl-NL"/>
          </w:rPr>
          <w:t>buffer overflow vulnerability</w:t>
        </w:r>
      </w:hyperlink>
      <w:r w:rsidRPr="003B419D">
        <w:rPr>
          <w:rFonts w:ascii="Arial" w:eastAsia="Times New Roman" w:hAnsi="Arial" w:cs="Arial"/>
          <w:color w:val="444444"/>
          <w:sz w:val="24"/>
          <w:szCs w:val="24"/>
          <w:lang w:val="en-US" w:eastAsia="nl-NL"/>
        </w:rPr>
        <w:t> refers to memory corruption that can enable malicious RCE. Buffers are sequential memory partitions that can only contain a set amount of data. When programs do not include bounds-checking measures, input can exceed the allocated memory. When a buffer overflows, it overwrites the memory in adjacent buffers. Deploying buffer overflows intentionally c</w:t>
      </w:r>
      <w:bookmarkStart w:id="0" w:name="_GoBack"/>
      <w:bookmarkEnd w:id="0"/>
      <w:r w:rsidRPr="003B419D">
        <w:rPr>
          <w:rFonts w:ascii="Arial" w:eastAsia="Times New Roman" w:hAnsi="Arial" w:cs="Arial"/>
          <w:color w:val="444444"/>
          <w:sz w:val="24"/>
          <w:szCs w:val="24"/>
          <w:lang w:val="en-US" w:eastAsia="nl-NL"/>
        </w:rPr>
        <w:t>an destroy useful data, cause network crashes, or replace memory with arbitrary code that the instruction pointer (manipulated through another vulnerability) later executes. </w:t>
      </w:r>
      <w:hyperlink r:id="rId6" w:tgtFrame="_blank" w:history="1">
        <w:r w:rsidRPr="003B419D">
          <w:rPr>
            <w:rFonts w:ascii="Arial" w:eastAsia="Times New Roman" w:hAnsi="Arial" w:cs="Arial"/>
            <w:color w:val="F99D1C"/>
            <w:sz w:val="24"/>
            <w:szCs w:val="24"/>
            <w:u w:val="single"/>
            <w:lang w:val="en-US" w:eastAsia="nl-NL"/>
          </w:rPr>
          <w:t>The first buffer overflow attack took place in 1988</w:t>
        </w:r>
      </w:hyperlink>
      <w:r w:rsidRPr="003B419D">
        <w:rPr>
          <w:rFonts w:ascii="Arial" w:eastAsia="Times New Roman" w:hAnsi="Arial" w:cs="Arial"/>
          <w:color w:val="444444"/>
          <w:sz w:val="24"/>
          <w:szCs w:val="24"/>
          <w:lang w:val="en-US" w:eastAsia="nl-NL"/>
        </w:rPr>
        <w:t>. The Morris Worm, a now infamous program that was responsible for the attack, caused chaos throughout the U.S. computer system, crashing 6,000 of 60,000 computers on the internet. </w:t>
      </w:r>
    </w:p>
    <w:p w14:paraId="76EA1BFD" w14:textId="77777777" w:rsidR="003B419D" w:rsidRPr="003B419D" w:rsidRDefault="003B419D" w:rsidP="003B419D">
      <w:pPr>
        <w:shd w:val="clear" w:color="auto" w:fill="FFFFFF"/>
        <w:spacing w:before="100" w:beforeAutospacing="1" w:after="100" w:afterAutospacing="1" w:line="240" w:lineRule="auto"/>
        <w:rPr>
          <w:rFonts w:ascii="Arial" w:eastAsia="Times New Roman" w:hAnsi="Arial" w:cs="Arial"/>
          <w:color w:val="444444"/>
          <w:sz w:val="24"/>
          <w:szCs w:val="24"/>
          <w:lang w:val="en-US" w:eastAsia="nl-NL"/>
        </w:rPr>
      </w:pPr>
      <w:r w:rsidRPr="003B419D">
        <w:rPr>
          <w:rFonts w:ascii="Arial" w:eastAsia="Times New Roman" w:hAnsi="Arial" w:cs="Arial"/>
          <w:b/>
          <w:bCs/>
          <w:color w:val="444444"/>
          <w:sz w:val="24"/>
          <w:szCs w:val="24"/>
          <w:lang w:val="en-US" w:eastAsia="nl-NL"/>
        </w:rPr>
        <w:t>Deserialization</w:t>
      </w:r>
      <w:r w:rsidRPr="003B419D">
        <w:rPr>
          <w:rFonts w:ascii="Arial" w:eastAsia="Times New Roman" w:hAnsi="Arial" w:cs="Arial"/>
          <w:color w:val="444444"/>
          <w:sz w:val="24"/>
          <w:szCs w:val="24"/>
          <w:lang w:val="en-US" w:eastAsia="nl-NL"/>
        </w:rPr>
        <w:br/>
        <w:t>A deserialization vulnerability refers to the translation of data into a live object which can accidentally result in the execution of ordinary code. An object must be serialized—converted into binary—to travel over a network. To utilize this data, a program must deserialize it, converting it back into an object. By manipulating serialized data, unauthorized attackers can produce altered objects that cause the program to execute unintended programming upon deserialization.</w:t>
      </w:r>
    </w:p>
    <w:p w14:paraId="0E40B538" w14:textId="77777777" w:rsidR="003B419D" w:rsidRPr="003B419D" w:rsidRDefault="003B419D" w:rsidP="003B419D">
      <w:pPr>
        <w:shd w:val="clear" w:color="auto" w:fill="FFFFFF"/>
        <w:spacing w:before="100" w:beforeAutospacing="1" w:after="100" w:afterAutospacing="1" w:line="240" w:lineRule="auto"/>
        <w:rPr>
          <w:rFonts w:ascii="Arial" w:eastAsia="Times New Roman" w:hAnsi="Arial" w:cs="Arial"/>
          <w:color w:val="444444"/>
          <w:sz w:val="24"/>
          <w:szCs w:val="24"/>
          <w:lang w:val="en-US" w:eastAsia="nl-NL"/>
        </w:rPr>
      </w:pPr>
      <w:r w:rsidRPr="003B419D">
        <w:rPr>
          <w:rFonts w:ascii="Arial" w:eastAsia="Times New Roman" w:hAnsi="Arial" w:cs="Arial"/>
          <w:b/>
          <w:bCs/>
          <w:color w:val="444444"/>
          <w:sz w:val="24"/>
          <w:szCs w:val="24"/>
          <w:lang w:val="en-US" w:eastAsia="nl-NL"/>
        </w:rPr>
        <w:lastRenderedPageBreak/>
        <w:t>Type confusion</w:t>
      </w:r>
      <w:r w:rsidRPr="003B419D">
        <w:rPr>
          <w:rFonts w:ascii="Arial" w:eastAsia="Times New Roman" w:hAnsi="Arial" w:cs="Arial"/>
          <w:color w:val="444444"/>
          <w:sz w:val="24"/>
          <w:szCs w:val="24"/>
          <w:lang w:val="en-US" w:eastAsia="nl-NL"/>
        </w:rPr>
        <w:br/>
        <w:t>Type confusion refers to a vulnerability in which code passes off an object without checking its type. This can lead to a mismatch between the object and the type it ought to be. Attackers can take advantage of this vulnerability by writing into the memory block for an object with one type pointer and reading it with another type pointer, allowing them to execute arbitrary code. </w:t>
      </w:r>
    </w:p>
    <w:p w14:paraId="42C0D2B4" w14:textId="77777777" w:rsidR="003B419D" w:rsidRPr="003B419D" w:rsidRDefault="003B419D" w:rsidP="003B419D">
      <w:pPr>
        <w:rPr>
          <w:lang w:val="en-US"/>
        </w:rPr>
      </w:pPr>
    </w:p>
    <w:sectPr w:rsidR="003B419D" w:rsidRPr="003B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67D15"/>
    <w:multiLevelType w:val="multilevel"/>
    <w:tmpl w:val="AE5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C3E97"/>
    <w:multiLevelType w:val="hybridMultilevel"/>
    <w:tmpl w:val="D9DEAE64"/>
    <w:lvl w:ilvl="0" w:tplc="04130001">
      <w:start w:val="1"/>
      <w:numFmt w:val="bullet"/>
      <w:lvlText w:val=""/>
      <w:lvlJc w:val="left"/>
      <w:pPr>
        <w:ind w:left="785" w:hanging="360"/>
      </w:pPr>
      <w:rPr>
        <w:rFonts w:ascii="Symbol" w:hAnsi="Symbol" w:hint="default"/>
      </w:rPr>
    </w:lvl>
    <w:lvl w:ilvl="1" w:tplc="04130003" w:tentative="1">
      <w:start w:val="1"/>
      <w:numFmt w:val="bullet"/>
      <w:lvlText w:val="o"/>
      <w:lvlJc w:val="left"/>
      <w:pPr>
        <w:ind w:left="4559" w:hanging="360"/>
      </w:pPr>
      <w:rPr>
        <w:rFonts w:ascii="Courier New" w:hAnsi="Courier New" w:cs="Courier New" w:hint="default"/>
      </w:rPr>
    </w:lvl>
    <w:lvl w:ilvl="2" w:tplc="04130005" w:tentative="1">
      <w:start w:val="1"/>
      <w:numFmt w:val="bullet"/>
      <w:lvlText w:val=""/>
      <w:lvlJc w:val="left"/>
      <w:pPr>
        <w:ind w:left="5279" w:hanging="360"/>
      </w:pPr>
      <w:rPr>
        <w:rFonts w:ascii="Wingdings" w:hAnsi="Wingdings" w:hint="default"/>
      </w:rPr>
    </w:lvl>
    <w:lvl w:ilvl="3" w:tplc="04130001" w:tentative="1">
      <w:start w:val="1"/>
      <w:numFmt w:val="bullet"/>
      <w:lvlText w:val=""/>
      <w:lvlJc w:val="left"/>
      <w:pPr>
        <w:ind w:left="5999" w:hanging="360"/>
      </w:pPr>
      <w:rPr>
        <w:rFonts w:ascii="Symbol" w:hAnsi="Symbol" w:hint="default"/>
      </w:rPr>
    </w:lvl>
    <w:lvl w:ilvl="4" w:tplc="04130003" w:tentative="1">
      <w:start w:val="1"/>
      <w:numFmt w:val="bullet"/>
      <w:lvlText w:val="o"/>
      <w:lvlJc w:val="left"/>
      <w:pPr>
        <w:ind w:left="6719" w:hanging="360"/>
      </w:pPr>
      <w:rPr>
        <w:rFonts w:ascii="Courier New" w:hAnsi="Courier New" w:cs="Courier New" w:hint="default"/>
      </w:rPr>
    </w:lvl>
    <w:lvl w:ilvl="5" w:tplc="04130005" w:tentative="1">
      <w:start w:val="1"/>
      <w:numFmt w:val="bullet"/>
      <w:lvlText w:val=""/>
      <w:lvlJc w:val="left"/>
      <w:pPr>
        <w:ind w:left="7439" w:hanging="360"/>
      </w:pPr>
      <w:rPr>
        <w:rFonts w:ascii="Wingdings" w:hAnsi="Wingdings" w:hint="default"/>
      </w:rPr>
    </w:lvl>
    <w:lvl w:ilvl="6" w:tplc="04130001" w:tentative="1">
      <w:start w:val="1"/>
      <w:numFmt w:val="bullet"/>
      <w:lvlText w:val=""/>
      <w:lvlJc w:val="left"/>
      <w:pPr>
        <w:ind w:left="8159" w:hanging="360"/>
      </w:pPr>
      <w:rPr>
        <w:rFonts w:ascii="Symbol" w:hAnsi="Symbol" w:hint="default"/>
      </w:rPr>
    </w:lvl>
    <w:lvl w:ilvl="7" w:tplc="04130003" w:tentative="1">
      <w:start w:val="1"/>
      <w:numFmt w:val="bullet"/>
      <w:lvlText w:val="o"/>
      <w:lvlJc w:val="left"/>
      <w:pPr>
        <w:ind w:left="8879" w:hanging="360"/>
      </w:pPr>
      <w:rPr>
        <w:rFonts w:ascii="Courier New" w:hAnsi="Courier New" w:cs="Courier New" w:hint="default"/>
      </w:rPr>
    </w:lvl>
    <w:lvl w:ilvl="8" w:tplc="04130005" w:tentative="1">
      <w:start w:val="1"/>
      <w:numFmt w:val="bullet"/>
      <w:lvlText w:val=""/>
      <w:lvlJc w:val="left"/>
      <w:pPr>
        <w:ind w:left="959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72"/>
    <w:rsid w:val="000E7F44"/>
    <w:rsid w:val="00123920"/>
    <w:rsid w:val="00262BE3"/>
    <w:rsid w:val="003263B5"/>
    <w:rsid w:val="003B419D"/>
    <w:rsid w:val="00570614"/>
    <w:rsid w:val="00595C9D"/>
    <w:rsid w:val="005C4D8C"/>
    <w:rsid w:val="005E2C7A"/>
    <w:rsid w:val="00624DE8"/>
    <w:rsid w:val="006B2B34"/>
    <w:rsid w:val="006D7A72"/>
    <w:rsid w:val="007F5495"/>
    <w:rsid w:val="008515BE"/>
    <w:rsid w:val="008F278B"/>
    <w:rsid w:val="009B2F39"/>
    <w:rsid w:val="00C448B7"/>
    <w:rsid w:val="00C57A87"/>
    <w:rsid w:val="00D23BB3"/>
    <w:rsid w:val="00DE7417"/>
    <w:rsid w:val="00E75C13"/>
    <w:rsid w:val="00F51037"/>
    <w:rsid w:val="00F56DD1"/>
    <w:rsid w:val="00F84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FFC6"/>
  <w15:chartTrackingRefBased/>
  <w15:docId w15:val="{4B33BB0A-5193-4DC2-8B47-2418FE02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A7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7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614"/>
    <w:pPr>
      <w:ind w:left="720"/>
      <w:contextualSpacing/>
    </w:pPr>
  </w:style>
  <w:style w:type="character" w:styleId="Hyperlink">
    <w:name w:val="Hyperlink"/>
    <w:basedOn w:val="DefaultParagraphFont"/>
    <w:uiPriority w:val="99"/>
    <w:semiHidden/>
    <w:unhideWhenUsed/>
    <w:rsid w:val="003B4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5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bi.gov/news/stories/morris-worm-30-years-since-first-major-attack-on-internet-110218" TargetMode="External"/><Relationship Id="rId5" Type="http://schemas.openxmlformats.org/officeDocument/2006/relationships/hyperlink" Target="https://www.solarwindsmsp.com/blog/buffer-overflow-vulnerabilities-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366</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14</cp:revision>
  <dcterms:created xsi:type="dcterms:W3CDTF">2020-04-24T11:13:00Z</dcterms:created>
  <dcterms:modified xsi:type="dcterms:W3CDTF">2020-05-06T14:42:00Z</dcterms:modified>
</cp:coreProperties>
</file>