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SAS Exposure, Use-Case Discovery &amp; Exit Strategy</w:t>
      </w:r>
    </w:p>
    <w:p>
      <w:pPr>
        <w:pStyle w:val="Subtitle"/>
      </w:pPr>
      <w:r>
        <w:t>Corporate Risk | Strategic assessment and execution playbook</w:t>
      </w:r>
    </w:p>
    <w:p>
      <w:r>
        <w:t>Prepared for the Jacqueline / Kevin-led Corporate Risk review. Consolidates the August 2026 SAS platform exposure, September 2026 storage optimization presentation, and October leadership direction as provided in screenshots and narrative.</w:t>
      </w:r>
    </w:p>
    <w:p>
      <w:pPr>
        <w:pStyle w:val="Heading2"/>
      </w:pPr>
      <w:r>
        <w:t>DECISION CONTEXT</w:t>
      </w:r>
    </w:p>
    <w:p>
      <w:r>
        <w:t>Technology leadership has raised concerns with SAS contract terms and the possibility that Wells Fargo may elect to exit the vendor relationship. Corporate Risk has been asked to establish which SAS use cases exist, what they do, how critical they are, and whether executable exit strategies exist. Storage optimization is an adjacent but distinct initiative.</w:t>
      </w:r>
    </w:p>
    <w:p>
      <w:pPr>
        <w:pStyle w:val="Heading2"/>
      </w:pPr>
      <w:r>
        <w:t>Executive bottom line</w:t>
      </w:r>
    </w:p>
    <w:p>
      <w:pPr>
        <w:pStyle w:val="ListBullet"/>
      </w:pPr>
      <w:r>
        <w:t>Inventory the business processes and technical dependencies behind the 166 SAS workspaces—not just users, storage, and licenses.</w:t>
      </w:r>
    </w:p>
    <w:p>
      <w:pPr>
        <w:pStyle w:val="ListBullet"/>
      </w:pPr>
      <w:r>
        <w:t>Establish a defensible, owner-attested exit disposition for every material use case: retire, replace, migrate, retain temporarily, or require new target-state design.</w:t>
      </w:r>
    </w:p>
    <w:p>
      <w:pPr>
        <w:pStyle w:val="ListBullet"/>
      </w:pPr>
      <w:r>
        <w:t>Execute quick-win allocated-storage and entitlement hygiene in parallel, while separating modeled opportunity from invoice-level savings.</w:t>
      </w:r>
    </w:p>
    <w:p>
      <w:pPr>
        <w:pStyle w:val="ListBullet"/>
      </w:pPr>
      <w:r>
        <w:t>Put high-criticality regulatory, model, finance/risk decisioning, and end-of-period production workloads through enhanced dependency and cutover controls.</w:t>
      </w:r>
    </w:p>
    <w:p>
      <w:r>
        <w:t>Status: working hypothesis / discussion draft. Figures are transcribed from screenshot materials and should be reconciled to an authoritative refreshed extract before leadership publication.</w:t>
      </w:r>
    </w:p>
    <w:p>
      <w:pPr>
        <w:pStyle w:val="Heading1"/>
      </w:pPr>
      <w:r>
        <w:t>1 | Mandate, scope, and intended decisions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Leadership question</w:t>
            </w:r>
          </w:p>
        </w:tc>
        <w:tc>
          <w:tcPr>
            <w:tcW w:type="dxa" w:w="4939"/>
            <w:vAlign w:val="center"/>
          </w:tcPr>
          <w:p>
            <w:pPr>
              <w:spacing w:after="40"/>
            </w:pPr>
            <w:r>
              <w:rPr>
                <w:sz w:val="16"/>
              </w:rPr>
              <w:t>Required deliverable</w:t>
            </w:r>
          </w:p>
        </w:tc>
      </w:tr>
      <w:tr>
        <w:tc>
          <w:tcPr>
            <w:tcW w:type="dxa" w:w="4939"/>
            <w:vAlign w:val="center"/>
          </w:tcPr>
          <w:p>
            <w:pPr>
              <w:spacing w:after="40"/>
            </w:pPr>
            <w:r>
              <w:rPr>
                <w:sz w:val="16"/>
              </w:rPr>
              <w:t>What is on SAS?</w:t>
            </w:r>
          </w:p>
        </w:tc>
        <w:tc>
          <w:tcPr>
            <w:tcW w:type="dxa" w:w="4939"/>
            <w:vAlign w:val="center"/>
          </w:tcPr>
          <w:p>
            <w:pPr>
              <w:spacing w:after="40"/>
            </w:pPr>
            <w:r>
              <w:rPr>
                <w:sz w:val="16"/>
              </w:rPr>
              <w:t>Named, owner-attested use-case catalog linked to each SAS workspace, platform and entitlement population.</w:t>
            </w:r>
          </w:p>
        </w:tc>
      </w:tr>
      <w:tr>
        <w:tc>
          <w:tcPr>
            <w:tcW w:type="dxa" w:w="4939"/>
            <w:vAlign w:val="center"/>
          </w:tcPr>
          <w:p>
            <w:pPr>
              <w:spacing w:after="40"/>
            </w:pPr>
            <w:r>
              <w:rPr>
                <w:sz w:val="16"/>
              </w:rPr>
              <w:t>How important is it?</w:t>
            </w:r>
          </w:p>
        </w:tc>
        <w:tc>
          <w:tcPr>
            <w:tcW w:type="dxa" w:w="4939"/>
            <w:vAlign w:val="center"/>
          </w:tcPr>
          <w:p>
            <w:pPr>
              <w:spacing w:after="40"/>
            </w:pPr>
            <w:r>
              <w:rPr>
                <w:sz w:val="16"/>
              </w:rPr>
              <w:t>Tiered criticality assessment reflecting regulatory, financial, customer, operational, and model risk impact.</w:t>
            </w:r>
          </w:p>
        </w:tc>
      </w:tr>
      <w:tr>
        <w:tc>
          <w:tcPr>
            <w:tcW w:type="dxa" w:w="4939"/>
            <w:vAlign w:val="center"/>
          </w:tcPr>
          <w:p>
            <w:pPr>
              <w:spacing w:after="40"/>
            </w:pPr>
            <w:r>
              <w:rPr>
                <w:sz w:val="16"/>
              </w:rPr>
              <w:t>Can we exit?</w:t>
            </w:r>
          </w:p>
        </w:tc>
        <w:tc>
          <w:tcPr>
            <w:tcW w:type="dxa" w:w="4939"/>
            <w:vAlign w:val="center"/>
          </w:tcPr>
          <w:p>
            <w:pPr>
              <w:spacing w:after="40"/>
            </w:pPr>
            <w:r>
              <w:rPr>
                <w:sz w:val="16"/>
              </w:rPr>
              <w:t>Target destination, dependencies, conversion effort, funding/owner, milestones, contingency plan.</w:t>
            </w:r>
          </w:p>
        </w:tc>
      </w:tr>
      <w:tr>
        <w:tc>
          <w:tcPr>
            <w:tcW w:type="dxa" w:w="4939"/>
            <w:vAlign w:val="center"/>
          </w:tcPr>
          <w:p>
            <w:pPr>
              <w:spacing w:after="40"/>
            </w:pPr>
            <w:r>
              <w:rPr>
                <w:sz w:val="16"/>
              </w:rPr>
              <w:t>What can we save now?</w:t>
            </w:r>
          </w:p>
        </w:tc>
        <w:tc>
          <w:tcPr>
            <w:tcW w:type="dxa" w:w="4939"/>
            <w:vAlign w:val="center"/>
          </w:tcPr>
          <w:p>
            <w:pPr>
              <w:spacing w:after="40"/>
            </w:pPr>
            <w:r>
              <w:rPr>
                <w:sz w:val="16"/>
              </w:rPr>
              <w:t>Verified allocation reduction, license/entitlement changes, modeled vs realized economics.</w:t>
            </w:r>
          </w:p>
        </w:tc>
      </w:tr>
      <w:tr>
        <w:tc>
          <w:tcPr>
            <w:tcW w:type="dxa" w:w="4939"/>
            <w:vAlign w:val="center"/>
          </w:tcPr>
          <w:p>
            <w:pPr>
              <w:spacing w:after="40"/>
            </w:pPr>
            <w:r>
              <w:rPr>
                <w:sz w:val="16"/>
              </w:rPr>
              <w:t>Can we meet a contractual deadline?</w:t>
            </w:r>
          </w:p>
        </w:tc>
        <w:tc>
          <w:tcPr>
            <w:tcW w:type="dxa" w:w="4939"/>
            <w:vAlign w:val="center"/>
          </w:tcPr>
          <w:p>
            <w:pPr>
              <w:spacing w:after="40"/>
            </w:pPr>
            <w:r>
              <w:rPr>
                <w:sz w:val="16"/>
              </w:rPr>
              <w:t>Scenario-based waves, decision dates and dependency-based schedule once vendor terms are confirmed.</w:t>
            </w:r>
          </w:p>
        </w:tc>
      </w:tr>
    </w:tbl>
    <w:p>
      <w:pPr>
        <w:pStyle w:val="Heading1"/>
      </w:pPr>
      <w:r>
        <w:t>2 | Definitions and counting rules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Term</w:t>
            </w:r>
          </w:p>
        </w:tc>
        <w:tc>
          <w:tcPr>
            <w:tcW w:type="dxa" w:w="4939"/>
            <w:vAlign w:val="center"/>
          </w:tcPr>
          <w:p>
            <w:pPr>
              <w:spacing w:after="40"/>
            </w:pPr>
            <w:r>
              <w:rPr>
                <w:sz w:val="16"/>
              </w:rPr>
              <w:t>Definition / interpretation</w:t>
            </w:r>
          </w:p>
        </w:tc>
      </w:tr>
      <w:tr>
        <w:tc>
          <w:tcPr>
            <w:tcW w:type="dxa" w:w="4939"/>
            <w:vAlign w:val="center"/>
          </w:tcPr>
          <w:p>
            <w:pPr>
              <w:spacing w:after="40"/>
            </w:pPr>
            <w:r>
              <w:rPr>
                <w:sz w:val="16"/>
              </w:rPr>
              <w:t>SAS (not SaaS)</w:t>
            </w:r>
          </w:p>
        </w:tc>
        <w:tc>
          <w:tcPr>
            <w:tcW w:type="dxa" w:w="4939"/>
            <w:vAlign w:val="center"/>
          </w:tcPr>
          <w:p>
            <w:pPr>
              <w:spacing w:after="40"/>
            </w:pPr>
            <w:r>
              <w:rPr>
                <w:sz w:val="16"/>
              </w:rPr>
              <w:t>SAS analytics software/platform; source views list 1SAS, 1SASViya, 9SAS, EMSAS, SASG1. “SaaS” is a delivery model, not the SAS product name.</w:t>
            </w:r>
          </w:p>
        </w:tc>
      </w:tr>
      <w:tr>
        <w:tc>
          <w:tcPr>
            <w:tcW w:type="dxa" w:w="4939"/>
            <w:vAlign w:val="center"/>
          </w:tcPr>
          <w:p>
            <w:pPr>
              <w:spacing w:after="40"/>
            </w:pPr>
            <w:r>
              <w:rPr>
                <w:sz w:val="16"/>
              </w:rPr>
              <w:t>Workspace</w:t>
            </w:r>
          </w:p>
        </w:tc>
        <w:tc>
          <w:tcPr>
            <w:tcW w:type="dxa" w:w="4939"/>
            <w:vAlign w:val="center"/>
          </w:tcPr>
          <w:p>
            <w:pPr>
              <w:spacing w:after="40"/>
            </w:pPr>
            <w:r>
              <w:rPr>
                <w:sz w:val="16"/>
              </w:rPr>
              <w:t>Provisioned area / file-system or analytics workspace. 166 is a count of workspaces, not individuals.</w:t>
            </w:r>
          </w:p>
        </w:tc>
      </w:tr>
      <w:tr>
        <w:tc>
          <w:tcPr>
            <w:tcW w:type="dxa" w:w="4939"/>
            <w:vAlign w:val="center"/>
          </w:tcPr>
          <w:p>
            <w:pPr>
              <w:spacing w:after="40"/>
            </w:pPr>
            <w:r>
              <w:rPr>
                <w:sz w:val="16"/>
              </w:rPr>
              <w:t>Workspace owner</w:t>
            </w:r>
          </w:p>
        </w:tc>
        <w:tc>
          <w:tcPr>
            <w:tcW w:type="dxa" w:w="4939"/>
            <w:vAlign w:val="center"/>
          </w:tcPr>
          <w:p>
            <w:pPr>
              <w:spacing w:after="40"/>
            </w:pPr>
            <w:r>
              <w:rPr>
                <w:sz w:val="16"/>
              </w:rPr>
              <w:t>Named accountable contact. User estimates ~66 distinct owners; verify against deduplicated user ID.</w:t>
            </w:r>
          </w:p>
        </w:tc>
      </w:tr>
      <w:tr>
        <w:tc>
          <w:tcPr>
            <w:tcW w:type="dxa" w:w="4939"/>
            <w:vAlign w:val="center"/>
          </w:tcPr>
          <w:p>
            <w:pPr>
              <w:spacing w:after="40"/>
            </w:pPr>
            <w:r>
              <w:rPr>
                <w:sz w:val="16"/>
              </w:rPr>
              <w:t>Entitlement</w:t>
            </w:r>
          </w:p>
        </w:tc>
        <w:tc>
          <w:tcPr>
            <w:tcW w:type="dxa" w:w="4939"/>
            <w:vAlign w:val="center"/>
          </w:tcPr>
          <w:p>
            <w:pPr>
              <w:spacing w:after="40"/>
            </w:pPr>
            <w:r>
              <w:rPr>
                <w:sz w:val="16"/>
              </w:rPr>
              <w:t>Access grant or entitlement record, not automatically one unique person or one billed license. August count = 2,180 entitlement records; validate distinct active users.</w:t>
            </w:r>
          </w:p>
        </w:tc>
      </w:tr>
      <w:tr>
        <w:tc>
          <w:tcPr>
            <w:tcW w:type="dxa" w:w="4939"/>
            <w:vAlign w:val="center"/>
          </w:tcPr>
          <w:p>
            <w:pPr>
              <w:spacing w:after="40"/>
            </w:pPr>
            <w:r>
              <w:rPr>
                <w:sz w:val="16"/>
              </w:rPr>
              <w:t>Use case</w:t>
            </w:r>
          </w:p>
        </w:tc>
        <w:tc>
          <w:tcPr>
            <w:tcW w:type="dxa" w:w="4939"/>
            <w:vAlign w:val="center"/>
          </w:tcPr>
          <w:p>
            <w:pPr>
              <w:spacing w:after="40"/>
            </w:pPr>
            <w:r>
              <w:rPr>
                <w:sz w:val="16"/>
              </w:rPr>
              <w:t>A distinct, outcome-based workload or business process (report, model, ETL, analytics, reconciliations) that may span multiple workspaces and users.</w:t>
            </w:r>
          </w:p>
        </w:tc>
      </w:tr>
      <w:tr>
        <w:tc>
          <w:tcPr>
            <w:tcW w:type="dxa" w:w="4939"/>
            <w:vAlign w:val="center"/>
          </w:tcPr>
          <w:p>
            <w:pPr>
              <w:spacing w:after="40"/>
            </w:pPr>
            <w:r>
              <w:rPr>
                <w:sz w:val="16"/>
              </w:rPr>
              <w:t>Application / BAM ID</w:t>
            </w:r>
          </w:p>
        </w:tc>
        <w:tc>
          <w:tcPr>
            <w:tcW w:type="dxa" w:w="4939"/>
            <w:vAlign w:val="center"/>
          </w:tcPr>
          <w:p>
            <w:pPr>
              <w:spacing w:after="40"/>
            </w:pPr>
            <w:r>
              <w:rPr>
                <w:sz w:val="16"/>
              </w:rPr>
              <w:t>Application or business-service identifier used to link use cases, accountable technology ownership, and future migrations.</w:t>
            </w:r>
          </w:p>
        </w:tc>
      </w:tr>
      <w:tr>
        <w:tc>
          <w:tcPr>
            <w:tcW w:type="dxa" w:w="4939"/>
            <w:vAlign w:val="center"/>
          </w:tcPr>
          <w:p>
            <w:pPr>
              <w:spacing w:after="40"/>
            </w:pPr>
            <w:r>
              <w:rPr>
                <w:sz w:val="16"/>
              </w:rPr>
              <w:t>Allocated GB</w:t>
            </w:r>
          </w:p>
        </w:tc>
        <w:tc>
          <w:tcPr>
            <w:tcW w:type="dxa" w:w="4939"/>
            <w:vAlign w:val="center"/>
          </w:tcPr>
          <w:p>
            <w:pPr>
              <w:spacing w:after="40"/>
            </w:pPr>
            <w:r>
              <w:rPr>
                <w:sz w:val="16"/>
              </w:rPr>
              <w:t>Provisioned footprint which presented materials identify as the storage cost driver.</w:t>
            </w:r>
          </w:p>
        </w:tc>
      </w:tr>
      <w:tr>
        <w:tc>
          <w:tcPr>
            <w:tcW w:type="dxa" w:w="4939"/>
            <w:vAlign w:val="center"/>
          </w:tcPr>
          <w:p>
            <w:pPr>
              <w:spacing w:after="40"/>
            </w:pPr>
            <w:r>
              <w:rPr>
                <w:sz w:val="16"/>
              </w:rPr>
              <w:t>Used GB</w:t>
            </w:r>
          </w:p>
        </w:tc>
        <w:tc>
          <w:tcPr>
            <w:tcW w:type="dxa" w:w="4939"/>
            <w:vAlign w:val="center"/>
          </w:tcPr>
          <w:p>
            <w:pPr>
              <w:spacing w:after="40"/>
            </w:pPr>
            <w:r>
              <w:rPr>
                <w:sz w:val="16"/>
              </w:rPr>
              <w:t>Observed stored data; average utilization cannot represent peak or month-end usage by itself.</w:t>
            </w:r>
          </w:p>
        </w:tc>
      </w:tr>
    </w:tbl>
    <w:p>
      <w:pPr>
        <w:pStyle w:val="Heading1"/>
      </w:pPr>
      <w:r>
        <w:t>3 | Confirmed baseline and reconciliation register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Measurement</w:t>
            </w:r>
          </w:p>
        </w:tc>
        <w:tc>
          <w:tcPr>
            <w:tcW w:type="dxa" w:w="3293"/>
            <w:vAlign w:val="center"/>
          </w:tcPr>
          <w:p>
            <w:pPr>
              <w:spacing w:after="40"/>
            </w:pPr>
            <w:r>
              <w:rPr>
                <w:sz w:val="16"/>
              </w:rPr>
              <w:t>August 2026 view</w:t>
            </w:r>
          </w:p>
        </w:tc>
        <w:tc>
          <w:tcPr>
            <w:tcW w:type="dxa" w:w="3293"/>
            <w:vAlign w:val="center"/>
          </w:tcPr>
          <w:p>
            <w:pPr>
              <w:spacing w:after="40"/>
            </w:pPr>
            <w:r>
              <w:rPr>
                <w:sz w:val="16"/>
              </w:rPr>
              <w:t>Interpretation</w:t>
            </w:r>
          </w:p>
        </w:tc>
      </w:tr>
      <w:tr>
        <w:tc>
          <w:tcPr>
            <w:tcW w:type="dxa" w:w="3293"/>
            <w:vAlign w:val="center"/>
          </w:tcPr>
          <w:p>
            <w:pPr>
              <w:spacing w:after="40"/>
            </w:pPr>
            <w:r>
              <w:rPr>
                <w:sz w:val="16"/>
              </w:rPr>
              <w:t>Workspaces</w:t>
            </w:r>
          </w:p>
        </w:tc>
        <w:tc>
          <w:tcPr>
            <w:tcW w:type="dxa" w:w="3293"/>
            <w:vAlign w:val="center"/>
          </w:tcPr>
          <w:p>
            <w:pPr>
              <w:spacing w:after="40"/>
            </w:pPr>
            <w:r>
              <w:rPr>
                <w:sz w:val="16"/>
              </w:rPr>
              <w:t>166</w:t>
            </w:r>
          </w:p>
        </w:tc>
        <w:tc>
          <w:tcPr>
            <w:tcW w:type="dxa" w:w="3293"/>
            <w:vAlign w:val="center"/>
          </w:tcPr>
          <w:p>
            <w:pPr>
              <w:spacing w:after="40"/>
            </w:pPr>
            <w:r>
              <w:rPr>
                <w:sz w:val="16"/>
              </w:rPr>
              <w:t>Baseline across Corporate Risk groups.</w:t>
            </w:r>
          </w:p>
        </w:tc>
      </w:tr>
      <w:tr>
        <w:tc>
          <w:tcPr>
            <w:tcW w:type="dxa" w:w="3293"/>
            <w:vAlign w:val="center"/>
          </w:tcPr>
          <w:p>
            <w:pPr>
              <w:spacing w:after="40"/>
            </w:pPr>
            <w:r>
              <w:rPr>
                <w:sz w:val="16"/>
              </w:rPr>
              <w:t>Workspace owners</w:t>
            </w:r>
          </w:p>
        </w:tc>
        <w:tc>
          <w:tcPr>
            <w:tcW w:type="dxa" w:w="3293"/>
            <w:vAlign w:val="center"/>
          </w:tcPr>
          <w:p>
            <w:pPr>
              <w:spacing w:after="40"/>
            </w:pPr>
            <w:r>
              <w:rPr>
                <w:sz w:val="16"/>
              </w:rPr>
              <w:t>~66 (user estimate)</w:t>
            </w:r>
          </w:p>
        </w:tc>
        <w:tc>
          <w:tcPr>
            <w:tcW w:type="dxa" w:w="3293"/>
            <w:vAlign w:val="center"/>
          </w:tcPr>
          <w:p>
            <w:pPr>
              <w:spacing w:after="40"/>
            </w:pPr>
            <w:r>
              <w:rPr>
                <w:sz w:val="16"/>
              </w:rPr>
              <w:t>Needs deduplication and ownership certification.</w:t>
            </w:r>
          </w:p>
        </w:tc>
      </w:tr>
      <w:tr>
        <w:tc>
          <w:tcPr>
            <w:tcW w:type="dxa" w:w="3293"/>
            <w:vAlign w:val="center"/>
          </w:tcPr>
          <w:p>
            <w:pPr>
              <w:spacing w:after="40"/>
            </w:pPr>
            <w:r>
              <w:rPr>
                <w:sz w:val="16"/>
              </w:rPr>
              <w:t>Entitlements</w:t>
            </w:r>
          </w:p>
        </w:tc>
        <w:tc>
          <w:tcPr>
            <w:tcW w:type="dxa" w:w="3293"/>
            <w:vAlign w:val="center"/>
          </w:tcPr>
          <w:p>
            <w:pPr>
              <w:spacing w:after="40"/>
            </w:pPr>
            <w:r>
              <w:rPr>
                <w:sz w:val="16"/>
              </w:rPr>
              <w:t>2,180</w:t>
            </w:r>
          </w:p>
        </w:tc>
        <w:tc>
          <w:tcPr>
            <w:tcW w:type="dxa" w:w="3293"/>
            <w:vAlign w:val="center"/>
          </w:tcPr>
          <w:p>
            <w:pPr>
              <w:spacing w:after="40"/>
            </w:pPr>
            <w:r>
              <w:rPr>
                <w:sz w:val="16"/>
              </w:rPr>
              <w:t>Down 189 versus May presentation total of 2,393; not yet proof of 189 fewer paid users.</w:t>
            </w:r>
          </w:p>
        </w:tc>
      </w:tr>
      <w:tr>
        <w:tc>
          <w:tcPr>
            <w:tcW w:type="dxa" w:w="3293"/>
            <w:vAlign w:val="center"/>
          </w:tcPr>
          <w:p>
            <w:pPr>
              <w:spacing w:after="40"/>
            </w:pPr>
            <w:r>
              <w:rPr>
                <w:sz w:val="16"/>
              </w:rPr>
              <w:t>Allocated storage</w:t>
            </w:r>
          </w:p>
        </w:tc>
        <w:tc>
          <w:tcPr>
            <w:tcW w:type="dxa" w:w="3293"/>
            <w:vAlign w:val="center"/>
          </w:tcPr>
          <w:p>
            <w:pPr>
              <w:spacing w:after="40"/>
            </w:pPr>
            <w:r>
              <w:rPr>
                <w:sz w:val="16"/>
              </w:rPr>
              <w:t>1,930,565.97 GB</w:t>
            </w:r>
          </w:p>
        </w:tc>
        <w:tc>
          <w:tcPr>
            <w:tcW w:type="dxa" w:w="3293"/>
            <w:vAlign w:val="center"/>
          </w:tcPr>
          <w:p>
            <w:pPr>
              <w:spacing w:after="40"/>
            </w:pPr>
            <w:r>
              <w:rPr>
                <w:sz w:val="16"/>
              </w:rPr>
              <w:t>About 1.93 PB using decimal GB/PB.</w:t>
            </w:r>
          </w:p>
        </w:tc>
      </w:tr>
      <w:tr>
        <w:tc>
          <w:tcPr>
            <w:tcW w:type="dxa" w:w="3293"/>
            <w:vAlign w:val="center"/>
          </w:tcPr>
          <w:p>
            <w:pPr>
              <w:spacing w:after="40"/>
            </w:pPr>
            <w:r>
              <w:rPr>
                <w:sz w:val="16"/>
              </w:rPr>
              <w:t>Used storage</w:t>
            </w:r>
          </w:p>
        </w:tc>
        <w:tc>
          <w:tcPr>
            <w:tcW w:type="dxa" w:w="3293"/>
            <w:vAlign w:val="center"/>
          </w:tcPr>
          <w:p>
            <w:pPr>
              <w:spacing w:after="40"/>
            </w:pPr>
            <w:r>
              <w:rPr>
                <w:sz w:val="16"/>
              </w:rPr>
              <w:t>888,685.39 GB</w:t>
            </w:r>
          </w:p>
        </w:tc>
        <w:tc>
          <w:tcPr>
            <w:tcW w:type="dxa" w:w="3293"/>
            <w:vAlign w:val="center"/>
          </w:tcPr>
          <w:p>
            <w:pPr>
              <w:spacing w:after="40"/>
            </w:pPr>
            <w:r>
              <w:rPr>
                <w:sz w:val="16"/>
              </w:rPr>
              <w:t>About 0.889 PB.</w:t>
            </w:r>
          </w:p>
        </w:tc>
      </w:tr>
      <w:tr>
        <w:tc>
          <w:tcPr>
            <w:tcW w:type="dxa" w:w="3293"/>
            <w:vAlign w:val="center"/>
          </w:tcPr>
          <w:p>
            <w:pPr>
              <w:spacing w:after="40"/>
            </w:pPr>
            <w:r>
              <w:rPr>
                <w:sz w:val="16"/>
              </w:rPr>
              <w:t>Overall utilization</w:t>
            </w:r>
          </w:p>
        </w:tc>
        <w:tc>
          <w:tcPr>
            <w:tcW w:type="dxa" w:w="3293"/>
            <w:vAlign w:val="center"/>
          </w:tcPr>
          <w:p>
            <w:pPr>
              <w:spacing w:after="40"/>
            </w:pPr>
            <w:r>
              <w:rPr>
                <w:sz w:val="16"/>
              </w:rPr>
              <w:t>46.0%</w:t>
            </w:r>
          </w:p>
        </w:tc>
        <w:tc>
          <w:tcPr>
            <w:tcW w:type="dxa" w:w="3293"/>
            <w:vAlign w:val="center"/>
          </w:tcPr>
          <w:p>
            <w:pPr>
              <w:spacing w:after="40"/>
            </w:pPr>
            <w:r>
              <w:rPr>
                <w:sz w:val="16"/>
              </w:rPr>
              <w:t>Weighted used ÷ allocated.</w:t>
            </w:r>
          </w:p>
        </w:tc>
      </w:tr>
      <w:tr>
        <w:tc>
          <w:tcPr>
            <w:tcW w:type="dxa" w:w="3293"/>
            <w:vAlign w:val="center"/>
          </w:tcPr>
          <w:p>
            <w:pPr>
              <w:spacing w:after="40"/>
            </w:pPr>
            <w:r>
              <w:rPr>
                <w:sz w:val="16"/>
              </w:rPr>
              <w:t>Allocated minus used</w:t>
            </w:r>
          </w:p>
        </w:tc>
        <w:tc>
          <w:tcPr>
            <w:tcW w:type="dxa" w:w="3293"/>
            <w:vAlign w:val="center"/>
          </w:tcPr>
          <w:p>
            <w:pPr>
              <w:spacing w:after="40"/>
            </w:pPr>
            <w:r>
              <w:rPr>
                <w:sz w:val="16"/>
              </w:rPr>
              <w:t>1,041,880.58 GB</w:t>
            </w:r>
          </w:p>
        </w:tc>
        <w:tc>
          <w:tcPr>
            <w:tcW w:type="dxa" w:w="3293"/>
            <w:vAlign w:val="center"/>
          </w:tcPr>
          <w:p>
            <w:pPr>
              <w:spacing w:after="40"/>
            </w:pPr>
            <w:r>
              <w:rPr>
                <w:sz w:val="16"/>
              </w:rPr>
              <w:t>Headroom, NOT automatically safely reclaimable.</w:t>
            </w:r>
          </w:p>
        </w:tc>
      </w:tr>
      <w:tr>
        <w:tc>
          <w:tcPr>
            <w:tcW w:type="dxa" w:w="3293"/>
            <w:vAlign w:val="center"/>
          </w:tcPr>
          <w:p>
            <w:pPr>
              <w:spacing w:after="40"/>
            </w:pPr>
            <w:r>
              <w:rPr>
                <w:sz w:val="16"/>
              </w:rPr>
              <w:t>Illustrative under-60% reduction</w:t>
            </w:r>
          </w:p>
        </w:tc>
        <w:tc>
          <w:tcPr>
            <w:tcW w:type="dxa" w:w="3293"/>
            <w:vAlign w:val="center"/>
          </w:tcPr>
          <w:p>
            <w:pPr>
              <w:spacing w:after="40"/>
            </w:pPr>
            <w:r>
              <w:rPr>
                <w:sz w:val="16"/>
              </w:rPr>
              <w:t>550,074 GB</w:t>
            </w:r>
          </w:p>
        </w:tc>
        <w:tc>
          <w:tcPr>
            <w:tcW w:type="dxa" w:w="3293"/>
            <w:vAlign w:val="center"/>
          </w:tcPr>
          <w:p>
            <w:pPr>
              <w:spacing w:after="40"/>
            </w:pPr>
            <w:r>
              <w:rPr>
                <w:sz w:val="16"/>
              </w:rPr>
              <w:t>Slide-stated allocation optimization opportunity.</w:t>
            </w:r>
          </w:p>
        </w:tc>
      </w:tr>
      <w:tr>
        <w:tc>
          <w:tcPr>
            <w:tcW w:type="dxa" w:w="3293"/>
            <w:vAlign w:val="center"/>
          </w:tcPr>
          <w:p>
            <w:pPr>
              <w:spacing w:after="40"/>
            </w:pPr>
            <w:r>
              <w:rPr>
                <w:sz w:val="16"/>
              </w:rPr>
              <w:t>Modeled annual impact</w:t>
            </w:r>
          </w:p>
        </w:tc>
        <w:tc>
          <w:tcPr>
            <w:tcW w:type="dxa" w:w="3293"/>
            <w:vAlign w:val="center"/>
          </w:tcPr>
          <w:p>
            <w:pPr>
              <w:spacing w:after="40"/>
            </w:pPr>
            <w:r>
              <w:rPr>
                <w:sz w:val="16"/>
              </w:rPr>
              <w:t>~$1.6M</w:t>
            </w:r>
          </w:p>
        </w:tc>
        <w:tc>
          <w:tcPr>
            <w:tcW w:type="dxa" w:w="3293"/>
            <w:vAlign w:val="center"/>
          </w:tcPr>
          <w:p>
            <w:pPr>
              <w:spacing w:after="40"/>
            </w:pPr>
            <w:r>
              <w:rPr>
                <w:sz w:val="16"/>
              </w:rPr>
              <w:t>Derived using platform-team estimate; not booked or validated savings.</w:t>
            </w:r>
          </w:p>
        </w:tc>
      </w:tr>
      <w:tr>
        <w:tc>
          <w:tcPr>
            <w:tcW w:type="dxa" w:w="3293"/>
            <w:vAlign w:val="center"/>
          </w:tcPr>
          <w:p>
            <w:pPr>
              <w:spacing w:after="40"/>
            </w:pPr>
            <w:r>
              <w:rPr>
                <w:sz w:val="16"/>
              </w:rPr>
              <w:t>Earlier May baseline</w:t>
            </w:r>
          </w:p>
        </w:tc>
        <w:tc>
          <w:tcPr>
            <w:tcW w:type="dxa" w:w="3293"/>
            <w:vAlign w:val="center"/>
          </w:tcPr>
          <w:p>
            <w:pPr>
              <w:spacing w:after="40"/>
            </w:pPr>
            <w:r>
              <w:rPr>
                <w:sz w:val="16"/>
              </w:rPr>
              <w:t>2,355,542.45 GB allocated / 833,755.15 GB used; 2,393 entitlements</w:t>
            </w:r>
          </w:p>
        </w:tc>
        <w:tc>
          <w:tcPr>
            <w:tcW w:type="dxa" w:w="3293"/>
            <w:vAlign w:val="center"/>
          </w:tcPr>
          <w:p>
            <w:pPr>
              <w:spacing w:after="40"/>
            </w:pPr>
            <w:r>
              <w:rPr>
                <w:sz w:val="16"/>
              </w:rPr>
              <w:t>May snapshot; not directly comparable without grouping and extract timing reconciliation.</w:t>
            </w:r>
          </w:p>
        </w:tc>
      </w:tr>
    </w:tbl>
    <w:p>
      <w:r>
        <w:t>Reconciliation caveats: June slide calls licensing costs fixed for the remainder of 2026 and anticipates 2027 per-user charges for active users. A bulk entitlement process and data center migration are described as upcoming. Confirm implementation/current contractual reality rather than treating these older plans as completed.</w:t>
      </w:r>
    </w:p>
    <w:p>
      <w:r>
        <w:br w:type="page"/>
      </w:r>
    </w:p>
    <w:p>
      <w:pPr>
        <w:pStyle w:val="Heading1"/>
      </w:pPr>
      <w:r>
        <w:t>4 | Why the issue is bigger than storage</w:t>
      </w:r>
    </w:p>
    <w:p>
      <w:r>
        <w:drawing>
          <wp:inline xmlns:a="http://schemas.openxmlformats.org/drawingml/2006/main" xmlns:pic="http://schemas.openxmlformats.org/drawingml/2006/picture">
            <wp:extent cx="6080760" cy="2258002"/>
            <wp:docPr id="1" name="Picture 1"/>
            <wp:cNvGraphicFramePr>
              <a:graphicFrameLocks noChangeAspect="1"/>
            </wp:cNvGraphicFramePr>
            <a:graphic>
              <a:graphicData uri="http://schemas.openxmlformats.org/drawingml/2006/picture">
                <pic:pic>
                  <pic:nvPicPr>
                    <pic:cNvPr id="0" name="operating_model.png"/>
                    <pic:cNvPicPr/>
                  </pic:nvPicPr>
                  <pic:blipFill>
                    <a:blip r:embed="rId11"/>
                    <a:stretch>
                      <a:fillRect/>
                    </a:stretch>
                  </pic:blipFill>
                  <pic:spPr>
                    <a:xfrm>
                      <a:off x="0" y="0"/>
                      <a:ext cx="6080760" cy="2258002"/>
                    </a:xfrm>
                    <a:prstGeom prst="rect"/>
                  </pic:spPr>
                </pic:pic>
              </a:graphicData>
            </a:graphic>
          </wp:inline>
        </w:drawing>
      </w:r>
    </w:p>
    <w:p>
      <w:r>
        <w:t>Key distinction: a single high-criticality use case can depend on several SAS platforms, jobs, and upstream feeds; conversely, a single workspace can contain many unrelated use cases. Counting workspaces alone therefore understates migration scope.</w:t>
      </w:r>
    </w:p>
    <w:p>
      <w:pPr>
        <w:pStyle w:val="Heading1"/>
      </w:pPr>
      <w:r>
        <w:t>5 | SAS platform/environment inventory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Environment visible in source</w:t>
            </w:r>
          </w:p>
        </w:tc>
        <w:tc>
          <w:tcPr>
            <w:tcW w:type="dxa" w:w="4939"/>
            <w:vAlign w:val="center"/>
          </w:tcPr>
          <w:p>
            <w:pPr>
              <w:spacing w:after="40"/>
            </w:pPr>
            <w:r>
              <w:rPr>
                <w:sz w:val="16"/>
              </w:rPr>
              <w:t>Practical discovery questions</w:t>
            </w:r>
          </w:p>
        </w:tc>
      </w:tr>
      <w:tr>
        <w:tc>
          <w:tcPr>
            <w:tcW w:type="dxa" w:w="4939"/>
            <w:vAlign w:val="center"/>
          </w:tcPr>
          <w:p>
            <w:pPr>
              <w:spacing w:after="40"/>
            </w:pPr>
            <w:r>
              <w:rPr>
                <w:sz w:val="16"/>
              </w:rPr>
              <w:t>1SAS</w:t>
            </w:r>
          </w:p>
        </w:tc>
        <w:tc>
          <w:tcPr>
            <w:tcW w:type="dxa" w:w="4939"/>
            <w:vAlign w:val="center"/>
          </w:tcPr>
          <w:p>
            <w:pPr>
              <w:spacing w:after="40"/>
            </w:pPr>
            <w:r>
              <w:rPr>
                <w:sz w:val="16"/>
              </w:rPr>
              <w:t>Which users/jobs execute here; platform version; schedules; libraries; data mounts?</w:t>
            </w:r>
          </w:p>
        </w:tc>
      </w:tr>
      <w:tr>
        <w:tc>
          <w:tcPr>
            <w:tcW w:type="dxa" w:w="4939"/>
            <w:vAlign w:val="center"/>
          </w:tcPr>
          <w:p>
            <w:pPr>
              <w:spacing w:after="40"/>
            </w:pPr>
            <w:r>
              <w:rPr>
                <w:sz w:val="16"/>
              </w:rPr>
              <w:t>1SASViya</w:t>
            </w:r>
          </w:p>
        </w:tc>
        <w:tc>
          <w:tcPr>
            <w:tcW w:type="dxa" w:w="4939"/>
            <w:vAlign w:val="center"/>
          </w:tcPr>
          <w:p>
            <w:pPr>
              <w:spacing w:after="40"/>
            </w:pPr>
            <w:r>
              <w:rPr>
                <w:sz w:val="16"/>
              </w:rPr>
              <w:t>Are workloads native to Viya or migrated from SAS 9? Which deployment/compute model?</w:t>
            </w:r>
          </w:p>
        </w:tc>
      </w:tr>
      <w:tr>
        <w:tc>
          <w:tcPr>
            <w:tcW w:type="dxa" w:w="4939"/>
            <w:vAlign w:val="center"/>
          </w:tcPr>
          <w:p>
            <w:pPr>
              <w:spacing w:after="40"/>
            </w:pPr>
            <w:r>
              <w:rPr>
                <w:sz w:val="16"/>
              </w:rPr>
              <w:t>9SAS</w:t>
            </w:r>
          </w:p>
        </w:tc>
        <w:tc>
          <w:tcPr>
            <w:tcW w:type="dxa" w:w="4939"/>
            <w:vAlign w:val="center"/>
          </w:tcPr>
          <w:p>
            <w:pPr>
              <w:spacing w:after="40"/>
            </w:pPr>
            <w:r>
              <w:rPr>
                <w:sz w:val="16"/>
              </w:rPr>
              <w:t>Which legacy SAS scripts, procedures and connectivity are in active use?</w:t>
            </w:r>
          </w:p>
        </w:tc>
      </w:tr>
      <w:tr>
        <w:tc>
          <w:tcPr>
            <w:tcW w:type="dxa" w:w="4939"/>
            <w:vAlign w:val="center"/>
          </w:tcPr>
          <w:p>
            <w:pPr>
              <w:spacing w:after="40"/>
            </w:pPr>
            <w:r>
              <w:rPr>
                <w:sz w:val="16"/>
              </w:rPr>
              <w:t>EMSAS</w:t>
            </w:r>
          </w:p>
        </w:tc>
        <w:tc>
          <w:tcPr>
            <w:tcW w:type="dxa" w:w="4939"/>
            <w:vAlign w:val="center"/>
          </w:tcPr>
          <w:p>
            <w:pPr>
              <w:spacing w:after="40"/>
            </w:pPr>
            <w:r>
              <w:rPr>
                <w:sz w:val="16"/>
              </w:rPr>
              <w:t>Which groups and mission-critical workloads depend on this estate?</w:t>
            </w:r>
          </w:p>
        </w:tc>
      </w:tr>
      <w:tr>
        <w:tc>
          <w:tcPr>
            <w:tcW w:type="dxa" w:w="4939"/>
            <w:vAlign w:val="center"/>
          </w:tcPr>
          <w:p>
            <w:pPr>
              <w:spacing w:after="40"/>
            </w:pPr>
            <w:r>
              <w:rPr>
                <w:sz w:val="16"/>
              </w:rPr>
              <w:t>SASG1</w:t>
            </w:r>
          </w:p>
        </w:tc>
        <w:tc>
          <w:tcPr>
            <w:tcW w:type="dxa" w:w="4939"/>
            <w:vAlign w:val="center"/>
          </w:tcPr>
          <w:p>
            <w:pPr>
              <w:spacing w:after="40"/>
            </w:pPr>
            <w:r>
              <w:rPr>
                <w:sz w:val="16"/>
              </w:rPr>
              <w:t>Which logical applications, access groups, storage and migration plans apply?</w:t>
            </w:r>
          </w:p>
        </w:tc>
      </w:tr>
    </w:tbl>
    <w:p>
      <w:r>
        <w:t>No source screenshots establish workload counts by environment. Join platform environment to workspace, owner, application, source lineage, run logs and costs in the master inventory. Avoid assuming all platforms use the same exit technique.</w:t>
      </w:r>
    </w:p>
    <w:p>
      <w:pPr>
        <w:pStyle w:val="Heading1"/>
      </w:pPr>
      <w:r>
        <w:t>6 | Proposed assessment lifecycle</w:t>
      </w:r>
    </w:p>
    <w:p>
      <w:r>
        <w:drawing>
          <wp:inline xmlns:a="http://schemas.openxmlformats.org/drawingml/2006/main" xmlns:pic="http://schemas.openxmlformats.org/drawingml/2006/picture">
            <wp:extent cx="6080760" cy="2120952"/>
            <wp:docPr id="2" name="Picture 2"/>
            <wp:cNvGraphicFramePr>
              <a:graphicFrameLocks noChangeAspect="1"/>
            </wp:cNvGraphicFramePr>
            <a:graphic>
              <a:graphicData uri="http://schemas.openxmlformats.org/drawingml/2006/picture">
                <pic:pic>
                  <pic:nvPicPr>
                    <pic:cNvPr id="0" name="process.png"/>
                    <pic:cNvPicPr/>
                  </pic:nvPicPr>
                  <pic:blipFill>
                    <a:blip r:embed="rId12"/>
                    <a:stretch>
                      <a:fillRect/>
                    </a:stretch>
                  </pic:blipFill>
                  <pic:spPr>
                    <a:xfrm>
                      <a:off x="0" y="0"/>
                      <a:ext cx="6080760" cy="2120952"/>
                    </a:xfrm>
                    <a:prstGeom prst="rect"/>
                  </pic:spPr>
                </pic:pic>
              </a:graphicData>
            </a:graphic>
          </wp:inline>
        </w:drawing>
      </w:r>
    </w:p>
    <w:p>
      <w:pPr>
        <w:pStyle w:val="Heading2"/>
      </w:pPr>
      <w:r>
        <w:t>Phase 0: Mobilize and clarify urgency</w:t>
      </w:r>
    </w:p>
    <w:p>
      <w:pPr>
        <w:pStyle w:val="ListBullet"/>
      </w:pPr>
      <w:r>
        <w:t>Obtain the actual SAS contract issue, required decision date, termination/renewal milestones, transition assistance rights, continued-service rights, and legal/vendor constraints from Technology, Sourcing and Legal.</w:t>
      </w:r>
    </w:p>
    <w:p>
      <w:pPr>
        <w:pStyle w:val="ListBullet"/>
      </w:pPr>
      <w:r>
        <w:t>Establish a program sponsor, accountable Corporate Risk lead, Technology platform lead, Finance/FinOps partner and escalation route.</w:t>
      </w:r>
    </w:p>
    <w:p>
      <w:pPr>
        <w:pStyle w:val="ListBullet"/>
      </w:pPr>
      <w:r>
        <w:t>Define three scenarios: normal renewal/optimization; constrained remediation/partial migration; full exit by a stipulated date.</w:t>
      </w:r>
    </w:p>
    <w:p>
      <w:pPr>
        <w:pStyle w:val="ListBullet"/>
      </w:pPr>
      <w:r>
        <w:t>Freeze a controlled August baseline and request a current October extract for apples-to-apples reconciliation.</w:t>
      </w:r>
    </w:p>
    <w:p>
      <w:pPr>
        <w:pStyle w:val="Heading2"/>
      </w:pPr>
      <w:r>
        <w:t>Phase 1: Establish the technical universe</w:t>
      </w:r>
    </w:p>
    <w:p>
      <w:pPr>
        <w:pStyle w:val="ListBullet"/>
      </w:pPr>
      <w:r>
        <w:t>Build workspace × environment × owner × entitlement crosswalk; identify 166 unique workspaces and reconcile the ~66 owner count.</w:t>
      </w:r>
    </w:p>
    <w:p>
      <w:pPr>
        <w:pStyle w:val="ListBullet"/>
      </w:pPr>
      <w:r>
        <w:t>Pull last login and last SAS job execution separately; record 30/90/180/365-day activity and month/quarter-end peak patterns.</w:t>
      </w:r>
    </w:p>
    <w:p>
      <w:pPr>
        <w:pStyle w:val="ListBullet"/>
      </w:pPr>
      <w:r>
        <w:t>Obtain batch scheduler jobs, program libraries, file lists and aging, input/output tables and shares, connectors, upstream/downstream processes and service accounts.</w:t>
      </w:r>
    </w:p>
    <w:p>
      <w:pPr>
        <w:pStyle w:val="ListBullet"/>
      </w:pPr>
      <w:r>
        <w:t>Map users, workspace owners and processes to BAM application IDs and responsible executives.</w:t>
      </w:r>
    </w:p>
    <w:p>
      <w:pPr>
        <w:pStyle w:val="Heading2"/>
      </w:pPr>
      <w:r>
        <w:t>Phase 2: Discover actual business use cases</w:t>
      </w:r>
    </w:p>
    <w:p>
      <w:pPr>
        <w:pStyle w:val="ListBullet"/>
      </w:pPr>
      <w:r>
        <w:t>Interview each owner using a standardized questionnaire; avoid asking simply “do you need SAS?”—ask what business deliverable relies on it.</w:t>
      </w:r>
    </w:p>
    <w:p>
      <w:pPr>
        <w:pStyle w:val="ListBullet"/>
      </w:pPr>
      <w:r>
        <w:t>Collect sample outputs, report names/IDs, model IDs, regulatory calendars, source inputs, consumer list, execution frequency, SLAs and runbook links.</w:t>
      </w:r>
    </w:p>
    <w:p>
      <w:pPr>
        <w:pStyle w:val="ListBullet"/>
      </w:pPr>
      <w:r>
        <w:t>Trace process chain: source data → ingestion → transformation/code → SAS execution → output storage → distribution → decision/report.</w:t>
      </w:r>
    </w:p>
    <w:p>
      <w:pPr>
        <w:pStyle w:val="ListBullet"/>
      </w:pPr>
      <w:r>
        <w:t>Capture known target platform, overlapping development in iHub/RDS/Credit 360 or other approved enterprise tools; do not presume a target is approved or ready.</w:t>
      </w:r>
    </w:p>
    <w:p>
      <w:pPr>
        <w:pStyle w:val="Heading2"/>
      </w:pPr>
      <w:r>
        <w:t>Phase 3: Criticality and exit assessment</w:t>
      </w:r>
    </w:p>
    <w:p>
      <w:pPr>
        <w:pStyle w:val="ListBullet"/>
      </w:pPr>
      <w:r>
        <w:t>Assign criticality tier, impact of outage, reconciliation/validation requirements and evidence of alternatives.</w:t>
      </w:r>
    </w:p>
    <w:p>
      <w:pPr>
        <w:pStyle w:val="ListBullet"/>
      </w:pPr>
      <w:r>
        <w:t>Classify path: eliminate, migrate, refactor, replace, or interim retain; determine whether full migration is feasible inside contractual deadline.</w:t>
      </w:r>
    </w:p>
    <w:p>
      <w:pPr>
        <w:pStyle w:val="ListBullet"/>
      </w:pPr>
      <w:r>
        <w:t>Produce effort range, owners and dependencies, procurement/infrastructure needs, target data sourcing and control parity requirements.</w:t>
      </w:r>
    </w:p>
    <w:p>
      <w:pPr>
        <w:pStyle w:val="Heading2"/>
      </w:pPr>
      <w:r>
        <w:t>Phase 4: Validate and execute</w:t>
      </w:r>
    </w:p>
    <w:p>
      <w:pPr>
        <w:pStyle w:val="ListBullet"/>
      </w:pPr>
      <w:r>
        <w:t>Prioritize by business disruption and target readiness, not solely under-60% storage utilization.</w:t>
      </w:r>
    </w:p>
    <w:p>
      <w:pPr>
        <w:pStyle w:val="ListBullet"/>
      </w:pPr>
      <w:r>
        <w:t>Sequence proof-of-concept, parallel run, output reconciliation, model governance, production cutover and final decommission.</w:t>
      </w:r>
    </w:p>
    <w:p>
      <w:pPr>
        <w:pStyle w:val="ListBullet"/>
      </w:pPr>
      <w:r>
        <w:t>Track closure evidence: business approval, testing, access withdrawal, archival/retention approval, storage deallocation and confirmed billing impact.</w:t>
      </w:r>
    </w:p>
    <w:p>
      <w:r>
        <w:br w:type="page"/>
      </w:r>
    </w:p>
    <w:p>
      <w:pPr>
        <w:pStyle w:val="Heading1"/>
      </w:pPr>
      <w:r>
        <w:t>7 | Criticality framework and decision tree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Tier</w:t>
            </w:r>
          </w:p>
        </w:tc>
        <w:tc>
          <w:tcPr>
            <w:tcW w:type="dxa" w:w="3293"/>
            <w:vAlign w:val="center"/>
          </w:tcPr>
          <w:p>
            <w:pPr>
              <w:spacing w:after="40"/>
            </w:pPr>
            <w:r>
              <w:rPr>
                <w:sz w:val="16"/>
              </w:rPr>
              <w:t>Typical workload</w:t>
            </w:r>
          </w:p>
        </w:tc>
        <w:tc>
          <w:tcPr>
            <w:tcW w:type="dxa" w:w="3293"/>
            <w:vAlign w:val="center"/>
          </w:tcPr>
          <w:p>
            <w:pPr>
              <w:spacing w:after="40"/>
            </w:pPr>
            <w:r>
              <w:rPr>
                <w:sz w:val="16"/>
              </w:rPr>
              <w:t>Treatment</w:t>
            </w:r>
          </w:p>
        </w:tc>
      </w:tr>
      <w:tr>
        <w:tc>
          <w:tcPr>
            <w:tcW w:type="dxa" w:w="3293"/>
            <w:vAlign w:val="center"/>
          </w:tcPr>
          <w:p>
            <w:pPr>
              <w:spacing w:after="40"/>
            </w:pPr>
            <w:r>
              <w:rPr>
                <w:sz w:val="16"/>
              </w:rPr>
              <w:t>T0 — Critical</w:t>
            </w:r>
          </w:p>
        </w:tc>
        <w:tc>
          <w:tcPr>
            <w:tcW w:type="dxa" w:w="3293"/>
            <w:vAlign w:val="center"/>
          </w:tcPr>
          <w:p>
            <w:pPr>
              <w:spacing w:after="40"/>
            </w:pPr>
            <w:r>
              <w:rPr>
                <w:sz w:val="16"/>
              </w:rPr>
              <w:t>Regulatory filing, capital/allowance, material risk decision, regulated customer/financial data pipeline with hard deadline</w:t>
            </w:r>
          </w:p>
        </w:tc>
        <w:tc>
          <w:tcPr>
            <w:tcW w:type="dxa" w:w="3293"/>
            <w:vAlign w:val="center"/>
          </w:tcPr>
          <w:p>
            <w:pPr>
              <w:spacing w:after="40"/>
            </w:pPr>
            <w:r>
              <w:rPr>
                <w:sz w:val="16"/>
              </w:rPr>
              <w:t>Immediate owner validation, dependency mapping, contingency, executive steering and parallel run.</w:t>
            </w:r>
          </w:p>
        </w:tc>
      </w:tr>
      <w:tr>
        <w:tc>
          <w:tcPr>
            <w:tcW w:type="dxa" w:w="3293"/>
            <w:vAlign w:val="center"/>
          </w:tcPr>
          <w:p>
            <w:pPr>
              <w:spacing w:after="40"/>
            </w:pPr>
            <w:r>
              <w:rPr>
                <w:sz w:val="16"/>
              </w:rPr>
              <w:t>T1 — High</w:t>
            </w:r>
          </w:p>
        </w:tc>
        <w:tc>
          <w:tcPr>
            <w:tcW w:type="dxa" w:w="3293"/>
            <w:vAlign w:val="center"/>
          </w:tcPr>
          <w:p>
            <w:pPr>
              <w:spacing w:after="40"/>
            </w:pPr>
            <w:r>
              <w:rPr>
                <w:sz w:val="16"/>
              </w:rPr>
              <w:t>Production risk models, material management reporting, daily monitoring and key controls</w:t>
            </w:r>
          </w:p>
        </w:tc>
        <w:tc>
          <w:tcPr>
            <w:tcW w:type="dxa" w:w="3293"/>
            <w:vAlign w:val="center"/>
          </w:tcPr>
          <w:p>
            <w:pPr>
              <w:spacing w:after="40"/>
            </w:pPr>
            <w:r>
              <w:rPr>
                <w:sz w:val="16"/>
              </w:rPr>
              <w:t>Prioritize early discovery; exit plan with tested substitute and clear SLA.</w:t>
            </w:r>
          </w:p>
        </w:tc>
      </w:tr>
      <w:tr>
        <w:tc>
          <w:tcPr>
            <w:tcW w:type="dxa" w:w="3293"/>
            <w:vAlign w:val="center"/>
          </w:tcPr>
          <w:p>
            <w:pPr>
              <w:spacing w:after="40"/>
            </w:pPr>
            <w:r>
              <w:rPr>
                <w:sz w:val="16"/>
              </w:rPr>
              <w:t>T2 — Medium</w:t>
            </w:r>
          </w:p>
        </w:tc>
        <w:tc>
          <w:tcPr>
            <w:tcW w:type="dxa" w:w="3293"/>
            <w:vAlign w:val="center"/>
          </w:tcPr>
          <w:p>
            <w:pPr>
              <w:spacing w:after="40"/>
            </w:pPr>
            <w:r>
              <w:rPr>
                <w:sz w:val="16"/>
              </w:rPr>
              <w:t>Recurring analytics, internal management reporting, analytical data preparation</w:t>
            </w:r>
          </w:p>
        </w:tc>
        <w:tc>
          <w:tcPr>
            <w:tcW w:type="dxa" w:w="3293"/>
            <w:vAlign w:val="center"/>
          </w:tcPr>
          <w:p>
            <w:pPr>
              <w:spacing w:after="40"/>
            </w:pPr>
            <w:r>
              <w:rPr>
                <w:sz w:val="16"/>
              </w:rPr>
              <w:t>Consider consolidation/migration in waves, depending on substitutes.</w:t>
            </w:r>
          </w:p>
        </w:tc>
      </w:tr>
      <w:tr>
        <w:tc>
          <w:tcPr>
            <w:tcW w:type="dxa" w:w="3293"/>
            <w:vAlign w:val="center"/>
          </w:tcPr>
          <w:p>
            <w:pPr>
              <w:spacing w:after="40"/>
            </w:pPr>
            <w:r>
              <w:rPr>
                <w:sz w:val="16"/>
              </w:rPr>
              <w:t>T3 — Low</w:t>
            </w:r>
          </w:p>
        </w:tc>
        <w:tc>
          <w:tcPr>
            <w:tcW w:type="dxa" w:w="3293"/>
            <w:vAlign w:val="center"/>
          </w:tcPr>
          <w:p>
            <w:pPr>
              <w:spacing w:after="40"/>
            </w:pPr>
            <w:r>
              <w:rPr>
                <w:sz w:val="16"/>
              </w:rPr>
              <w:t>Ad hoc exploration, inactive/obsolete workloads, duplicated reports</w:t>
            </w:r>
          </w:p>
        </w:tc>
        <w:tc>
          <w:tcPr>
            <w:tcW w:type="dxa" w:w="3293"/>
            <w:vAlign w:val="center"/>
          </w:tcPr>
          <w:p>
            <w:pPr>
              <w:spacing w:after="40"/>
            </w:pPr>
            <w:r>
              <w:rPr>
                <w:sz w:val="16"/>
              </w:rPr>
              <w:t>Retirement/archival candidate after retention and dependency approval.</w:t>
            </w:r>
          </w:p>
        </w:tc>
      </w:tr>
    </w:tbl>
    <w:p>
      <w:r>
        <w:t>Suggested prioritization score (0–100): impact/criticality 30%; contractual urgency 20%; technical entanglement 20%; target readiness 15%; value/effort 15%. Use judgment-based override for any mandated regulatory or safety-critical workload. The score is a planning aid, not a risk acceptance mechanism.</w:t>
      </w:r>
    </w:p>
    <w:p>
      <w:pPr>
        <w:pStyle w:val="Heading2"/>
      </w:pPr>
      <w:r>
        <w:t>Disposition logic</w:t>
      </w:r>
    </w:p>
    <w:p>
      <w:pPr>
        <w:pStyle w:val="ListNumber"/>
      </w:pPr>
      <w:r>
        <w:t>Is the process demonstrably inactive, duplicated or no longer needed? If yes: propose retirement, subject to sign-off and retention.</w:t>
      </w:r>
    </w:p>
    <w:p>
      <w:pPr>
        <w:pStyle w:val="ListNumber"/>
      </w:pPr>
      <w:r>
        <w:t>Is there an existing approved system producing equivalent output? If yes: assess controlled replacement / migration.</w:t>
      </w:r>
    </w:p>
    <w:p>
      <w:pPr>
        <w:pStyle w:val="ListNumber"/>
      </w:pPr>
      <w:r>
        <w:t>Is source data available in a strategic ADS or approved data plane and is SAS only transformation logic? If yes: evaluate code replatforming and output parity.</w:t>
      </w:r>
    </w:p>
    <w:p>
      <w:pPr>
        <w:pStyle w:val="ListNumber"/>
      </w:pPr>
      <w:r>
        <w:t>Does it depend on SAS-specific statistical functionality, macros, procedures or licensed runtime? If yes: initiate technical proof-of-concept and validation.</w:t>
      </w:r>
    </w:p>
    <w:p>
      <w:pPr>
        <w:pStyle w:val="ListNumber"/>
      </w:pPr>
      <w:r>
        <w:t>If no credible alternative can meet the required date: log an exception, quantify impact and seek a documented contract/continuity mitigation decision.</w:t>
      </w:r>
    </w:p>
    <w:p>
      <w:pPr>
        <w:pStyle w:val="Heading1"/>
      </w:pPr>
      <w:r>
        <w:t>8 | Master inventory: minimum viable data model</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Domain</w:t>
            </w:r>
          </w:p>
        </w:tc>
        <w:tc>
          <w:tcPr>
            <w:tcW w:type="dxa" w:w="4939"/>
            <w:vAlign w:val="center"/>
          </w:tcPr>
          <w:p>
            <w:pPr>
              <w:spacing w:after="40"/>
            </w:pPr>
            <w:r>
              <w:rPr>
                <w:sz w:val="16"/>
              </w:rPr>
              <w:t>Fields to collect</w:t>
            </w:r>
          </w:p>
        </w:tc>
      </w:tr>
      <w:tr>
        <w:tc>
          <w:tcPr>
            <w:tcW w:type="dxa" w:w="4939"/>
            <w:vAlign w:val="center"/>
          </w:tcPr>
          <w:p>
            <w:pPr>
              <w:spacing w:after="40"/>
            </w:pPr>
            <w:r>
              <w:rPr>
                <w:sz w:val="16"/>
              </w:rPr>
              <w:t>Identity</w:t>
            </w:r>
          </w:p>
        </w:tc>
        <w:tc>
          <w:tcPr>
            <w:tcW w:type="dxa" w:w="4939"/>
            <w:vAlign w:val="center"/>
          </w:tcPr>
          <w:p>
            <w:pPr>
              <w:spacing w:after="40"/>
            </w:pPr>
            <w:r>
              <w:rPr>
                <w:sz w:val="16"/>
              </w:rPr>
              <w:t>Record ID; risk group; SAS environment; workspace name/path; owner USER_ID; secondary owner; executive; BAM App ID.</w:t>
            </w:r>
          </w:p>
        </w:tc>
      </w:tr>
      <w:tr>
        <w:tc>
          <w:tcPr>
            <w:tcW w:type="dxa" w:w="4939"/>
            <w:vAlign w:val="center"/>
          </w:tcPr>
          <w:p>
            <w:pPr>
              <w:spacing w:after="40"/>
            </w:pPr>
            <w:r>
              <w:rPr>
                <w:sz w:val="16"/>
              </w:rPr>
              <w:t>Access</w:t>
            </w:r>
          </w:p>
        </w:tc>
        <w:tc>
          <w:tcPr>
            <w:tcW w:type="dxa" w:w="4939"/>
            <w:vAlign w:val="center"/>
          </w:tcPr>
          <w:p>
            <w:pPr>
              <w:spacing w:after="40"/>
            </w:pPr>
            <w:r>
              <w:rPr>
                <w:sz w:val="16"/>
              </w:rPr>
              <w:t>Entitlement ID; unique user/person; role; license type; provisioning date; last login; service account; approval.</w:t>
            </w:r>
          </w:p>
        </w:tc>
      </w:tr>
      <w:tr>
        <w:tc>
          <w:tcPr>
            <w:tcW w:type="dxa" w:w="4939"/>
            <w:vAlign w:val="center"/>
          </w:tcPr>
          <w:p>
            <w:pPr>
              <w:spacing w:after="40"/>
            </w:pPr>
            <w:r>
              <w:rPr>
                <w:sz w:val="16"/>
              </w:rPr>
              <w:t>Workload</w:t>
            </w:r>
          </w:p>
        </w:tc>
        <w:tc>
          <w:tcPr>
            <w:tcW w:type="dxa" w:w="4939"/>
            <w:vAlign w:val="center"/>
          </w:tcPr>
          <w:p>
            <w:pPr>
              <w:spacing w:after="40"/>
            </w:pPr>
            <w:r>
              <w:rPr>
                <w:sz w:val="16"/>
              </w:rPr>
              <w:t>Use-case ID; title; process description; owner; consumers; run cadence; production/ad hoc; reports or model IDs.</w:t>
            </w:r>
          </w:p>
        </w:tc>
      </w:tr>
      <w:tr>
        <w:tc>
          <w:tcPr>
            <w:tcW w:type="dxa" w:w="4939"/>
            <w:vAlign w:val="center"/>
          </w:tcPr>
          <w:p>
            <w:pPr>
              <w:spacing w:after="40"/>
            </w:pPr>
            <w:r>
              <w:rPr>
                <w:sz w:val="16"/>
              </w:rPr>
              <w:t>Technical</w:t>
            </w:r>
          </w:p>
        </w:tc>
        <w:tc>
          <w:tcPr>
            <w:tcW w:type="dxa" w:w="4939"/>
            <w:vAlign w:val="center"/>
          </w:tcPr>
          <w:p>
            <w:pPr>
              <w:spacing w:after="40"/>
            </w:pPr>
            <w:r>
              <w:rPr>
                <w:sz w:val="16"/>
              </w:rPr>
              <w:t>Programs; scheduled jobs; SAS-specific macros/procedures; source SOR/ADS; input files/tables; outputs; downstream distribution.</w:t>
            </w:r>
          </w:p>
        </w:tc>
      </w:tr>
      <w:tr>
        <w:tc>
          <w:tcPr>
            <w:tcW w:type="dxa" w:w="4939"/>
            <w:vAlign w:val="center"/>
          </w:tcPr>
          <w:p>
            <w:pPr>
              <w:spacing w:after="40"/>
            </w:pPr>
            <w:r>
              <w:rPr>
                <w:sz w:val="16"/>
              </w:rPr>
              <w:t>Criticality</w:t>
            </w:r>
          </w:p>
        </w:tc>
        <w:tc>
          <w:tcPr>
            <w:tcW w:type="dxa" w:w="4939"/>
            <w:vAlign w:val="center"/>
          </w:tcPr>
          <w:p>
            <w:pPr>
              <w:spacing w:after="40"/>
            </w:pPr>
            <w:r>
              <w:rPr>
                <w:sz w:val="16"/>
              </w:rPr>
              <w:t>Tier; business impact; regulatory obligations; RTO/RPO; deadlines; retention; model governance; confidentiality.</w:t>
            </w:r>
          </w:p>
        </w:tc>
      </w:tr>
      <w:tr>
        <w:tc>
          <w:tcPr>
            <w:tcW w:type="dxa" w:w="4939"/>
            <w:vAlign w:val="center"/>
          </w:tcPr>
          <w:p>
            <w:pPr>
              <w:spacing w:after="40"/>
            </w:pPr>
            <w:r>
              <w:rPr>
                <w:sz w:val="16"/>
              </w:rPr>
              <w:t>Capacity</w:t>
            </w:r>
          </w:p>
        </w:tc>
        <w:tc>
          <w:tcPr>
            <w:tcW w:type="dxa" w:w="4939"/>
            <w:vAlign w:val="center"/>
          </w:tcPr>
          <w:p>
            <w:pPr>
              <w:spacing w:after="40"/>
            </w:pPr>
            <w:r>
              <w:rPr>
                <w:sz w:val="16"/>
              </w:rPr>
              <w:t>Allocated GB; used GB; peak used GB; 30/90-day trend; backup multiplier; recommended allocation; safe headroom.</w:t>
            </w:r>
          </w:p>
        </w:tc>
      </w:tr>
      <w:tr>
        <w:tc>
          <w:tcPr>
            <w:tcW w:type="dxa" w:w="4939"/>
            <w:vAlign w:val="center"/>
          </w:tcPr>
          <w:p>
            <w:pPr>
              <w:spacing w:after="40"/>
            </w:pPr>
            <w:r>
              <w:rPr>
                <w:sz w:val="16"/>
              </w:rPr>
              <w:t>Exit</w:t>
            </w:r>
          </w:p>
        </w:tc>
        <w:tc>
          <w:tcPr>
            <w:tcW w:type="dxa" w:w="4939"/>
            <w:vAlign w:val="center"/>
          </w:tcPr>
          <w:p>
            <w:pPr>
              <w:spacing w:after="40"/>
            </w:pPr>
            <w:r>
              <w:rPr>
                <w:sz w:val="16"/>
              </w:rPr>
              <w:t>Disposition; target platform; data migration; reengineering effort; target readiness; milestones; fallback; test/approval.</w:t>
            </w:r>
          </w:p>
        </w:tc>
      </w:tr>
      <w:tr>
        <w:tc>
          <w:tcPr>
            <w:tcW w:type="dxa" w:w="4939"/>
            <w:vAlign w:val="center"/>
          </w:tcPr>
          <w:p>
            <w:pPr>
              <w:spacing w:after="40"/>
            </w:pPr>
            <w:r>
              <w:rPr>
                <w:sz w:val="16"/>
              </w:rPr>
              <w:t>Financial</w:t>
            </w:r>
          </w:p>
        </w:tc>
        <w:tc>
          <w:tcPr>
            <w:tcW w:type="dxa" w:w="4939"/>
            <w:vAlign w:val="center"/>
          </w:tcPr>
          <w:p>
            <w:pPr>
              <w:spacing w:after="40"/>
            </w:pPr>
            <w:r>
              <w:rPr>
                <w:sz w:val="16"/>
              </w:rPr>
              <w:t>Current rate; rate type; allocation-based vs usage-based; contract minimum; annualized modeled value; actual invoice savings.</w:t>
            </w:r>
          </w:p>
        </w:tc>
      </w:tr>
      <w:tr>
        <w:tc>
          <w:tcPr>
            <w:tcW w:type="dxa" w:w="4939"/>
            <w:vAlign w:val="center"/>
          </w:tcPr>
          <w:p>
            <w:pPr>
              <w:spacing w:after="40"/>
            </w:pPr>
            <w:r>
              <w:rPr>
                <w:sz w:val="16"/>
              </w:rPr>
              <w:t>Control / closure</w:t>
            </w:r>
          </w:p>
        </w:tc>
        <w:tc>
          <w:tcPr>
            <w:tcW w:type="dxa" w:w="4939"/>
            <w:vAlign w:val="center"/>
          </w:tcPr>
          <w:p>
            <w:pPr>
              <w:spacing w:after="40"/>
            </w:pPr>
            <w:r>
              <w:rPr>
                <w:sz w:val="16"/>
              </w:rPr>
              <w:t>Owner attestation date; retention approval; security approval; parallel-run result; cutover evidence; access revocation.</w:t>
            </w:r>
          </w:p>
        </w:tc>
      </w:tr>
    </w:tbl>
    <w:p>
      <w:r>
        <w:t>Cardinality rules: 1 owner may own multiple workspaces; a workspace can support multiple use cases; one use case may span multiple workspaces; multiple entitlements may belong to one user. Build separate mapping tables rather than flattening these relationships into a single duplicate-prone count.</w:t>
      </w:r>
    </w:p>
    <w:p>
      <w:pPr>
        <w:pStyle w:val="Heading1"/>
      </w:pPr>
      <w:r>
        <w:t>9 | Workspace owner interview: structured questions</w:t>
      </w:r>
    </w:p>
    <w:p>
      <w:pPr>
        <w:pStyle w:val="ListNumber"/>
      </w:pPr>
      <w:r>
        <w:t>What business or regulatory output would fail if your SAS workspace were unavailable tomorrow? Who consumes it?</w:t>
      </w:r>
    </w:p>
    <w:p>
      <w:pPr>
        <w:pStyle w:val="ListNumber"/>
      </w:pPr>
      <w:r>
        <w:t>Which SAS jobs run daily, weekly, monthly, quarterly or annually? Which are unattended and which are manual?</w:t>
      </w:r>
    </w:p>
    <w:p>
      <w:pPr>
        <w:pStyle w:val="ListNumber"/>
      </w:pPr>
      <w:r>
        <w:t>What is the actual source-of-record for your input data? Is there a current upstream ADS, iHub feed or other approved source?</w:t>
      </w:r>
    </w:p>
    <w:p>
      <w:pPr>
        <w:pStyle w:val="ListNumber"/>
      </w:pPr>
      <w:r>
        <w:t>What specific SAS procedures/macros, modeling algorithms, data transformations or file interfaces are required?</w:t>
      </w:r>
    </w:p>
    <w:p>
      <w:pPr>
        <w:pStyle w:val="ListNumber"/>
      </w:pPr>
      <w:r>
        <w:t>Do other teams consume your output as an input? Provide report names, tables, paths, consumer contacts and SLAs.</w:t>
      </w:r>
    </w:p>
    <w:p>
      <w:pPr>
        <w:pStyle w:val="ListNumber"/>
      </w:pPr>
      <w:r>
        <w:t>What deadlines, audit evidence, data retention obligations, approvals or reconciliation requirements apply?</w:t>
      </w:r>
    </w:p>
    <w:p>
      <w:pPr>
        <w:pStyle w:val="ListNumber"/>
      </w:pPr>
      <w:r>
        <w:t>Is an alternate solution already in production, under development, or merely proposed? Provide its owner and readiness evidence.</w:t>
      </w:r>
    </w:p>
    <w:p>
      <w:pPr>
        <w:pStyle w:val="ListNumber"/>
      </w:pPr>
      <w:r>
        <w:t>Can your work be discontinued, consolidated, archived, migrated with minor changes, or fully redesigned? What is your estimated effort?</w:t>
      </w:r>
    </w:p>
    <w:p>
      <w:pPr>
        <w:pStyle w:val="ListNumber"/>
      </w:pPr>
      <w:r>
        <w:t>Which 90-day inactive users or little-used allocated capacity can be removed safely, and who can authorize it?</w:t>
      </w:r>
    </w:p>
    <w:p>
      <w:pPr>
        <w:pStyle w:val="ListNumber"/>
      </w:pPr>
      <w:r>
        <w:t>Who is the business approver for retiring the use case and signing off the equivalent output after migration?</w:t>
      </w:r>
    </w:p>
    <w:p>
      <w:r>
        <w:br w:type="page"/>
      </w:r>
    </w:p>
    <w:p>
      <w:pPr>
        <w:pStyle w:val="Heading1"/>
      </w:pPr>
      <w:r>
        <w:t>10 | Prioritization: targeted cohorts and recommended waves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Wave</w:t>
            </w:r>
          </w:p>
        </w:tc>
        <w:tc>
          <w:tcPr>
            <w:tcW w:type="dxa" w:w="3293"/>
            <w:vAlign w:val="center"/>
          </w:tcPr>
          <w:p>
            <w:pPr>
              <w:spacing w:after="40"/>
            </w:pPr>
            <w:r>
              <w:rPr>
                <w:sz w:val="16"/>
              </w:rPr>
              <w:t>Candidate population</w:t>
            </w:r>
          </w:p>
        </w:tc>
        <w:tc>
          <w:tcPr>
            <w:tcW w:type="dxa" w:w="3293"/>
            <w:vAlign w:val="center"/>
          </w:tcPr>
          <w:p>
            <w:pPr>
              <w:spacing w:after="40"/>
            </w:pPr>
            <w:r>
              <w:rPr>
                <w:sz w:val="16"/>
              </w:rPr>
              <w:t>Recommended action</w:t>
            </w:r>
          </w:p>
        </w:tc>
      </w:tr>
      <w:tr>
        <w:tc>
          <w:tcPr>
            <w:tcW w:type="dxa" w:w="3293"/>
            <w:vAlign w:val="center"/>
          </w:tcPr>
          <w:p>
            <w:pPr>
              <w:spacing w:after="40"/>
            </w:pPr>
            <w:r>
              <w:rPr>
                <w:sz w:val="16"/>
              </w:rPr>
              <w:t>0 — 0–30 days</w:t>
            </w:r>
          </w:p>
        </w:tc>
        <w:tc>
          <w:tcPr>
            <w:tcW w:type="dxa" w:w="3293"/>
            <w:vAlign w:val="center"/>
          </w:tcPr>
          <w:p>
            <w:pPr>
              <w:spacing w:after="40"/>
            </w:pPr>
            <w:r>
              <w:rPr>
                <w:sz w:val="16"/>
              </w:rPr>
              <w:t>All 166 workspaces; top allocated storage; unknown owners; T0/T1 candidates</w:t>
            </w:r>
          </w:p>
        </w:tc>
        <w:tc>
          <w:tcPr>
            <w:tcW w:type="dxa" w:w="3293"/>
            <w:vAlign w:val="center"/>
          </w:tcPr>
          <w:p>
            <w:pPr>
              <w:spacing w:after="40"/>
            </w:pPr>
            <w:r>
              <w:rPr>
                <w:sz w:val="16"/>
              </w:rPr>
              <w:t>Baseline, owner certification, platform logs, deadline determination, high-risk triage.</w:t>
            </w:r>
          </w:p>
        </w:tc>
      </w:tr>
      <w:tr>
        <w:tc>
          <w:tcPr>
            <w:tcW w:type="dxa" w:w="3293"/>
            <w:vAlign w:val="center"/>
          </w:tcPr>
          <w:p>
            <w:pPr>
              <w:spacing w:after="40"/>
            </w:pPr>
            <w:r>
              <w:rPr>
                <w:sz w:val="16"/>
              </w:rPr>
              <w:t>1 — 30–60 days</w:t>
            </w:r>
          </w:p>
        </w:tc>
        <w:tc>
          <w:tcPr>
            <w:tcW w:type="dxa" w:w="3293"/>
            <w:vAlign w:val="center"/>
          </w:tcPr>
          <w:p>
            <w:pPr>
              <w:spacing w:after="40"/>
            </w:pPr>
            <w:r>
              <w:rPr>
                <w:sz w:val="16"/>
              </w:rPr>
              <w:t>Dormant/0% utilization; unused entitlements; confirmed obsolete data</w:t>
            </w:r>
          </w:p>
        </w:tc>
        <w:tc>
          <w:tcPr>
            <w:tcW w:type="dxa" w:w="3293"/>
            <w:vAlign w:val="center"/>
          </w:tcPr>
          <w:p>
            <w:pPr>
              <w:spacing w:after="40"/>
            </w:pPr>
            <w:r>
              <w:rPr>
                <w:sz w:val="16"/>
              </w:rPr>
              <w:t>Validate actual inactivity and dependencies; secure deletion/archival approval; request reduction.</w:t>
            </w:r>
          </w:p>
        </w:tc>
      </w:tr>
      <w:tr>
        <w:tc>
          <w:tcPr>
            <w:tcW w:type="dxa" w:w="3293"/>
            <w:vAlign w:val="center"/>
          </w:tcPr>
          <w:p>
            <w:pPr>
              <w:spacing w:after="40"/>
            </w:pPr>
            <w:r>
              <w:rPr>
                <w:sz w:val="16"/>
              </w:rPr>
              <w:t>2 — 30–90 days</w:t>
            </w:r>
          </w:p>
        </w:tc>
        <w:tc>
          <w:tcPr>
            <w:tcW w:type="dxa" w:w="3293"/>
            <w:vAlign w:val="center"/>
          </w:tcPr>
          <w:p>
            <w:pPr>
              <w:spacing w:after="40"/>
            </w:pPr>
            <w:r>
              <w:rPr>
                <w:sz w:val="16"/>
              </w:rPr>
              <w:t>&lt;60% allocation, material unused GB; clear owners</w:t>
            </w:r>
          </w:p>
        </w:tc>
        <w:tc>
          <w:tcPr>
            <w:tcW w:type="dxa" w:w="3293"/>
            <w:vAlign w:val="center"/>
          </w:tcPr>
          <w:p>
            <w:pPr>
              <w:spacing w:after="40"/>
            </w:pPr>
            <w:r>
              <w:rPr>
                <w:sz w:val="16"/>
              </w:rPr>
              <w:t>Right-size to safe operational threshold; execute high-value reduction requests; verify billing mechanism.</w:t>
            </w:r>
          </w:p>
        </w:tc>
      </w:tr>
      <w:tr>
        <w:tc>
          <w:tcPr>
            <w:tcW w:type="dxa" w:w="3293"/>
            <w:vAlign w:val="center"/>
          </w:tcPr>
          <w:p>
            <w:pPr>
              <w:spacing w:after="40"/>
            </w:pPr>
            <w:r>
              <w:rPr>
                <w:sz w:val="16"/>
              </w:rPr>
              <w:t>3 — 60–120 days</w:t>
            </w:r>
          </w:p>
        </w:tc>
        <w:tc>
          <w:tcPr>
            <w:tcW w:type="dxa" w:w="3293"/>
            <w:vAlign w:val="center"/>
          </w:tcPr>
          <w:p>
            <w:pPr>
              <w:spacing w:after="40"/>
            </w:pPr>
            <w:r>
              <w:rPr>
                <w:sz w:val="16"/>
              </w:rPr>
              <w:t>Low/medium-complexity replatform candidates</w:t>
            </w:r>
          </w:p>
        </w:tc>
        <w:tc>
          <w:tcPr>
            <w:tcW w:type="dxa" w:w="3293"/>
            <w:vAlign w:val="center"/>
          </w:tcPr>
          <w:p>
            <w:pPr>
              <w:spacing w:after="40"/>
            </w:pPr>
            <w:r>
              <w:rPr>
                <w:sz w:val="16"/>
              </w:rPr>
              <w:t>POCs and tested alternatives, migration factory, wave execution.</w:t>
            </w:r>
          </w:p>
        </w:tc>
      </w:tr>
      <w:tr>
        <w:tc>
          <w:tcPr>
            <w:tcW w:type="dxa" w:w="3293"/>
            <w:vAlign w:val="center"/>
          </w:tcPr>
          <w:p>
            <w:pPr>
              <w:spacing w:after="40"/>
            </w:pPr>
            <w:r>
              <w:rPr>
                <w:sz w:val="16"/>
              </w:rPr>
              <w:t>4 — 90–180+ days</w:t>
            </w:r>
          </w:p>
        </w:tc>
        <w:tc>
          <w:tcPr>
            <w:tcW w:type="dxa" w:w="3293"/>
            <w:vAlign w:val="center"/>
          </w:tcPr>
          <w:p>
            <w:pPr>
              <w:spacing w:after="40"/>
            </w:pPr>
            <w:r>
              <w:rPr>
                <w:sz w:val="16"/>
              </w:rPr>
              <w:t>Critical, high-complexity SAS-specific workflows</w:t>
            </w:r>
          </w:p>
        </w:tc>
        <w:tc>
          <w:tcPr>
            <w:tcW w:type="dxa" w:w="3293"/>
            <w:vAlign w:val="center"/>
          </w:tcPr>
          <w:p>
            <w:pPr>
              <w:spacing w:after="40"/>
            </w:pPr>
            <w:r>
              <w:rPr>
                <w:sz w:val="16"/>
              </w:rPr>
              <w:t>Architecture, business validation, parallel runs, contingency; date contingent on contract deadline.</w:t>
            </w:r>
          </w:p>
        </w:tc>
      </w:tr>
    </w:tbl>
    <w:p>
      <w:r>
        <w:t>Timing is illustrative, relative to initiation, and must be rebaselined after vendor and platform decisions. Do not automatically delete 0%-used workspaces; seasonal regulatory jobs or passive data dependencies may have no recent observed execution.</w:t>
      </w:r>
    </w:p>
    <w:p>
      <w:pPr>
        <w:pStyle w:val="Heading1"/>
      </w:pPr>
      <w:r>
        <w:t>11 | Economics: how to make claims defensible</w:t>
      </w:r>
    </w:p>
    <w:p>
      <w:r>
        <w:t>The September slide notes estimate ~1 PB of SAS on-prem allocated storage at ~$60k per month / $720k per year, applying a 4× factor for active storage, snapshot and BCP to approximate cost. This implies ~$2.88 per allocated GB-year (using 1 PB = 1,000,000 GB). At this rate, 550,074 GB × $2.88 ≈ $1.584M/year; 265,574 GB ≈ $765k; 61,056 GB ≈ $176k. These are internally modeled run-rate values—not necessarily cash savings.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Economic measure</w:t>
            </w:r>
          </w:p>
        </w:tc>
        <w:tc>
          <w:tcPr>
            <w:tcW w:type="dxa" w:w="4939"/>
            <w:vAlign w:val="center"/>
          </w:tcPr>
          <w:p>
            <w:pPr>
              <w:spacing w:after="40"/>
            </w:pPr>
            <w:r>
              <w:rPr>
                <w:sz w:val="16"/>
              </w:rPr>
              <w:t>Logic / test</w:t>
            </w:r>
          </w:p>
        </w:tc>
      </w:tr>
      <w:tr>
        <w:tc>
          <w:tcPr>
            <w:tcW w:type="dxa" w:w="4939"/>
            <w:vAlign w:val="center"/>
          </w:tcPr>
          <w:p>
            <w:pPr>
              <w:spacing w:after="40"/>
            </w:pPr>
            <w:r>
              <w:rPr>
                <w:sz w:val="16"/>
              </w:rPr>
              <w:t>Allocated capacity opportunity</w:t>
            </w:r>
          </w:p>
        </w:tc>
        <w:tc>
          <w:tcPr>
            <w:tcW w:type="dxa" w:w="4939"/>
            <w:vAlign w:val="center"/>
          </w:tcPr>
          <w:p>
            <w:pPr>
              <w:spacing w:after="40"/>
            </w:pPr>
            <w:r>
              <w:rPr>
                <w:sz w:val="16"/>
              </w:rPr>
              <w:t>MAX(0, current allocation − approved resized allocation); sum after owner/platform approval.</w:t>
            </w:r>
          </w:p>
        </w:tc>
      </w:tr>
      <w:tr>
        <w:tc>
          <w:tcPr>
            <w:tcW w:type="dxa" w:w="4939"/>
            <w:vAlign w:val="center"/>
          </w:tcPr>
          <w:p>
            <w:pPr>
              <w:spacing w:after="40"/>
            </w:pPr>
            <w:r>
              <w:rPr>
                <w:sz w:val="16"/>
              </w:rPr>
              <w:t>Modeled annual storage impact</w:t>
            </w:r>
          </w:p>
        </w:tc>
        <w:tc>
          <w:tcPr>
            <w:tcW w:type="dxa" w:w="4939"/>
            <w:vAlign w:val="center"/>
          </w:tcPr>
          <w:p>
            <w:pPr>
              <w:spacing w:after="40"/>
            </w:pPr>
            <w:r>
              <w:rPr>
                <w:sz w:val="16"/>
              </w:rPr>
              <w:t>Reclaimed GB × documented all-in allocated GB-year rate; avoid double-counting backup/storage layers.</w:t>
            </w:r>
          </w:p>
        </w:tc>
      </w:tr>
      <w:tr>
        <w:tc>
          <w:tcPr>
            <w:tcW w:type="dxa" w:w="4939"/>
            <w:vAlign w:val="center"/>
          </w:tcPr>
          <w:p>
            <w:pPr>
              <w:spacing w:after="40"/>
            </w:pPr>
            <w:r>
              <w:rPr>
                <w:sz w:val="16"/>
              </w:rPr>
              <w:t>Actual hard-dollar savings</w:t>
            </w:r>
          </w:p>
        </w:tc>
        <w:tc>
          <w:tcPr>
            <w:tcW w:type="dxa" w:w="4939"/>
            <w:vAlign w:val="center"/>
          </w:tcPr>
          <w:p>
            <w:pPr>
              <w:spacing w:after="40"/>
            </w:pPr>
            <w:r>
              <w:rPr>
                <w:sz w:val="16"/>
              </w:rPr>
              <w:t>Verified reduction in billed spend or approved budget run-rate, tied to invoice, service pricing or internal chargeback.</w:t>
            </w:r>
          </w:p>
        </w:tc>
      </w:tr>
      <w:tr>
        <w:tc>
          <w:tcPr>
            <w:tcW w:type="dxa" w:w="4939"/>
            <w:vAlign w:val="center"/>
          </w:tcPr>
          <w:p>
            <w:pPr>
              <w:spacing w:after="40"/>
            </w:pPr>
            <w:r>
              <w:rPr>
                <w:sz w:val="16"/>
              </w:rPr>
              <w:t>Cost avoidance</w:t>
            </w:r>
          </w:p>
        </w:tc>
        <w:tc>
          <w:tcPr>
            <w:tcW w:type="dxa" w:w="4939"/>
            <w:vAlign w:val="center"/>
          </w:tcPr>
          <w:p>
            <w:pPr>
              <w:spacing w:after="40"/>
            </w:pPr>
            <w:r>
              <w:rPr>
                <w:sz w:val="16"/>
              </w:rPr>
              <w:t>Investment/additional capacity not required due to reclamation; estimate with capacity owners.</w:t>
            </w:r>
          </w:p>
        </w:tc>
      </w:tr>
      <w:tr>
        <w:tc>
          <w:tcPr>
            <w:tcW w:type="dxa" w:w="4939"/>
            <w:vAlign w:val="center"/>
          </w:tcPr>
          <w:p>
            <w:pPr>
              <w:spacing w:after="40"/>
            </w:pPr>
            <w:r>
              <w:rPr>
                <w:sz w:val="16"/>
              </w:rPr>
              <w:t>Entitlement savings</w:t>
            </w:r>
          </w:p>
        </w:tc>
        <w:tc>
          <w:tcPr>
            <w:tcW w:type="dxa" w:w="4939"/>
            <w:vAlign w:val="center"/>
          </w:tcPr>
          <w:p>
            <w:pPr>
              <w:spacing w:after="40"/>
            </w:pPr>
            <w:r>
              <w:rPr>
                <w:sz w:val="16"/>
              </w:rPr>
              <w:t>Distinct billable users × applicable contractual rate × eligible contract period; account for fixed minimums and tiers.</w:t>
            </w:r>
          </w:p>
        </w:tc>
      </w:tr>
      <w:tr>
        <w:tc>
          <w:tcPr>
            <w:tcW w:type="dxa" w:w="4939"/>
            <w:vAlign w:val="center"/>
          </w:tcPr>
          <w:p>
            <w:pPr>
              <w:spacing w:after="40"/>
            </w:pPr>
            <w:r>
              <w:rPr>
                <w:sz w:val="16"/>
              </w:rPr>
              <w:t>Migration cost</w:t>
            </w:r>
          </w:p>
        </w:tc>
        <w:tc>
          <w:tcPr>
            <w:tcW w:type="dxa" w:w="4939"/>
            <w:vAlign w:val="center"/>
          </w:tcPr>
          <w:p>
            <w:pPr>
              <w:spacing w:after="40"/>
            </w:pPr>
            <w:r>
              <w:rPr>
                <w:sz w:val="16"/>
              </w:rPr>
              <w:t>Development, testing/validation, dual-run, compute, storage, licenses, controls, archival and support.</w:t>
            </w:r>
          </w:p>
        </w:tc>
      </w:tr>
      <w:tr>
        <w:tc>
          <w:tcPr>
            <w:tcW w:type="dxa" w:w="4939"/>
            <w:vAlign w:val="center"/>
          </w:tcPr>
          <w:p>
            <w:pPr>
              <w:spacing w:after="40"/>
            </w:pPr>
            <w:r>
              <w:rPr>
                <w:sz w:val="16"/>
              </w:rPr>
              <w:t>Net exit business case</w:t>
            </w:r>
          </w:p>
        </w:tc>
        <w:tc>
          <w:tcPr>
            <w:tcW w:type="dxa" w:w="4939"/>
            <w:vAlign w:val="center"/>
          </w:tcPr>
          <w:p>
            <w:pPr>
              <w:spacing w:after="40"/>
            </w:pPr>
            <w:r>
              <w:rPr>
                <w:sz w:val="16"/>
              </w:rPr>
              <w:t>Avoided SAS renewal/operating cost minus recurring target-platform spend and one-time transition costs.</w:t>
            </w:r>
          </w:p>
        </w:tc>
      </w:tr>
    </w:tbl>
    <w:p>
      <w:pPr>
        <w:pStyle w:val="Heading2"/>
      </w:pPr>
      <w:r>
        <w:t>Storage reduction guardrails</w:t>
      </w:r>
    </w:p>
    <w:p>
      <w:pPr>
        <w:pStyle w:val="ListBullet"/>
      </w:pPr>
      <w:r>
        <w:t>September deck proposes ~60% target utilization and says platform does not automatically decrease allocation after deleting files; platform requests are required.</w:t>
      </w:r>
    </w:p>
    <w:p>
      <w:pPr>
        <w:pStyle w:val="ListBullet"/>
      </w:pPr>
      <w:r>
        <w:t>Reserve buffer for peak month-end/quarter-end processing, temporary files, sort/scratch usage, retention and snapshot replication; ensure any “60% target” accounts for forecast growth.</w:t>
      </w:r>
    </w:p>
    <w:p>
      <w:pPr>
        <w:pStyle w:val="ListBullet"/>
      </w:pPr>
      <w:r>
        <w:t>Require minimum 2 snapshots or a peak-season observation if live run logs cannot characterize seasonal activity.</w:t>
      </w:r>
    </w:p>
    <w:p>
      <w:pPr>
        <w:pStyle w:val="ListBullet"/>
      </w:pPr>
      <w:r>
        <w:t>Finance must explicitly classify realized savings vs indicative cost reallocation / chargeback.</w:t>
      </w:r>
    </w:p>
    <w:p>
      <w:pPr>
        <w:pStyle w:val="Heading1"/>
      </w:pPr>
      <w:r>
        <w:t>12 | Source-specific high-priority examples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Risk segment</w:t>
            </w:r>
          </w:p>
        </w:tc>
        <w:tc>
          <w:tcPr>
            <w:tcW w:type="dxa" w:w="3293"/>
            <w:vAlign w:val="center"/>
          </w:tcPr>
          <w:p>
            <w:pPr>
              <w:spacing w:after="40"/>
            </w:pPr>
            <w:r>
              <w:rPr>
                <w:sz w:val="16"/>
              </w:rPr>
              <w:t>Screenshot evidence</w:t>
            </w:r>
          </w:p>
        </w:tc>
        <w:tc>
          <w:tcPr>
            <w:tcW w:type="dxa" w:w="3293"/>
            <w:vAlign w:val="center"/>
          </w:tcPr>
          <w:p>
            <w:pPr>
              <w:spacing w:after="40"/>
            </w:pPr>
            <w:r>
              <w:rPr>
                <w:sz w:val="16"/>
              </w:rPr>
              <w:t>Next action</w:t>
            </w:r>
          </w:p>
        </w:tc>
      </w:tr>
      <w:tr>
        <w:tc>
          <w:tcPr>
            <w:tcW w:type="dxa" w:w="3293"/>
            <w:vAlign w:val="center"/>
          </w:tcPr>
          <w:p>
            <w:pPr>
              <w:spacing w:after="40"/>
            </w:pPr>
            <w:r>
              <w:rPr>
                <w:sz w:val="16"/>
              </w:rPr>
              <w:t>Consumer Lending CRO</w:t>
            </w:r>
          </w:p>
        </w:tc>
        <w:tc>
          <w:tcPr>
            <w:tcW w:type="dxa" w:w="3293"/>
            <w:vAlign w:val="center"/>
          </w:tcPr>
          <w:p>
            <w:pPr>
              <w:spacing w:after="40"/>
            </w:pPr>
            <w:r>
              <w:rPr>
                <w:sz w:val="16"/>
              </w:rPr>
              <w:t>~1,278,408 GB allocated; ~667,633 GB used; 101 workspaces; 332 entitlements; September slide indicates 19 under-60% workspaces and ~265,574 GB proposed reduction (~$765k modeled).</w:t>
            </w:r>
          </w:p>
        </w:tc>
        <w:tc>
          <w:tcPr>
            <w:tcW w:type="dxa" w:w="3293"/>
            <w:vAlign w:val="center"/>
          </w:tcPr>
          <w:p>
            <w:pPr>
              <w:spacing w:after="40"/>
            </w:pPr>
            <w:r>
              <w:rPr>
                <w:sz w:val="16"/>
              </w:rPr>
              <w:t>First deep-dive cluster because of absolute footprint and possible critical reporting/model dependencies.</w:t>
            </w:r>
          </w:p>
        </w:tc>
      </w:tr>
      <w:tr>
        <w:tc>
          <w:tcPr>
            <w:tcW w:type="dxa" w:w="3293"/>
            <w:vAlign w:val="center"/>
          </w:tcPr>
          <w:p>
            <w:pPr>
              <w:spacing w:after="40"/>
            </w:pPr>
            <w:r>
              <w:rPr>
                <w:sz w:val="16"/>
              </w:rPr>
              <w:t>Consumer &amp; Small Business CRO</w:t>
            </w:r>
          </w:p>
        </w:tc>
        <w:tc>
          <w:tcPr>
            <w:tcW w:type="dxa" w:w="3293"/>
            <w:vAlign w:val="center"/>
          </w:tcPr>
          <w:p>
            <w:pPr>
              <w:spacing w:after="40"/>
            </w:pPr>
            <w:r>
              <w:rPr>
                <w:sz w:val="16"/>
              </w:rPr>
              <w:t>~195,429 GB allocated; ~80,784 GB used; 19 workspaces; 100 entitlements; 13 under-60% workspaces and ~61,056 GB proposed reduction (~$176k modeled).</w:t>
            </w:r>
          </w:p>
        </w:tc>
        <w:tc>
          <w:tcPr>
            <w:tcW w:type="dxa" w:w="3293"/>
            <w:vAlign w:val="center"/>
          </w:tcPr>
          <w:p>
            <w:pPr>
              <w:spacing w:after="40"/>
            </w:pPr>
            <w:r>
              <w:rPr>
                <w:sz w:val="16"/>
              </w:rPr>
              <w:t>Owner outreach plus targeted rightsizing.</w:t>
            </w:r>
          </w:p>
        </w:tc>
      </w:tr>
      <w:tr>
        <w:tc>
          <w:tcPr>
            <w:tcW w:type="dxa" w:w="3293"/>
            <w:vAlign w:val="center"/>
          </w:tcPr>
          <w:p>
            <w:pPr>
              <w:spacing w:after="40"/>
            </w:pPr>
            <w:r>
              <w:rPr>
                <w:sz w:val="16"/>
              </w:rPr>
              <w:t>Independent Testing &amp; Validation</w:t>
            </w:r>
          </w:p>
        </w:tc>
        <w:tc>
          <w:tcPr>
            <w:tcW w:type="dxa" w:w="3293"/>
            <w:vAlign w:val="center"/>
          </w:tcPr>
          <w:p>
            <w:pPr>
              <w:spacing w:after="40"/>
            </w:pPr>
            <w:r>
              <w:rPr>
                <w:sz w:val="16"/>
              </w:rPr>
              <w:t>~59,067 GB allocated; ~8,602 GB used; 6 workspaces; 1,093 entitlements.</w:t>
            </w:r>
          </w:p>
        </w:tc>
        <w:tc>
          <w:tcPr>
            <w:tcW w:type="dxa" w:w="3293"/>
            <w:vAlign w:val="center"/>
          </w:tcPr>
          <w:p>
            <w:pPr>
              <w:spacing w:after="40"/>
            </w:pPr>
            <w:r>
              <w:rPr>
                <w:sz w:val="16"/>
              </w:rPr>
              <w:t>Urgent entitlement-to-unique-user and login activity reconciliation; large access population does not indicate equal licensing cost.</w:t>
            </w:r>
          </w:p>
        </w:tc>
      </w:tr>
      <w:tr>
        <w:tc>
          <w:tcPr>
            <w:tcW w:type="dxa" w:w="3293"/>
            <w:vAlign w:val="center"/>
          </w:tcPr>
          <w:p>
            <w:pPr>
              <w:spacing w:after="40"/>
            </w:pPr>
            <w:r>
              <w:rPr>
                <w:sz w:val="16"/>
              </w:rPr>
              <w:t>Model Risk Management</w:t>
            </w:r>
          </w:p>
        </w:tc>
        <w:tc>
          <w:tcPr>
            <w:tcW w:type="dxa" w:w="3293"/>
            <w:vAlign w:val="center"/>
          </w:tcPr>
          <w:p>
            <w:pPr>
              <w:spacing w:after="40"/>
            </w:pPr>
            <w:r>
              <w:rPr>
                <w:sz w:val="16"/>
              </w:rPr>
              <w:t>~94,178 GB allocated; ~23,331 GB used; 11 workspaces; 224 entitlements.</w:t>
            </w:r>
          </w:p>
        </w:tc>
        <w:tc>
          <w:tcPr>
            <w:tcW w:type="dxa" w:w="3293"/>
            <w:vAlign w:val="center"/>
          </w:tcPr>
          <w:p>
            <w:pPr>
              <w:spacing w:after="40"/>
            </w:pPr>
            <w:r>
              <w:rPr>
                <w:sz w:val="16"/>
              </w:rPr>
              <w:t>Identify validated model processes and lifecycle dependencies; do not equate low storage utilization with low importance.</w:t>
            </w:r>
          </w:p>
        </w:tc>
      </w:tr>
    </w:tbl>
    <w:p>
      <w:r>
        <w:t>Important: “CL CRO” in slides = Consumer Lending CRO (not Commercial Banking CRO). Compare segment labels consistently across the workbook and presentation.</w:t>
      </w:r>
    </w:p>
    <w:p>
      <w:r>
        <w:br w:type="page"/>
      </w:r>
    </w:p>
    <w:p>
      <w:pPr>
        <w:pStyle w:val="Heading1"/>
      </w:pPr>
      <w:r>
        <w:t>13 | Operating model and ownership (proposed)</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Role</w:t>
            </w:r>
          </w:p>
        </w:tc>
        <w:tc>
          <w:tcPr>
            <w:tcW w:type="dxa" w:w="4939"/>
            <w:vAlign w:val="center"/>
          </w:tcPr>
          <w:p>
            <w:pPr>
              <w:spacing w:after="40"/>
            </w:pPr>
            <w:r>
              <w:rPr>
                <w:sz w:val="16"/>
              </w:rPr>
              <w:t>Accountability</w:t>
            </w:r>
          </w:p>
        </w:tc>
      </w:tr>
      <w:tr>
        <w:tc>
          <w:tcPr>
            <w:tcW w:type="dxa" w:w="4939"/>
            <w:vAlign w:val="center"/>
          </w:tcPr>
          <w:p>
            <w:pPr>
              <w:spacing w:after="40"/>
            </w:pPr>
            <w:r>
              <w:rPr>
                <w:sz w:val="16"/>
              </w:rPr>
              <w:t>Executive sponsors — Gwen / technology leadership</w:t>
            </w:r>
          </w:p>
        </w:tc>
        <w:tc>
          <w:tcPr>
            <w:tcW w:type="dxa" w:w="4939"/>
            <w:vAlign w:val="center"/>
          </w:tcPr>
          <w:p>
            <w:pPr>
              <w:spacing w:after="40"/>
            </w:pPr>
            <w:r>
              <w:rPr>
                <w:sz w:val="16"/>
              </w:rPr>
              <w:t>Decision urgency, funding / tradeoffs, risk acceptance, exit-vs-renewal steering.</w:t>
            </w:r>
          </w:p>
        </w:tc>
      </w:tr>
      <w:tr>
        <w:tc>
          <w:tcPr>
            <w:tcW w:type="dxa" w:w="4939"/>
            <w:vAlign w:val="center"/>
          </w:tcPr>
          <w:p>
            <w:pPr>
              <w:spacing w:after="40"/>
            </w:pPr>
            <w:r>
              <w:rPr>
                <w:sz w:val="16"/>
              </w:rPr>
              <w:t>Jacqueline and delegated Corporate Risk lead</w:t>
            </w:r>
          </w:p>
        </w:tc>
        <w:tc>
          <w:tcPr>
            <w:tcW w:type="dxa" w:w="4939"/>
            <w:vAlign w:val="center"/>
          </w:tcPr>
          <w:p>
            <w:pPr>
              <w:spacing w:after="40"/>
            </w:pPr>
            <w:r>
              <w:rPr>
                <w:sz w:val="16"/>
              </w:rPr>
              <w:t>End-to-end use-case review, consolidated exposure narrative and disposition recommendations.</w:t>
            </w:r>
          </w:p>
        </w:tc>
      </w:tr>
      <w:tr>
        <w:tc>
          <w:tcPr>
            <w:tcW w:type="dxa" w:w="4939"/>
            <w:vAlign w:val="center"/>
          </w:tcPr>
          <w:p>
            <w:pPr>
              <w:spacing w:after="40"/>
            </w:pPr>
            <w:r>
              <w:rPr>
                <w:sz w:val="16"/>
              </w:rPr>
              <w:t>Kevin / Corporate Risk data management PMO</w:t>
            </w:r>
          </w:p>
        </w:tc>
        <w:tc>
          <w:tcPr>
            <w:tcW w:type="dxa" w:w="4939"/>
            <w:vAlign w:val="center"/>
          </w:tcPr>
          <w:p>
            <w:pPr>
              <w:spacing w:after="40"/>
            </w:pPr>
            <w:r>
              <w:rPr>
                <w:sz w:val="16"/>
              </w:rPr>
              <w:t>Mobilize owners, govern data request, maintain tracker, ensure closure evidence, escalations.</w:t>
            </w:r>
          </w:p>
        </w:tc>
      </w:tr>
      <w:tr>
        <w:tc>
          <w:tcPr>
            <w:tcW w:type="dxa" w:w="4939"/>
            <w:vAlign w:val="center"/>
          </w:tcPr>
          <w:p>
            <w:pPr>
              <w:spacing w:after="40"/>
            </w:pPr>
            <w:r>
              <w:rPr>
                <w:sz w:val="16"/>
              </w:rPr>
              <w:t>Tech CDO / SAS platform team</w:t>
            </w:r>
          </w:p>
        </w:tc>
        <w:tc>
          <w:tcPr>
            <w:tcW w:type="dxa" w:w="4939"/>
            <w:vAlign w:val="center"/>
          </w:tcPr>
          <w:p>
            <w:pPr>
              <w:spacing w:after="40"/>
            </w:pPr>
            <w:r>
              <w:rPr>
                <w:sz w:val="16"/>
              </w:rPr>
              <w:t>Authoritative SAS extracts, job logs, platform dependencies, allocation changes, retirement procedures.</w:t>
            </w:r>
          </w:p>
        </w:tc>
      </w:tr>
      <w:tr>
        <w:tc>
          <w:tcPr>
            <w:tcW w:type="dxa" w:w="4939"/>
            <w:vAlign w:val="center"/>
          </w:tcPr>
          <w:p>
            <w:pPr>
              <w:spacing w:after="40"/>
            </w:pPr>
            <w:r>
              <w:rPr>
                <w:sz w:val="16"/>
              </w:rPr>
              <w:t>LOB business &amp; model/report owners</w:t>
            </w:r>
          </w:p>
        </w:tc>
        <w:tc>
          <w:tcPr>
            <w:tcW w:type="dxa" w:w="4939"/>
            <w:vAlign w:val="center"/>
          </w:tcPr>
          <w:p>
            <w:pPr>
              <w:spacing w:after="40"/>
            </w:pPr>
            <w:r>
              <w:rPr>
                <w:sz w:val="16"/>
              </w:rPr>
              <w:t>Attest processes, outcomes, criticality, impacts, target suitability and UAT acceptance.</w:t>
            </w:r>
          </w:p>
        </w:tc>
      </w:tr>
      <w:tr>
        <w:tc>
          <w:tcPr>
            <w:tcW w:type="dxa" w:w="4939"/>
            <w:vAlign w:val="center"/>
          </w:tcPr>
          <w:p>
            <w:pPr>
              <w:spacing w:after="40"/>
            </w:pPr>
            <w:r>
              <w:rPr>
                <w:sz w:val="16"/>
              </w:rPr>
              <w:t>Enterprise architecture / ADS &amp; sourcing teams</w:t>
            </w:r>
          </w:p>
        </w:tc>
        <w:tc>
          <w:tcPr>
            <w:tcW w:type="dxa" w:w="4939"/>
            <w:vAlign w:val="center"/>
          </w:tcPr>
          <w:p>
            <w:pPr>
              <w:spacing w:after="40"/>
            </w:pPr>
            <w:r>
              <w:rPr>
                <w:sz w:val="16"/>
              </w:rPr>
              <w:t>Target architecture, reusable sourcing, migration patterns, strategic data platform alignment.</w:t>
            </w:r>
          </w:p>
        </w:tc>
      </w:tr>
      <w:tr>
        <w:tc>
          <w:tcPr>
            <w:tcW w:type="dxa" w:w="4939"/>
            <w:vAlign w:val="center"/>
          </w:tcPr>
          <w:p>
            <w:pPr>
              <w:spacing w:after="40"/>
            </w:pPr>
            <w:r>
              <w:rPr>
                <w:sz w:val="16"/>
              </w:rPr>
              <w:t>Sourcing/Legal/Finance/FinOps</w:t>
            </w:r>
          </w:p>
        </w:tc>
        <w:tc>
          <w:tcPr>
            <w:tcW w:type="dxa" w:w="4939"/>
            <w:vAlign w:val="center"/>
          </w:tcPr>
          <w:p>
            <w:pPr>
              <w:spacing w:after="40"/>
            </w:pPr>
            <w:r>
              <w:rPr>
                <w:sz w:val="16"/>
              </w:rPr>
              <w:t>Contract fact base, billing baseline, avoided costs, renewal and termination assumptions.</w:t>
            </w:r>
          </w:p>
        </w:tc>
      </w:tr>
      <w:tr>
        <w:tc>
          <w:tcPr>
            <w:tcW w:type="dxa" w:w="4939"/>
            <w:vAlign w:val="center"/>
          </w:tcPr>
          <w:p>
            <w:pPr>
              <w:spacing w:after="40"/>
            </w:pPr>
            <w:r>
              <w:rPr>
                <w:sz w:val="16"/>
              </w:rPr>
              <w:t>Cyber, Records, Model Risk, Regulatory Reporting</w:t>
            </w:r>
          </w:p>
        </w:tc>
        <w:tc>
          <w:tcPr>
            <w:tcW w:type="dxa" w:w="4939"/>
            <w:vAlign w:val="center"/>
          </w:tcPr>
          <w:p>
            <w:pPr>
              <w:spacing w:after="40"/>
            </w:pPr>
            <w:r>
              <w:rPr>
                <w:sz w:val="16"/>
              </w:rPr>
              <w:t>Access, retention, validation, filing and control approvals.</w:t>
            </w:r>
          </w:p>
        </w:tc>
      </w:tr>
    </w:tbl>
    <w:p>
      <w:pPr>
        <w:pStyle w:val="Heading1"/>
      </w:pPr>
      <w:r>
        <w:t>14 | Governance cadence, meetings and deliverables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Cadence</w:t>
            </w:r>
          </w:p>
        </w:tc>
        <w:tc>
          <w:tcPr>
            <w:tcW w:type="dxa" w:w="4939"/>
            <w:vAlign w:val="center"/>
          </w:tcPr>
          <w:p>
            <w:pPr>
              <w:spacing w:after="40"/>
            </w:pPr>
            <w:r>
              <w:rPr>
                <w:sz w:val="16"/>
              </w:rPr>
              <w:t>Artifact / decision</w:t>
            </w:r>
          </w:p>
        </w:tc>
      </w:tr>
      <w:tr>
        <w:tc>
          <w:tcPr>
            <w:tcW w:type="dxa" w:w="4939"/>
            <w:vAlign w:val="center"/>
          </w:tcPr>
          <w:p>
            <w:pPr>
              <w:spacing w:after="40"/>
            </w:pPr>
            <w:r>
              <w:rPr>
                <w:sz w:val="16"/>
              </w:rPr>
              <w:t>Kickoff within 5 business days</w:t>
            </w:r>
          </w:p>
        </w:tc>
        <w:tc>
          <w:tcPr>
            <w:tcW w:type="dxa" w:w="4939"/>
            <w:vAlign w:val="center"/>
          </w:tcPr>
          <w:p>
            <w:pPr>
              <w:spacing w:after="40"/>
            </w:pPr>
            <w:r>
              <w:rPr>
                <w:sz w:val="16"/>
              </w:rPr>
              <w:t>Charter, confirmed sponsor and program owner, contract milestones, baseline request, issue log.</w:t>
            </w:r>
          </w:p>
        </w:tc>
      </w:tr>
      <w:tr>
        <w:tc>
          <w:tcPr>
            <w:tcW w:type="dxa" w:w="4939"/>
            <w:vAlign w:val="center"/>
          </w:tcPr>
          <w:p>
            <w:pPr>
              <w:spacing w:after="40"/>
            </w:pPr>
            <w:r>
              <w:rPr>
                <w:sz w:val="16"/>
              </w:rPr>
              <w:t>Twice-weekly working session</w:t>
            </w:r>
          </w:p>
        </w:tc>
        <w:tc>
          <w:tcPr>
            <w:tcW w:type="dxa" w:w="4939"/>
            <w:vAlign w:val="center"/>
          </w:tcPr>
          <w:p>
            <w:pPr>
              <w:spacing w:after="40"/>
            </w:pPr>
            <w:r>
              <w:rPr>
                <w:sz w:val="16"/>
              </w:rPr>
              <w:t>Owner outreach progress, unknown workloads, technical questions, risk/decision log.</w:t>
            </w:r>
          </w:p>
        </w:tc>
      </w:tr>
      <w:tr>
        <w:tc>
          <w:tcPr>
            <w:tcW w:type="dxa" w:w="4939"/>
            <w:vAlign w:val="center"/>
          </w:tcPr>
          <w:p>
            <w:pPr>
              <w:spacing w:after="40"/>
            </w:pPr>
            <w:r>
              <w:rPr>
                <w:sz w:val="16"/>
              </w:rPr>
              <w:t>Weekly executive readout</w:t>
            </w:r>
          </w:p>
        </w:tc>
        <w:tc>
          <w:tcPr>
            <w:tcW w:type="dxa" w:w="4939"/>
            <w:vAlign w:val="center"/>
          </w:tcPr>
          <w:p>
            <w:pPr>
              <w:spacing w:after="40"/>
            </w:pPr>
            <w:r>
              <w:rPr>
                <w:sz w:val="16"/>
              </w:rPr>
              <w:t>Mapped use-case coverage, tiered exposure, exit feasibility, capacity optimization, blockers.</w:t>
            </w:r>
          </w:p>
        </w:tc>
      </w:tr>
      <w:tr>
        <w:tc>
          <w:tcPr>
            <w:tcW w:type="dxa" w:w="4939"/>
            <w:vAlign w:val="center"/>
          </w:tcPr>
          <w:p>
            <w:pPr>
              <w:spacing w:after="40"/>
            </w:pPr>
            <w:r>
              <w:rPr>
                <w:sz w:val="16"/>
              </w:rPr>
              <w:t>Biweekly architecture review</w:t>
            </w:r>
          </w:p>
        </w:tc>
        <w:tc>
          <w:tcPr>
            <w:tcW w:type="dxa" w:w="4939"/>
            <w:vAlign w:val="center"/>
          </w:tcPr>
          <w:p>
            <w:pPr>
              <w:spacing w:after="40"/>
            </w:pPr>
            <w:r>
              <w:rPr>
                <w:sz w:val="16"/>
              </w:rPr>
              <w:t>Target dispositions, shared migration patterns, dependency resolution, cost/effort challenge.</w:t>
            </w:r>
          </w:p>
        </w:tc>
      </w:tr>
      <w:tr>
        <w:tc>
          <w:tcPr>
            <w:tcW w:type="dxa" w:w="4939"/>
            <w:vAlign w:val="center"/>
          </w:tcPr>
          <w:p>
            <w:pPr>
              <w:spacing w:after="40"/>
            </w:pPr>
            <w:r>
              <w:rPr>
                <w:sz w:val="16"/>
              </w:rPr>
              <w:t>Monthly steering (or accelerated)</w:t>
            </w:r>
          </w:p>
        </w:tc>
        <w:tc>
          <w:tcPr>
            <w:tcW w:type="dxa" w:w="4939"/>
            <w:vAlign w:val="center"/>
          </w:tcPr>
          <w:p>
            <w:pPr>
              <w:spacing w:after="40"/>
            </w:pPr>
            <w:r>
              <w:rPr>
                <w:sz w:val="16"/>
              </w:rPr>
              <w:t>Approve waves, funding decisions, exceptions, contractual choices, financial realization.</w:t>
            </w:r>
          </w:p>
        </w:tc>
      </w:tr>
    </w:tbl>
    <w:p>
      <w:pPr>
        <w:pStyle w:val="Heading2"/>
      </w:pPr>
      <w:r>
        <w:t>Recommended dashboard</w:t>
      </w:r>
    </w:p>
    <w:p>
      <w:pPr>
        <w:pStyle w:val="ListBullet"/>
      </w:pPr>
      <w:r>
        <w:t>Workspace completeness: 166 total / mapped / owner-certified / unknown; maintain owner count separately.</w:t>
      </w:r>
    </w:p>
    <w:p>
      <w:pPr>
        <w:pStyle w:val="ListBullet"/>
      </w:pPr>
      <w:r>
        <w:t>Use-case completeness: unique discovered processes / fully characterized / attested / T0+T1, with unclassified backlog.</w:t>
      </w:r>
    </w:p>
    <w:p>
      <w:pPr>
        <w:pStyle w:val="ListBullet"/>
      </w:pPr>
      <w:r>
        <w:t>Exit readiness: counts and criticality by retire, replace, migrate, retain temporarily, unresolved; weighted completion and planned target dates.</w:t>
      </w:r>
    </w:p>
    <w:p>
      <w:pPr>
        <w:pStyle w:val="ListBullet"/>
      </w:pPr>
      <w:r>
        <w:t>Financial opportunity: allocated vs used GB, approved-to-reclaim vs actually reduced GB, modeled run-rate vs realized savings; entitlement counts vs paid seats.</w:t>
      </w:r>
    </w:p>
    <w:p>
      <w:pPr>
        <w:pStyle w:val="ListBullet"/>
      </w:pPr>
      <w:r>
        <w:t>Execution: migration wave, critical-path dependencies, dual-run pass rate, open blockers, 30/60/90-day progress and contractual deadline variance.</w:t>
      </w:r>
    </w:p>
    <w:p>
      <w:pPr>
        <w:pStyle w:val="Heading1"/>
      </w:pPr>
      <w:r>
        <w:t>15 | RAID register: initial hypotheses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pPr>
              <w:spacing w:after="40"/>
            </w:pPr>
            <w:r>
              <w:rPr>
                <w:sz w:val="16"/>
              </w:rPr>
              <w:t>Type</w:t>
            </w:r>
          </w:p>
        </w:tc>
        <w:tc>
          <w:tcPr>
            <w:tcW w:type="dxa" w:w="3293"/>
            <w:vAlign w:val="center"/>
          </w:tcPr>
          <w:p>
            <w:pPr>
              <w:spacing w:after="40"/>
            </w:pPr>
            <w:r>
              <w:rPr>
                <w:sz w:val="16"/>
              </w:rPr>
              <w:t>Issue / hypothesis</w:t>
            </w:r>
          </w:p>
        </w:tc>
        <w:tc>
          <w:tcPr>
            <w:tcW w:type="dxa" w:w="3293"/>
            <w:vAlign w:val="center"/>
          </w:tcPr>
          <w:p>
            <w:pPr>
              <w:spacing w:after="40"/>
            </w:pPr>
            <w:r>
              <w:rPr>
                <w:sz w:val="16"/>
              </w:rPr>
              <w:t>Owner to confirm</w:t>
            </w:r>
          </w:p>
        </w:tc>
      </w:tr>
      <w:tr>
        <w:tc>
          <w:tcPr>
            <w:tcW w:type="dxa" w:w="3293"/>
            <w:vAlign w:val="center"/>
          </w:tcPr>
          <w:p>
            <w:pPr>
              <w:spacing w:after="40"/>
            </w:pPr>
            <w:r>
              <w:rPr>
                <w:sz w:val="16"/>
              </w:rPr>
              <w:t>Risk</w:t>
            </w:r>
          </w:p>
        </w:tc>
        <w:tc>
          <w:tcPr>
            <w:tcW w:type="dxa" w:w="3293"/>
            <w:vAlign w:val="center"/>
          </w:tcPr>
          <w:p>
            <w:pPr>
              <w:spacing w:after="40"/>
            </w:pPr>
            <w:r>
              <w:rPr>
                <w:sz w:val="16"/>
              </w:rPr>
              <w:t>Vendor renewal timeline may not allow migration of critical SAS-only workflows.</w:t>
            </w:r>
          </w:p>
        </w:tc>
        <w:tc>
          <w:tcPr>
            <w:tcW w:type="dxa" w:w="3293"/>
            <w:vAlign w:val="center"/>
          </w:tcPr>
          <w:p>
            <w:pPr>
              <w:spacing w:after="40"/>
            </w:pPr>
            <w:r>
              <w:rPr>
                <w:sz w:val="16"/>
              </w:rPr>
              <w:t>Technology Sourcing/Legal</w:t>
            </w:r>
          </w:p>
        </w:tc>
      </w:tr>
      <w:tr>
        <w:tc>
          <w:tcPr>
            <w:tcW w:type="dxa" w:w="3293"/>
            <w:vAlign w:val="center"/>
          </w:tcPr>
          <w:p>
            <w:pPr>
              <w:spacing w:after="40"/>
            </w:pPr>
            <w:r>
              <w:rPr>
                <w:sz w:val="16"/>
              </w:rPr>
              <w:t>Risk</w:t>
            </w:r>
          </w:p>
        </w:tc>
        <w:tc>
          <w:tcPr>
            <w:tcW w:type="dxa" w:w="3293"/>
            <w:vAlign w:val="center"/>
          </w:tcPr>
          <w:p>
            <w:pPr>
              <w:spacing w:after="40"/>
            </w:pPr>
            <w:r>
              <w:rPr>
                <w:sz w:val="16"/>
              </w:rPr>
              <w:t>A 0%-used workspace may have annual reporting, batch input or audit-retention significance.</w:t>
            </w:r>
          </w:p>
        </w:tc>
        <w:tc>
          <w:tcPr>
            <w:tcW w:type="dxa" w:w="3293"/>
            <w:vAlign w:val="center"/>
          </w:tcPr>
          <w:p>
            <w:pPr>
              <w:spacing w:after="40"/>
            </w:pPr>
            <w:r>
              <w:rPr>
                <w:sz w:val="16"/>
              </w:rPr>
              <w:t>LOB owners / Regulatory</w:t>
            </w:r>
          </w:p>
        </w:tc>
      </w:tr>
      <w:tr>
        <w:tc>
          <w:tcPr>
            <w:tcW w:type="dxa" w:w="3293"/>
            <w:vAlign w:val="center"/>
          </w:tcPr>
          <w:p>
            <w:pPr>
              <w:spacing w:after="40"/>
            </w:pPr>
            <w:r>
              <w:rPr>
                <w:sz w:val="16"/>
              </w:rPr>
              <w:t>Issue</w:t>
            </w:r>
          </w:p>
        </w:tc>
        <w:tc>
          <w:tcPr>
            <w:tcW w:type="dxa" w:w="3293"/>
            <w:vAlign w:val="center"/>
          </w:tcPr>
          <w:p>
            <w:pPr>
              <w:spacing w:after="40"/>
            </w:pPr>
            <w:r>
              <w:rPr>
                <w:sz w:val="16"/>
              </w:rPr>
              <w:t>Entitlements are not synonymous with unique people, active licensed seats or invoice charges.</w:t>
            </w:r>
          </w:p>
        </w:tc>
        <w:tc>
          <w:tcPr>
            <w:tcW w:type="dxa" w:w="3293"/>
            <w:vAlign w:val="center"/>
          </w:tcPr>
          <w:p>
            <w:pPr>
              <w:spacing w:after="40"/>
            </w:pPr>
            <w:r>
              <w:rPr>
                <w:sz w:val="16"/>
              </w:rPr>
              <w:t>SAS platform / License mgmt</w:t>
            </w:r>
          </w:p>
        </w:tc>
      </w:tr>
      <w:tr>
        <w:tc>
          <w:tcPr>
            <w:tcW w:type="dxa" w:w="3293"/>
            <w:vAlign w:val="center"/>
          </w:tcPr>
          <w:p>
            <w:pPr>
              <w:spacing w:after="40"/>
            </w:pPr>
            <w:r>
              <w:rPr>
                <w:sz w:val="16"/>
              </w:rPr>
              <w:t>Issue</w:t>
            </w:r>
          </w:p>
        </w:tc>
        <w:tc>
          <w:tcPr>
            <w:tcW w:type="dxa" w:w="3293"/>
            <w:vAlign w:val="center"/>
          </w:tcPr>
          <w:p>
            <w:pPr>
              <w:spacing w:after="40"/>
            </w:pPr>
            <w:r>
              <w:rPr>
                <w:sz w:val="16"/>
              </w:rPr>
              <w:t>Owners (~66) and workspaces (166) need controlled identity reconciliation.</w:t>
            </w:r>
          </w:p>
        </w:tc>
        <w:tc>
          <w:tcPr>
            <w:tcW w:type="dxa" w:w="3293"/>
            <w:vAlign w:val="center"/>
          </w:tcPr>
          <w:p>
            <w:pPr>
              <w:spacing w:after="40"/>
            </w:pPr>
            <w:r>
              <w:rPr>
                <w:sz w:val="16"/>
              </w:rPr>
              <w:t>CDO / PMO</w:t>
            </w:r>
          </w:p>
        </w:tc>
      </w:tr>
      <w:tr>
        <w:tc>
          <w:tcPr>
            <w:tcW w:type="dxa" w:w="3293"/>
            <w:vAlign w:val="center"/>
          </w:tcPr>
          <w:p>
            <w:pPr>
              <w:spacing w:after="40"/>
            </w:pPr>
            <w:r>
              <w:rPr>
                <w:sz w:val="16"/>
              </w:rPr>
              <w:t>Dependency</w:t>
            </w:r>
          </w:p>
        </w:tc>
        <w:tc>
          <w:tcPr>
            <w:tcW w:type="dxa" w:w="3293"/>
            <w:vAlign w:val="center"/>
          </w:tcPr>
          <w:p>
            <w:pPr>
              <w:spacing w:after="40"/>
            </w:pPr>
            <w:r>
              <w:rPr>
                <w:sz w:val="16"/>
              </w:rPr>
              <w:t>SAS macros/procedures, scheduled jobs and downstream consumers not represented in storage workbook.</w:t>
            </w:r>
          </w:p>
        </w:tc>
        <w:tc>
          <w:tcPr>
            <w:tcW w:type="dxa" w:w="3293"/>
            <w:vAlign w:val="center"/>
          </w:tcPr>
          <w:p>
            <w:pPr>
              <w:spacing w:after="40"/>
            </w:pPr>
            <w:r>
              <w:rPr>
                <w:sz w:val="16"/>
              </w:rPr>
              <w:t>Platform / workload SMEs</w:t>
            </w:r>
          </w:p>
        </w:tc>
      </w:tr>
      <w:tr>
        <w:tc>
          <w:tcPr>
            <w:tcW w:type="dxa" w:w="3293"/>
            <w:vAlign w:val="center"/>
          </w:tcPr>
          <w:p>
            <w:pPr>
              <w:spacing w:after="40"/>
            </w:pPr>
            <w:r>
              <w:rPr>
                <w:sz w:val="16"/>
              </w:rPr>
              <w:t>Assumption</w:t>
            </w:r>
          </w:p>
        </w:tc>
        <w:tc>
          <w:tcPr>
            <w:tcW w:type="dxa" w:w="3293"/>
            <w:vAlign w:val="center"/>
          </w:tcPr>
          <w:p>
            <w:pPr>
              <w:spacing w:after="40"/>
            </w:pPr>
            <w:r>
              <w:rPr>
                <w:sz w:val="16"/>
              </w:rPr>
              <w:t>September modeled $1.6M is realizable only if allocation and charging mechanisms support it.</w:t>
            </w:r>
          </w:p>
        </w:tc>
        <w:tc>
          <w:tcPr>
            <w:tcW w:type="dxa" w:w="3293"/>
            <w:vAlign w:val="center"/>
          </w:tcPr>
          <w:p>
            <w:pPr>
              <w:spacing w:after="40"/>
            </w:pPr>
            <w:r>
              <w:rPr>
                <w:sz w:val="16"/>
              </w:rPr>
              <w:t>FinOps / Technology Finance</w:t>
            </w:r>
          </w:p>
        </w:tc>
      </w:tr>
      <w:tr>
        <w:tc>
          <w:tcPr>
            <w:tcW w:type="dxa" w:w="3293"/>
            <w:vAlign w:val="center"/>
          </w:tcPr>
          <w:p>
            <w:pPr>
              <w:spacing w:after="40"/>
            </w:pPr>
            <w:r>
              <w:rPr>
                <w:sz w:val="16"/>
              </w:rPr>
              <w:t>Dependency</w:t>
            </w:r>
          </w:p>
        </w:tc>
        <w:tc>
          <w:tcPr>
            <w:tcW w:type="dxa" w:w="3293"/>
            <w:vAlign w:val="center"/>
          </w:tcPr>
          <w:p>
            <w:pPr>
              <w:spacing w:after="40"/>
            </w:pPr>
            <w:r>
              <w:rPr>
                <w:sz w:val="16"/>
              </w:rPr>
              <w:t>Migration targets require sourcing, security, validation and operational readiness—not merely code translation.</w:t>
            </w:r>
          </w:p>
        </w:tc>
        <w:tc>
          <w:tcPr>
            <w:tcW w:type="dxa" w:w="3293"/>
            <w:vAlign w:val="center"/>
          </w:tcPr>
          <w:p>
            <w:pPr>
              <w:spacing w:after="40"/>
            </w:pPr>
            <w:r>
              <w:rPr>
                <w:sz w:val="16"/>
              </w:rPr>
              <w:t>Architecture / ADS</w:t>
            </w:r>
          </w:p>
        </w:tc>
      </w:tr>
      <w:tr>
        <w:tc>
          <w:tcPr>
            <w:tcW w:type="dxa" w:w="3293"/>
            <w:vAlign w:val="center"/>
          </w:tcPr>
          <w:p>
            <w:pPr>
              <w:spacing w:after="40"/>
            </w:pPr>
            <w:r>
              <w:rPr>
                <w:sz w:val="16"/>
              </w:rPr>
              <w:t>Risk</w:t>
            </w:r>
          </w:p>
        </w:tc>
        <w:tc>
          <w:tcPr>
            <w:tcW w:type="dxa" w:w="3293"/>
            <w:vAlign w:val="center"/>
          </w:tcPr>
          <w:p>
            <w:pPr>
              <w:spacing w:after="40"/>
            </w:pPr>
            <w:r>
              <w:rPr>
                <w:sz w:val="16"/>
              </w:rPr>
              <w:t>Model validation, records retention, BC/DR and report reconciliation delay decommission.</w:t>
            </w:r>
          </w:p>
        </w:tc>
        <w:tc>
          <w:tcPr>
            <w:tcW w:type="dxa" w:w="3293"/>
            <w:vAlign w:val="center"/>
          </w:tcPr>
          <w:p>
            <w:pPr>
              <w:spacing w:after="40"/>
            </w:pPr>
            <w:r>
              <w:rPr>
                <w:sz w:val="16"/>
              </w:rPr>
              <w:t>Risk/control partners</w:t>
            </w:r>
          </w:p>
        </w:tc>
      </w:tr>
    </w:tbl>
    <w:p>
      <w:pPr>
        <w:pStyle w:val="Heading1"/>
      </w:pPr>
      <w:r>
        <w:t>16 | First 30 business days: tangible outputs</w:t>
      </w:r>
    </w:p>
    <w:p>
      <w:pPr>
        <w:pStyle w:val="ListNumber"/>
      </w:pPr>
      <w:r>
        <w:t>Secure contract and financing fact base: dates, scope, scenarios and decision rights.</w:t>
      </w:r>
    </w:p>
    <w:p>
      <w:pPr>
        <w:pStyle w:val="ListNumber"/>
      </w:pPr>
      <w:r>
        <w:t>Obtain consolidated SAS user, workspace, owner, platform, processing and storage raw extract; reconcile August vs refreshed baseline.</w:t>
      </w:r>
    </w:p>
    <w:p>
      <w:pPr>
        <w:pStyle w:val="ListNumber"/>
      </w:pPr>
      <w:r>
        <w:t>Attest all workspace owners; identify unowned, duplicate and service-owned workspaces.</w:t>
      </w:r>
    </w:p>
    <w:p>
      <w:pPr>
        <w:pStyle w:val="ListNumber"/>
      </w:pPr>
      <w:r>
        <w:t>Launch use-case questionnaire to all ~66 owners; assign discovery leads to top-risk and top-capacity clusters.</w:t>
      </w:r>
    </w:p>
    <w:p>
      <w:pPr>
        <w:pStyle w:val="ListNumber"/>
      </w:pPr>
      <w:r>
        <w:t>Run platform job and code metadata analytics so owner answers can be checked against execution evidence.</w:t>
      </w:r>
    </w:p>
    <w:p>
      <w:pPr>
        <w:pStyle w:val="ListNumber"/>
      </w:pPr>
      <w:r>
        <w:t>Publish initial T0/T1 use-case and report/model exposure map, including unknowns.</w:t>
      </w:r>
    </w:p>
    <w:p>
      <w:pPr>
        <w:pStyle w:val="ListNumber"/>
      </w:pPr>
      <w:r>
        <w:t>Agree on deallocation criteria and pursue owner-approved capacity/entitlement quick wins.</w:t>
      </w:r>
    </w:p>
    <w:p>
      <w:pPr>
        <w:pStyle w:val="ListNumber"/>
      </w:pPr>
      <w:r>
        <w:t>Hold migration-pattern workshop with ADS/architecture teams; identify target candidates and proof-of-concept needs.</w:t>
      </w:r>
    </w:p>
    <w:p>
      <w:pPr>
        <w:pStyle w:val="ListNumber"/>
      </w:pPr>
      <w:r>
        <w:t>Publish first steering pack: evidence coverage, material exposures, draft exit waves, assumptions and asks.</w:t>
      </w:r>
    </w:p>
    <w:p>
      <w:r>
        <w:br w:type="page"/>
      </w:r>
    </w:p>
    <w:p>
      <w:pPr>
        <w:pStyle w:val="Heading1"/>
      </w:pPr>
      <w:r>
        <w:t>APPENDIX A | Copy-ready use-case intake template</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Field</w:t>
            </w:r>
          </w:p>
        </w:tc>
        <w:tc>
          <w:tcPr>
            <w:tcW w:type="dxa" w:w="4939"/>
            <w:vAlign w:val="center"/>
          </w:tcPr>
          <w:p>
            <w:pPr>
              <w:spacing w:after="40"/>
            </w:pPr>
            <w:r>
              <w:rPr>
                <w:sz w:val="16"/>
              </w:rPr>
              <w:t>Response / required evidence</w:t>
            </w:r>
          </w:p>
        </w:tc>
      </w:tr>
      <w:tr>
        <w:tc>
          <w:tcPr>
            <w:tcW w:type="dxa" w:w="4939"/>
            <w:vAlign w:val="center"/>
          </w:tcPr>
          <w:p>
            <w:pPr>
              <w:spacing w:after="40"/>
            </w:pPr>
            <w:r>
              <w:rPr>
                <w:sz w:val="16"/>
              </w:rPr>
              <w:t>Use-case ID and business name</w:t>
            </w:r>
          </w:p>
        </w:tc>
        <w:tc>
          <w:tcPr>
            <w:tcW w:type="dxa" w:w="4939"/>
            <w:vAlign w:val="center"/>
          </w:tcPr>
          <w:p>
            <w:pPr>
              <w:spacing w:after="40"/>
            </w:pPr>
            <w:r>
              <w:rPr>
                <w:sz w:val="16"/>
              </w:rPr>
              <w:t>[Owner to complete]</w:t>
            </w:r>
          </w:p>
        </w:tc>
      </w:tr>
      <w:tr>
        <w:tc>
          <w:tcPr>
            <w:tcW w:type="dxa" w:w="4939"/>
            <w:vAlign w:val="center"/>
          </w:tcPr>
          <w:p>
            <w:pPr>
              <w:spacing w:after="40"/>
            </w:pPr>
            <w:r>
              <w:rPr>
                <w:sz w:val="16"/>
              </w:rPr>
              <w:t>Workspace IDs and SAS environment(s)</w:t>
            </w:r>
          </w:p>
        </w:tc>
        <w:tc>
          <w:tcPr>
            <w:tcW w:type="dxa" w:w="4939"/>
            <w:vAlign w:val="center"/>
          </w:tcPr>
          <w:p>
            <w:pPr>
              <w:spacing w:after="40"/>
            </w:pPr>
            <w:r>
              <w:rPr>
                <w:sz w:val="16"/>
              </w:rPr>
              <w:t>[Owner to complete]</w:t>
            </w:r>
          </w:p>
        </w:tc>
      </w:tr>
      <w:tr>
        <w:tc>
          <w:tcPr>
            <w:tcW w:type="dxa" w:w="4939"/>
            <w:vAlign w:val="center"/>
          </w:tcPr>
          <w:p>
            <w:pPr>
              <w:spacing w:after="40"/>
            </w:pPr>
            <w:r>
              <w:rPr>
                <w:sz w:val="16"/>
              </w:rPr>
              <w:t>Business owner and backup</w:t>
            </w:r>
          </w:p>
        </w:tc>
        <w:tc>
          <w:tcPr>
            <w:tcW w:type="dxa" w:w="4939"/>
            <w:vAlign w:val="center"/>
          </w:tcPr>
          <w:p>
            <w:pPr>
              <w:spacing w:after="40"/>
            </w:pPr>
            <w:r>
              <w:rPr>
                <w:sz w:val="16"/>
              </w:rPr>
              <w:t>[Owner to complete]</w:t>
            </w:r>
          </w:p>
        </w:tc>
      </w:tr>
      <w:tr>
        <w:tc>
          <w:tcPr>
            <w:tcW w:type="dxa" w:w="4939"/>
            <w:vAlign w:val="center"/>
          </w:tcPr>
          <w:p>
            <w:pPr>
              <w:spacing w:after="40"/>
            </w:pPr>
            <w:r>
              <w:rPr>
                <w:sz w:val="16"/>
              </w:rPr>
              <w:t>Risk group and BAM application ID</w:t>
            </w:r>
          </w:p>
        </w:tc>
        <w:tc>
          <w:tcPr>
            <w:tcW w:type="dxa" w:w="4939"/>
            <w:vAlign w:val="center"/>
          </w:tcPr>
          <w:p>
            <w:pPr>
              <w:spacing w:after="40"/>
            </w:pPr>
            <w:r>
              <w:rPr>
                <w:sz w:val="16"/>
              </w:rPr>
              <w:t>[Owner to complete]</w:t>
            </w:r>
          </w:p>
        </w:tc>
      </w:tr>
      <w:tr>
        <w:tc>
          <w:tcPr>
            <w:tcW w:type="dxa" w:w="4939"/>
            <w:vAlign w:val="center"/>
          </w:tcPr>
          <w:p>
            <w:pPr>
              <w:spacing w:after="40"/>
            </w:pPr>
            <w:r>
              <w:rPr>
                <w:sz w:val="16"/>
              </w:rPr>
              <w:t>Business purpose / decision supported</w:t>
            </w:r>
          </w:p>
        </w:tc>
        <w:tc>
          <w:tcPr>
            <w:tcW w:type="dxa" w:w="4939"/>
            <w:vAlign w:val="center"/>
          </w:tcPr>
          <w:p>
            <w:pPr>
              <w:spacing w:after="40"/>
            </w:pPr>
            <w:r>
              <w:rPr>
                <w:sz w:val="16"/>
              </w:rPr>
              <w:t>[Owner to complete]</w:t>
            </w:r>
          </w:p>
        </w:tc>
      </w:tr>
      <w:tr>
        <w:tc>
          <w:tcPr>
            <w:tcW w:type="dxa" w:w="4939"/>
            <w:vAlign w:val="center"/>
          </w:tcPr>
          <w:p>
            <w:pPr>
              <w:spacing w:after="40"/>
            </w:pPr>
            <w:r>
              <w:rPr>
                <w:sz w:val="16"/>
              </w:rPr>
              <w:t>Reports, models or regulatory IDs affected</w:t>
            </w:r>
          </w:p>
        </w:tc>
        <w:tc>
          <w:tcPr>
            <w:tcW w:type="dxa" w:w="4939"/>
            <w:vAlign w:val="center"/>
          </w:tcPr>
          <w:p>
            <w:pPr>
              <w:spacing w:after="40"/>
            </w:pPr>
            <w:r>
              <w:rPr>
                <w:sz w:val="16"/>
              </w:rPr>
              <w:t>[Owner to complete]</w:t>
            </w:r>
          </w:p>
        </w:tc>
      </w:tr>
      <w:tr>
        <w:tc>
          <w:tcPr>
            <w:tcW w:type="dxa" w:w="4939"/>
            <w:vAlign w:val="center"/>
          </w:tcPr>
          <w:p>
            <w:pPr>
              <w:spacing w:after="40"/>
            </w:pPr>
            <w:r>
              <w:rPr>
                <w:sz w:val="16"/>
              </w:rPr>
              <w:t>Business criticality and downtime impact</w:t>
            </w:r>
          </w:p>
        </w:tc>
        <w:tc>
          <w:tcPr>
            <w:tcW w:type="dxa" w:w="4939"/>
            <w:vAlign w:val="center"/>
          </w:tcPr>
          <w:p>
            <w:pPr>
              <w:spacing w:after="40"/>
            </w:pPr>
            <w:r>
              <w:rPr>
                <w:sz w:val="16"/>
              </w:rPr>
              <w:t>[Owner to complete]</w:t>
            </w:r>
          </w:p>
        </w:tc>
      </w:tr>
      <w:tr>
        <w:tc>
          <w:tcPr>
            <w:tcW w:type="dxa" w:w="4939"/>
            <w:vAlign w:val="center"/>
          </w:tcPr>
          <w:p>
            <w:pPr>
              <w:spacing w:after="40"/>
            </w:pPr>
            <w:r>
              <w:rPr>
                <w:sz w:val="16"/>
              </w:rPr>
              <w:t>Execution cadence; month-end/quarter-end peak</w:t>
            </w:r>
          </w:p>
        </w:tc>
        <w:tc>
          <w:tcPr>
            <w:tcW w:type="dxa" w:w="4939"/>
            <w:vAlign w:val="center"/>
          </w:tcPr>
          <w:p>
            <w:pPr>
              <w:spacing w:after="40"/>
            </w:pPr>
            <w:r>
              <w:rPr>
                <w:sz w:val="16"/>
              </w:rPr>
              <w:t>[Owner to complete]</w:t>
            </w:r>
          </w:p>
        </w:tc>
      </w:tr>
      <w:tr>
        <w:tc>
          <w:tcPr>
            <w:tcW w:type="dxa" w:w="4939"/>
            <w:vAlign w:val="center"/>
          </w:tcPr>
          <w:p>
            <w:pPr>
              <w:spacing w:after="40"/>
            </w:pPr>
            <w:r>
              <w:rPr>
                <w:sz w:val="16"/>
              </w:rPr>
              <w:t>Upstream sources (SOR/ADS/physical interfaces)</w:t>
            </w:r>
          </w:p>
        </w:tc>
        <w:tc>
          <w:tcPr>
            <w:tcW w:type="dxa" w:w="4939"/>
            <w:vAlign w:val="center"/>
          </w:tcPr>
          <w:p>
            <w:pPr>
              <w:spacing w:after="40"/>
            </w:pPr>
            <w:r>
              <w:rPr>
                <w:sz w:val="16"/>
              </w:rPr>
              <w:t>[Owner to complete]</w:t>
            </w:r>
          </w:p>
        </w:tc>
      </w:tr>
      <w:tr>
        <w:tc>
          <w:tcPr>
            <w:tcW w:type="dxa" w:w="4939"/>
            <w:vAlign w:val="center"/>
          </w:tcPr>
          <w:p>
            <w:pPr>
              <w:spacing w:after="40"/>
            </w:pPr>
            <w:r>
              <w:rPr>
                <w:sz w:val="16"/>
              </w:rPr>
              <w:t>SAS logic and jobs; schedules; service accounts</w:t>
            </w:r>
          </w:p>
        </w:tc>
        <w:tc>
          <w:tcPr>
            <w:tcW w:type="dxa" w:w="4939"/>
            <w:vAlign w:val="center"/>
          </w:tcPr>
          <w:p>
            <w:pPr>
              <w:spacing w:after="40"/>
            </w:pPr>
            <w:r>
              <w:rPr>
                <w:sz w:val="16"/>
              </w:rPr>
              <w:t>[Owner to complete]</w:t>
            </w:r>
          </w:p>
        </w:tc>
      </w:tr>
      <w:tr>
        <w:tc>
          <w:tcPr>
            <w:tcW w:type="dxa" w:w="4939"/>
            <w:vAlign w:val="center"/>
          </w:tcPr>
          <w:p>
            <w:pPr>
              <w:spacing w:after="40"/>
            </w:pPr>
            <w:r>
              <w:rPr>
                <w:sz w:val="16"/>
              </w:rPr>
              <w:t>Output recipients and downstream systems</w:t>
            </w:r>
          </w:p>
        </w:tc>
        <w:tc>
          <w:tcPr>
            <w:tcW w:type="dxa" w:w="4939"/>
            <w:vAlign w:val="center"/>
          </w:tcPr>
          <w:p>
            <w:pPr>
              <w:spacing w:after="40"/>
            </w:pPr>
            <w:r>
              <w:rPr>
                <w:sz w:val="16"/>
              </w:rPr>
              <w:t>[Owner to complete]</w:t>
            </w:r>
          </w:p>
        </w:tc>
      </w:tr>
      <w:tr>
        <w:tc>
          <w:tcPr>
            <w:tcW w:type="dxa" w:w="4939"/>
            <w:vAlign w:val="center"/>
          </w:tcPr>
          <w:p>
            <w:pPr>
              <w:spacing w:after="40"/>
            </w:pPr>
            <w:r>
              <w:rPr>
                <w:sz w:val="16"/>
              </w:rPr>
              <w:t>Actual last-run evidence; code/library path</w:t>
            </w:r>
          </w:p>
        </w:tc>
        <w:tc>
          <w:tcPr>
            <w:tcW w:type="dxa" w:w="4939"/>
            <w:vAlign w:val="center"/>
          </w:tcPr>
          <w:p>
            <w:pPr>
              <w:spacing w:after="40"/>
            </w:pPr>
            <w:r>
              <w:rPr>
                <w:sz w:val="16"/>
              </w:rPr>
              <w:t>[Owner to complete]</w:t>
            </w:r>
          </w:p>
        </w:tc>
      </w:tr>
      <w:tr>
        <w:tc>
          <w:tcPr>
            <w:tcW w:type="dxa" w:w="4939"/>
            <w:vAlign w:val="center"/>
          </w:tcPr>
          <w:p>
            <w:pPr>
              <w:spacing w:after="40"/>
            </w:pPr>
            <w:r>
              <w:rPr>
                <w:sz w:val="16"/>
              </w:rPr>
              <w:t>Data classification and retention requirements</w:t>
            </w:r>
          </w:p>
        </w:tc>
        <w:tc>
          <w:tcPr>
            <w:tcW w:type="dxa" w:w="4939"/>
            <w:vAlign w:val="center"/>
          </w:tcPr>
          <w:p>
            <w:pPr>
              <w:spacing w:after="40"/>
            </w:pPr>
            <w:r>
              <w:rPr>
                <w:sz w:val="16"/>
              </w:rPr>
              <w:t>[Owner to complete]</w:t>
            </w:r>
          </w:p>
        </w:tc>
      </w:tr>
      <w:tr>
        <w:tc>
          <w:tcPr>
            <w:tcW w:type="dxa" w:w="4939"/>
            <w:vAlign w:val="center"/>
          </w:tcPr>
          <w:p>
            <w:pPr>
              <w:spacing w:after="40"/>
            </w:pPr>
            <w:r>
              <w:rPr>
                <w:sz w:val="16"/>
              </w:rPr>
              <w:t>Proposed target platform and readiness</w:t>
            </w:r>
          </w:p>
        </w:tc>
        <w:tc>
          <w:tcPr>
            <w:tcW w:type="dxa" w:w="4939"/>
            <w:vAlign w:val="center"/>
          </w:tcPr>
          <w:p>
            <w:pPr>
              <w:spacing w:after="40"/>
            </w:pPr>
            <w:r>
              <w:rPr>
                <w:sz w:val="16"/>
              </w:rPr>
              <w:t>[Owner to complete]</w:t>
            </w:r>
          </w:p>
        </w:tc>
      </w:tr>
      <w:tr>
        <w:tc>
          <w:tcPr>
            <w:tcW w:type="dxa" w:w="4939"/>
            <w:vAlign w:val="center"/>
          </w:tcPr>
          <w:p>
            <w:pPr>
              <w:spacing w:after="40"/>
            </w:pPr>
            <w:r>
              <w:rPr>
                <w:sz w:val="16"/>
              </w:rPr>
              <w:t>Disposition / cost / effort / blockers</w:t>
            </w:r>
          </w:p>
        </w:tc>
        <w:tc>
          <w:tcPr>
            <w:tcW w:type="dxa" w:w="4939"/>
            <w:vAlign w:val="center"/>
          </w:tcPr>
          <w:p>
            <w:pPr>
              <w:spacing w:after="40"/>
            </w:pPr>
            <w:r>
              <w:rPr>
                <w:sz w:val="16"/>
              </w:rPr>
              <w:t>[Owner to complete]</w:t>
            </w:r>
          </w:p>
        </w:tc>
      </w:tr>
      <w:tr>
        <w:tc>
          <w:tcPr>
            <w:tcW w:type="dxa" w:w="4939"/>
            <w:vAlign w:val="center"/>
          </w:tcPr>
          <w:p>
            <w:pPr>
              <w:spacing w:after="40"/>
            </w:pPr>
            <w:r>
              <w:rPr>
                <w:sz w:val="16"/>
              </w:rPr>
              <w:t>Target timeline and contingency</w:t>
            </w:r>
          </w:p>
        </w:tc>
        <w:tc>
          <w:tcPr>
            <w:tcW w:type="dxa" w:w="4939"/>
            <w:vAlign w:val="center"/>
          </w:tcPr>
          <w:p>
            <w:pPr>
              <w:spacing w:after="40"/>
            </w:pPr>
            <w:r>
              <w:rPr>
                <w:sz w:val="16"/>
              </w:rPr>
              <w:t>[Owner to complete]</w:t>
            </w:r>
          </w:p>
        </w:tc>
      </w:tr>
      <w:tr>
        <w:tc>
          <w:tcPr>
            <w:tcW w:type="dxa" w:w="4939"/>
            <w:vAlign w:val="center"/>
          </w:tcPr>
          <w:p>
            <w:pPr>
              <w:spacing w:after="40"/>
            </w:pPr>
            <w:r>
              <w:rPr>
                <w:sz w:val="16"/>
              </w:rPr>
              <w:t>Business sign-off and test evidence</w:t>
            </w:r>
          </w:p>
        </w:tc>
        <w:tc>
          <w:tcPr>
            <w:tcW w:type="dxa" w:w="4939"/>
            <w:vAlign w:val="center"/>
          </w:tcPr>
          <w:p>
            <w:pPr>
              <w:spacing w:after="40"/>
            </w:pPr>
            <w:r>
              <w:rPr>
                <w:sz w:val="16"/>
              </w:rPr>
              <w:t>[Owner to complete]</w:t>
            </w:r>
          </w:p>
        </w:tc>
      </w:tr>
    </w:tbl>
    <w:p>
      <w:pPr>
        <w:pStyle w:val="Heading1"/>
      </w:pPr>
      <w:r>
        <w:t>APPENDIX B | Sample discovery tracker / status vocabulary</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pPr>
              <w:spacing w:after="40"/>
            </w:pPr>
            <w:r>
              <w:rPr>
                <w:sz w:val="16"/>
              </w:rPr>
              <w:t>Category</w:t>
            </w:r>
          </w:p>
        </w:tc>
        <w:tc>
          <w:tcPr>
            <w:tcW w:type="dxa" w:w="4939"/>
            <w:vAlign w:val="center"/>
          </w:tcPr>
          <w:p>
            <w:pPr>
              <w:spacing w:after="40"/>
            </w:pPr>
            <w:r>
              <w:rPr>
                <w:sz w:val="16"/>
              </w:rPr>
              <w:t>Allowed values</w:t>
            </w:r>
          </w:p>
        </w:tc>
      </w:tr>
      <w:tr>
        <w:tc>
          <w:tcPr>
            <w:tcW w:type="dxa" w:w="4939"/>
            <w:vAlign w:val="center"/>
          </w:tcPr>
          <w:p>
            <w:pPr>
              <w:spacing w:after="40"/>
            </w:pPr>
            <w:r>
              <w:rPr>
                <w:sz w:val="16"/>
              </w:rPr>
              <w:t>Inventory status</w:t>
            </w:r>
          </w:p>
        </w:tc>
        <w:tc>
          <w:tcPr>
            <w:tcW w:type="dxa" w:w="4939"/>
            <w:vAlign w:val="center"/>
          </w:tcPr>
          <w:p>
            <w:pPr>
              <w:spacing w:after="40"/>
            </w:pPr>
            <w:r>
              <w:rPr>
                <w:sz w:val="16"/>
              </w:rPr>
              <w:t>Unmapped; owner assigned; owner contacted; discovery underway; validated; owner-certified.</w:t>
            </w:r>
          </w:p>
        </w:tc>
      </w:tr>
      <w:tr>
        <w:tc>
          <w:tcPr>
            <w:tcW w:type="dxa" w:w="4939"/>
            <w:vAlign w:val="center"/>
          </w:tcPr>
          <w:p>
            <w:pPr>
              <w:spacing w:after="40"/>
            </w:pPr>
            <w:r>
              <w:rPr>
                <w:sz w:val="16"/>
              </w:rPr>
              <w:t>Priority / criticality</w:t>
            </w:r>
          </w:p>
        </w:tc>
        <w:tc>
          <w:tcPr>
            <w:tcW w:type="dxa" w:w="4939"/>
            <w:vAlign w:val="center"/>
          </w:tcPr>
          <w:p>
            <w:pPr>
              <w:spacing w:after="40"/>
            </w:pPr>
            <w:r>
              <w:rPr>
                <w:sz w:val="16"/>
              </w:rPr>
              <w:t>T0 critical; T1 high; T2 medium; T3 low; pending assessment.</w:t>
            </w:r>
          </w:p>
        </w:tc>
      </w:tr>
      <w:tr>
        <w:tc>
          <w:tcPr>
            <w:tcW w:type="dxa" w:w="4939"/>
            <w:vAlign w:val="center"/>
          </w:tcPr>
          <w:p>
            <w:pPr>
              <w:spacing w:after="40"/>
            </w:pPr>
            <w:r>
              <w:rPr>
                <w:sz w:val="16"/>
              </w:rPr>
              <w:t>Exit disposition</w:t>
            </w:r>
          </w:p>
        </w:tc>
        <w:tc>
          <w:tcPr>
            <w:tcW w:type="dxa" w:w="4939"/>
            <w:vAlign w:val="center"/>
          </w:tcPr>
          <w:p>
            <w:pPr>
              <w:spacing w:after="40"/>
            </w:pPr>
            <w:r>
              <w:rPr>
                <w:sz w:val="16"/>
              </w:rPr>
              <w:t>Retire; consolidate; migrate/translate; replace; temporarily retain; unresolved.</w:t>
            </w:r>
          </w:p>
        </w:tc>
      </w:tr>
      <w:tr>
        <w:tc>
          <w:tcPr>
            <w:tcW w:type="dxa" w:w="4939"/>
            <w:vAlign w:val="center"/>
          </w:tcPr>
          <w:p>
            <w:pPr>
              <w:spacing w:after="40"/>
            </w:pPr>
            <w:r>
              <w:rPr>
                <w:sz w:val="16"/>
              </w:rPr>
              <w:t>Feasibility</w:t>
            </w:r>
          </w:p>
        </w:tc>
        <w:tc>
          <w:tcPr>
            <w:tcW w:type="dxa" w:w="4939"/>
            <w:vAlign w:val="center"/>
          </w:tcPr>
          <w:p>
            <w:pPr>
              <w:spacing w:after="40"/>
            </w:pPr>
            <w:r>
              <w:rPr>
                <w:sz w:val="16"/>
              </w:rPr>
              <w:t>Ready now; design needed; engineering needed; third-party dependency; no known alternative.</w:t>
            </w:r>
          </w:p>
        </w:tc>
      </w:tr>
      <w:tr>
        <w:tc>
          <w:tcPr>
            <w:tcW w:type="dxa" w:w="4939"/>
            <w:vAlign w:val="center"/>
          </w:tcPr>
          <w:p>
            <w:pPr>
              <w:spacing w:after="40"/>
            </w:pPr>
            <w:r>
              <w:rPr>
                <w:sz w:val="16"/>
              </w:rPr>
              <w:t>Financial status</w:t>
            </w:r>
          </w:p>
        </w:tc>
        <w:tc>
          <w:tcPr>
            <w:tcW w:type="dxa" w:w="4939"/>
            <w:vAlign w:val="center"/>
          </w:tcPr>
          <w:p>
            <w:pPr>
              <w:spacing w:after="40"/>
            </w:pPr>
            <w:r>
              <w:rPr>
                <w:sz w:val="16"/>
              </w:rPr>
              <w:t>Unverified estimate; platform-approved reclamation; implemented; finance-confirmed savings.</w:t>
            </w:r>
          </w:p>
        </w:tc>
      </w:tr>
      <w:tr>
        <w:tc>
          <w:tcPr>
            <w:tcW w:type="dxa" w:w="4939"/>
            <w:vAlign w:val="center"/>
          </w:tcPr>
          <w:p>
            <w:pPr>
              <w:spacing w:after="40"/>
            </w:pPr>
            <w:r>
              <w:rPr>
                <w:sz w:val="16"/>
              </w:rPr>
              <w:t>Exit closure</w:t>
            </w:r>
          </w:p>
        </w:tc>
        <w:tc>
          <w:tcPr>
            <w:tcW w:type="dxa" w:w="4939"/>
            <w:vAlign w:val="center"/>
          </w:tcPr>
          <w:p>
            <w:pPr>
              <w:spacing w:after="40"/>
            </w:pPr>
            <w:r>
              <w:rPr>
                <w:sz w:val="16"/>
              </w:rPr>
              <w:t>Not started; designed; built; tested; parallel run passed; signed off; decommissioned.</w:t>
            </w:r>
          </w:p>
        </w:tc>
      </w:tr>
    </w:tbl>
    <w:p>
      <w:pPr>
        <w:pStyle w:val="Heading1"/>
      </w:pPr>
      <w:r>
        <w:t>APPENDIX C | Calculation recipes and data quality controls</w:t>
      </w:r>
    </w:p>
    <w:p>
      <w:pPr>
        <w:pStyle w:val="ListBullet"/>
      </w:pPr>
      <w:r>
        <w:t>Storage utilization % = Used GB ÷ Allocated GB, when allocated &gt; 0.</w:t>
      </w:r>
    </w:p>
    <w:p>
      <w:pPr>
        <w:pStyle w:val="ListBullet"/>
      </w:pPr>
      <w:r>
        <w:t>Candidate target GB at 60% = Used GB ÷ 0.60, subject to platform minimum, peak usage and growth buffer; never apply blindly.</w:t>
      </w:r>
    </w:p>
    <w:p>
      <w:pPr>
        <w:pStyle w:val="ListBullet"/>
      </w:pPr>
      <w:r>
        <w:t>Proposed reclaimable GB = MAX(0, Allocated GB − Approved target GB).</w:t>
      </w:r>
    </w:p>
    <w:p>
      <w:pPr>
        <w:pStyle w:val="ListBullet"/>
      </w:pPr>
      <w:r>
        <w:t>Distinct owners = COUNT(DISTINCT owner USER_ID), excluding unassigned/service aliases by clearly defined convention.</w:t>
      </w:r>
    </w:p>
    <w:p>
      <w:pPr>
        <w:pStyle w:val="ListBullet"/>
      </w:pPr>
      <w:r>
        <w:t>Entitled users = COUNT(DISTINCT person ID) only after resolving multiple grants and technical identities.</w:t>
      </w:r>
    </w:p>
    <w:p>
      <w:pPr>
        <w:pStyle w:val="ListBullet"/>
      </w:pPr>
      <w:r>
        <w:t>Do not SUM used capacity after one-to-many joins from workspace to use case; preserve workspace-grain capacity facts.</w:t>
      </w:r>
    </w:p>
    <w:p>
      <w:pPr>
        <w:pStyle w:val="ListBullet"/>
      </w:pPr>
      <w:r>
        <w:t>Validate snapshot dates, risk group assignment, PROD-only scope, PB = 1,000,000 GB conversion, and all rate multipliers.</w:t>
      </w:r>
    </w:p>
    <w:p>
      <w:pPr>
        <w:pStyle w:val="ListBullet"/>
      </w:pPr>
      <w:r>
        <w:t>Maintain an explicit “unknown” category rather than assuming missing job metadata means no dependencies.</w:t>
      </w:r>
    </w:p>
    <w:p>
      <w:pPr>
        <w:pStyle w:val="Heading1"/>
      </w:pPr>
      <w:r>
        <w:t>APPENDIX D | Initial questions for Jacqueline / Kevin / Manav / Gwen</w:t>
      </w:r>
    </w:p>
    <w:p>
      <w:pPr>
        <w:pStyle w:val="ListNumber"/>
      </w:pPr>
      <w:r>
        <w:t>What is the actual decision deadline on SAS contractual terms, and what transition window is legally/technically possible?</w:t>
      </w:r>
    </w:p>
    <w:p>
      <w:pPr>
        <w:pStyle w:val="ListNumber"/>
      </w:pPr>
      <w:r>
        <w:t>Does the mandate cover all SAS environments, or only defined license products/data centers/contract scopes?</w:t>
      </w:r>
    </w:p>
    <w:p>
      <w:pPr>
        <w:pStyle w:val="ListNumber"/>
      </w:pPr>
      <w:r>
        <w:t>Who owns the definitive user, workspace, scheduling and storage extract and source lineage?</w:t>
      </w:r>
    </w:p>
    <w:p>
      <w:pPr>
        <w:pStyle w:val="ListNumber"/>
      </w:pPr>
      <w:r>
        <w:t>Is 2027 per-active-user licensing already agreed, or was it only the June projection?</w:t>
      </w:r>
    </w:p>
    <w:p>
      <w:pPr>
        <w:pStyle w:val="ListNumber"/>
      </w:pPr>
      <w:r>
        <w:t>What level of evidence is expected for an exit strategy: conceptual option, funded delivery plan, or committed retirement date?</w:t>
      </w:r>
    </w:p>
    <w:p>
      <w:pPr>
        <w:pStyle w:val="ListNumber"/>
      </w:pPr>
      <w:r>
        <w:t>Should the team prioritize critical use-case discovery before optimizing the long tail of workspace allocations?</w:t>
      </w:r>
    </w:p>
    <w:p>
      <w:pPr>
        <w:pStyle w:val="ListNumber"/>
      </w:pPr>
      <w:r>
        <w:t>Which target data platforms and migration programs may absorb SAS workloads—and which are not yet suitable?</w:t>
      </w:r>
    </w:p>
    <w:p>
      <w:pPr>
        <w:pStyle w:val="ListNumber"/>
      </w:pPr>
      <w:r>
        <w:t>How will Corporate Risk distinguish avoided vendor costs, internal chargeback shifts and net economic savings?</w:t>
      </w:r>
    </w:p>
    <w:p>
      <w:pPr>
        <w:pStyle w:val="ListNumber"/>
      </w:pPr>
      <w:r>
        <w:t>What exceptions and business-continuity decisions need executive approval before decommissioning?</w:t>
      </w:r>
    </w:p>
    <w:p>
      <w:pPr>
        <w:pStyle w:val="Heading1"/>
      </w:pPr>
      <w:r>
        <w:t>APPENDIX E | Evidence register and limitations</w:t>
      </w:r>
    </w:p>
    <w:p>
      <w:pPr>
        <w:pStyle w:val="ListBullet"/>
      </w:pPr>
      <w:r>
        <w:t>Source: “CR SAS Storage Access Management_08.2026_v1.xlsx” screenshots, including pivots and environment filter. Actual workbook bytes not supplied.</w:t>
      </w:r>
    </w:p>
    <w:p>
      <w:pPr>
        <w:pStyle w:val="ListBullet"/>
      </w:pPr>
      <w:r>
        <w:t>Source: “CR SAS Management_Aug 2026 Assessment_v1.pptx” screenshots: September storage cost analysis, allocated capacity and workspaces by risk group, owner-level optimization tables, CDO storage practices and June review. Actual PPTX bytes not supplied.</w:t>
      </w:r>
    </w:p>
    <w:p>
      <w:pPr>
        <w:pStyle w:val="ListBullet"/>
      </w:pPr>
      <w:r>
        <w:t>Source: user-provided leadership direction paraphrased from Gwen/Manav/Jacqueline/Kevin discussion; not validated against original email record.</w:t>
      </w:r>
    </w:p>
    <w:p>
      <w:pPr>
        <w:pStyle w:val="ListBullet"/>
      </w:pPr>
      <w:r>
        <w:t>Snapshot caveats: August/September slide material and May/June prior baseline are different as-of periods and possibly different definitions. Reconcile before external circulation.</w:t>
      </w:r>
    </w:p>
    <w:p>
      <w:pPr>
        <w:pStyle w:val="ListBullet"/>
      </w:pPr>
      <w:r>
        <w:t>No vendor contract, complete workspace detail, raw entitlement file, job logs, unique users or invoice actuals provided. All dates, effort ranges, migration targets, and scores herein are suggested planning constructs.</w:t>
      </w:r>
    </w:p>
    <w:p>
      <w:r>
        <w:t>Recommended next step: have the delegated Corporate Risk lead validate this playbook with Technology CDO, Finance/FinOps, Sourcing and the accountable business owners; establish an authoritative master tracker and sequence the first two discovery waves.</w:t>
      </w:r>
    </w:p>
    <w:sectPr w:rsidR="00FC693F" w:rsidRPr="0006063C" w:rsidSect="00034616">
      <w:headerReference w:type="default" r:id="rId9"/>
      <w:footerReference w:type="default" r:id="rId10"/>
      <w:pgSz w:w="12240" w:h="15840"/>
      <w:pgMar w:top="1037" w:right="1181" w:bottom="96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Working draft  •  19 October 2026  |  Internal planning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821B2A"/>
      </w:rPr>
      <w:t>CORPORATE RISK  /  SAS EXPOSURE &amp; EXIT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821B2A"/>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E3D54"/>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821B2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821B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