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8" w:w="11906" w:orient="portrait"/>
          <w:pgMar w:bottom="1440" w:top="720" w:left="720" w:right="720" w:header="720" w:footer="720"/>
          <w:pgNumType w:start="1"/>
        </w:sectPr>
      </w:pPr>
      <w:bookmarkStart w:colFirst="0" w:colLast="0" w:name="_maqblcq78lh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b w:val="1"/>
          <w:sz w:val="60"/>
          <w:szCs w:val="60"/>
          <w:vertAlign w:val="superscript"/>
        </w:rPr>
      </w:pPr>
      <w:r w:rsidDel="00000000" w:rsidR="00000000" w:rsidRPr="00000000">
        <w:rPr>
          <w:b w:val="1"/>
          <w:sz w:val="60"/>
          <w:szCs w:val="60"/>
          <w:vertAlign w:val="superscript"/>
          <w:rtl w:val="0"/>
        </w:rPr>
        <w:t xml:space="preserve">List of Tables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lamq2wo2izsm">
            <w:r w:rsidDel="00000000" w:rsidR="00000000" w:rsidRPr="00000000">
              <w:rPr>
                <w:color w:val="1155cc"/>
                <w:u w:val="single"/>
                <w:rtl w:val="0"/>
              </w:rPr>
              <w:t xml:space="preserve">Note Table no 0</w:t>
            </w:r>
          </w:hyperlink>
          <w:r w:rsidDel="00000000" w:rsidR="00000000" w:rsidRPr="00000000">
            <w:rPr>
              <w:rtl w:val="0"/>
            </w:rPr>
          </w:r>
        </w:p>
        <w:p w:rsidR="00000000" w:rsidDel="00000000" w:rsidP="00000000" w:rsidRDefault="00000000" w:rsidRPr="00000000" w14:paraId="00000005">
          <w:pPr>
            <w:widowControl w:val="0"/>
            <w:spacing w:before="60" w:line="240" w:lineRule="auto"/>
            <w:rPr>
              <w:color w:val="1155cc"/>
              <w:u w:val="single"/>
            </w:rPr>
          </w:pPr>
          <w:hyperlink w:anchor="_6zimgvbqri23">
            <w:r w:rsidDel="00000000" w:rsidR="00000000" w:rsidRPr="00000000">
              <w:rPr>
                <w:color w:val="1155cc"/>
                <w:u w:val="single"/>
                <w:rtl w:val="0"/>
              </w:rPr>
              <w:t xml:space="preserve">Note Table No 1 TFT</w:t>
            </w:r>
          </w:hyperlink>
          <w:r w:rsidDel="00000000" w:rsidR="00000000" w:rsidRPr="00000000">
            <w:rPr>
              <w:rtl w:val="0"/>
            </w:rPr>
          </w:r>
        </w:p>
        <w:p w:rsidR="00000000" w:rsidDel="00000000" w:rsidP="00000000" w:rsidRDefault="00000000" w:rsidRPr="00000000" w14:paraId="00000006">
          <w:pPr>
            <w:widowControl w:val="0"/>
            <w:spacing w:before="60" w:line="240" w:lineRule="auto"/>
            <w:rPr>
              <w:color w:val="1155cc"/>
              <w:u w:val="single"/>
            </w:rPr>
          </w:pPr>
          <w:hyperlink w:anchor="_qcwalh8zduiq">
            <w:r w:rsidDel="00000000" w:rsidR="00000000" w:rsidRPr="00000000">
              <w:rPr>
                <w:color w:val="1155cc"/>
                <w:u w:val="single"/>
                <w:rtl w:val="0"/>
              </w:rPr>
              <w:t xml:space="preserve">Note Table No 3 Anti-CCP</w:t>
            </w:r>
          </w:hyperlink>
          <w:r w:rsidDel="00000000" w:rsidR="00000000" w:rsidRPr="00000000">
            <w:rPr>
              <w:rtl w:val="0"/>
            </w:rPr>
          </w:r>
        </w:p>
        <w:p w:rsidR="00000000" w:rsidDel="00000000" w:rsidP="00000000" w:rsidRDefault="00000000" w:rsidRPr="00000000" w14:paraId="00000007">
          <w:pPr>
            <w:widowControl w:val="0"/>
            <w:spacing w:before="60" w:line="240" w:lineRule="auto"/>
            <w:rPr>
              <w:color w:val="1155cc"/>
              <w:u w:val="single"/>
            </w:rPr>
          </w:pPr>
          <w:hyperlink w:anchor="_2ajvldlml85f">
            <w:r w:rsidDel="00000000" w:rsidR="00000000" w:rsidRPr="00000000">
              <w:rPr>
                <w:color w:val="1155cc"/>
                <w:u w:val="single"/>
                <w:rtl w:val="0"/>
              </w:rPr>
              <w:t xml:space="preserve">Note Table No 4 Vitamin D</w:t>
            </w:r>
          </w:hyperlink>
          <w:r w:rsidDel="00000000" w:rsidR="00000000" w:rsidRPr="00000000">
            <w:rPr>
              <w:rtl w:val="0"/>
            </w:rPr>
          </w:r>
        </w:p>
        <w:p w:rsidR="00000000" w:rsidDel="00000000" w:rsidP="00000000" w:rsidRDefault="00000000" w:rsidRPr="00000000" w14:paraId="00000008">
          <w:pPr>
            <w:widowControl w:val="0"/>
            <w:spacing w:before="60" w:line="240" w:lineRule="auto"/>
            <w:rPr>
              <w:color w:val="1155cc"/>
              <w:u w:val="single"/>
            </w:rPr>
          </w:pPr>
          <w:hyperlink w:anchor="_vifir2ci2o3f">
            <w:r w:rsidDel="00000000" w:rsidR="00000000" w:rsidRPr="00000000">
              <w:rPr>
                <w:color w:val="1155cc"/>
                <w:u w:val="single"/>
                <w:rtl w:val="0"/>
              </w:rPr>
              <w:t xml:space="preserve">Note Table No 5 Vitamin B12</w:t>
            </w:r>
          </w:hyperlink>
          <w:r w:rsidDel="00000000" w:rsidR="00000000" w:rsidRPr="00000000">
            <w:rPr>
              <w:rtl w:val="0"/>
            </w:rPr>
          </w:r>
        </w:p>
        <w:p w:rsidR="00000000" w:rsidDel="00000000" w:rsidP="00000000" w:rsidRDefault="00000000" w:rsidRPr="00000000" w14:paraId="00000009">
          <w:pPr>
            <w:widowControl w:val="0"/>
            <w:spacing w:before="60" w:line="240" w:lineRule="auto"/>
            <w:rPr>
              <w:color w:val="1155cc"/>
              <w:u w:val="single"/>
            </w:rPr>
          </w:pPr>
          <w:hyperlink w:anchor="_m2auh157wo8r">
            <w:r w:rsidDel="00000000" w:rsidR="00000000" w:rsidRPr="00000000">
              <w:rPr>
                <w:color w:val="1155cc"/>
                <w:u w:val="single"/>
                <w:rtl w:val="0"/>
              </w:rPr>
              <w:t xml:space="preserve">Note Table No 6 TSH</w:t>
            </w:r>
          </w:hyperlink>
          <w:r w:rsidDel="00000000" w:rsidR="00000000" w:rsidRPr="00000000">
            <w:rPr>
              <w:rtl w:val="0"/>
            </w:rPr>
          </w:r>
        </w:p>
        <w:p w:rsidR="00000000" w:rsidDel="00000000" w:rsidP="00000000" w:rsidRDefault="00000000" w:rsidRPr="00000000" w14:paraId="0000000A">
          <w:pPr>
            <w:widowControl w:val="0"/>
            <w:spacing w:before="60" w:line="240" w:lineRule="auto"/>
            <w:rPr>
              <w:color w:val="1155cc"/>
              <w:u w:val="single"/>
            </w:rPr>
          </w:pPr>
          <w:hyperlink w:anchor="_um3s5561nnc2">
            <w:r w:rsidDel="00000000" w:rsidR="00000000" w:rsidRPr="00000000">
              <w:rPr>
                <w:color w:val="1155cc"/>
                <w:u w:val="single"/>
                <w:rtl w:val="0"/>
              </w:rPr>
              <w:t xml:space="preserve">Note Table No 7 HBA1C</w:t>
            </w:r>
          </w:hyperlink>
          <w:r w:rsidDel="00000000" w:rsidR="00000000" w:rsidRPr="00000000">
            <w:rPr>
              <w:rtl w:val="0"/>
            </w:rPr>
          </w:r>
        </w:p>
        <w:p w:rsidR="00000000" w:rsidDel="00000000" w:rsidP="00000000" w:rsidRDefault="00000000" w:rsidRPr="00000000" w14:paraId="0000000B">
          <w:pPr>
            <w:widowControl w:val="0"/>
            <w:spacing w:before="60" w:line="240" w:lineRule="auto"/>
            <w:rPr>
              <w:color w:val="1155cc"/>
              <w:u w:val="single"/>
            </w:rPr>
          </w:pPr>
          <w:hyperlink w:anchor="_z85h3ocixer3">
            <w:r w:rsidDel="00000000" w:rsidR="00000000" w:rsidRPr="00000000">
              <w:rPr>
                <w:color w:val="1155cc"/>
                <w:u w:val="single"/>
                <w:rtl w:val="0"/>
              </w:rPr>
              <w:t xml:space="preserve">Note Table No 8 IPTH</w:t>
            </w:r>
          </w:hyperlink>
          <w:r w:rsidDel="00000000" w:rsidR="00000000" w:rsidRPr="00000000">
            <w:rPr>
              <w:rtl w:val="0"/>
            </w:rPr>
          </w:r>
        </w:p>
        <w:p w:rsidR="00000000" w:rsidDel="00000000" w:rsidP="00000000" w:rsidRDefault="00000000" w:rsidRPr="00000000" w14:paraId="0000000C">
          <w:pPr>
            <w:widowControl w:val="0"/>
            <w:spacing w:before="60" w:line="240" w:lineRule="auto"/>
            <w:rPr>
              <w:color w:val="1155cc"/>
              <w:u w:val="single"/>
            </w:rPr>
          </w:pPr>
          <w:hyperlink w:anchor="_vuzofb5z80o1">
            <w:r w:rsidDel="00000000" w:rsidR="00000000" w:rsidRPr="00000000">
              <w:rPr>
                <w:color w:val="1155cc"/>
                <w:u w:val="single"/>
                <w:rtl w:val="0"/>
              </w:rPr>
              <w:t xml:space="preserve">Note Table No 9 VDRL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8r80xup119ez" w:id="1"/>
      <w:bookmarkEnd w:id="1"/>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rPr/>
      </w:pPr>
      <w:bookmarkStart w:colFirst="0" w:colLast="0" w:name="_lamq2wo2izsm" w:id="2"/>
      <w:bookmarkEnd w:id="2"/>
      <w:r w:rsidDel="00000000" w:rsidR="00000000" w:rsidRPr="00000000">
        <w:rPr>
          <w:rtl w:val="0"/>
        </w:rPr>
        <w:t xml:space="preserve">Note Table no 0</w:t>
      </w:r>
    </w:p>
    <w:p w:rsidR="00000000" w:rsidDel="00000000" w:rsidP="00000000" w:rsidRDefault="00000000" w:rsidRPr="00000000" w14:paraId="00000010">
      <w:pPr>
        <w:rPr>
          <w:b w:val="1"/>
          <w:sz w:val="20"/>
          <w:szCs w:val="20"/>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Note:</w:t>
            </w:r>
          </w:p>
        </w:tc>
      </w:tr>
      <w:tr>
        <w:trPr>
          <w:cantSplit w:val="0"/>
          <w:tblHeader w:val="0"/>
        </w:trPr>
        <w:tc>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{{Comment}}</w:t>
            </w:r>
          </w:p>
        </w:tc>
      </w:tr>
    </w:tbl>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pStyle w:val="Heading2"/>
        <w:rPr/>
      </w:pPr>
      <w:bookmarkStart w:colFirst="0" w:colLast="0" w:name="_6zimgvbqri23" w:id="3"/>
      <w:bookmarkEnd w:id="3"/>
      <w:r w:rsidDel="00000000" w:rsidR="00000000" w:rsidRPr="00000000">
        <w:rPr>
          <w:rtl w:val="0"/>
        </w:rPr>
        <w:t xml:space="preserve">Note Table No 1 TFT</w:t>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44.64" w:type="dxa"/>
              <w:left w:w="-44.64" w:type="dxa"/>
              <w:bottom w:w="-44.64" w:type="dxa"/>
              <w:right w:w="-44.64" w:type="dxa"/>
            </w:tcMar>
          </w:tcPr>
          <w:p w:rsidR="00000000" w:rsidDel="00000000" w:rsidP="00000000" w:rsidRDefault="00000000" w:rsidRPr="00000000" w14:paraId="00000015">
            <w:pPr>
              <w:rPr>
                <w:b w:val="1"/>
                <w:sz w:val="18"/>
                <w:szCs w:val="18"/>
              </w:rPr>
            </w:pPr>
            <w:r w:rsidDel="00000000" w:rsidR="00000000" w:rsidRPr="00000000">
              <w:rPr>
                <w:b w:val="1"/>
                <w:sz w:val="18"/>
                <w:szCs w:val="18"/>
                <w:rtl w:val="0"/>
              </w:rPr>
              <w:t xml:space="preserve">Summary :</w:t>
            </w:r>
          </w:p>
          <w:p w:rsidR="00000000" w:rsidDel="00000000" w:rsidP="00000000" w:rsidRDefault="00000000" w:rsidRPr="00000000" w14:paraId="00000016">
            <w:pPr>
              <w:rPr>
                <w:sz w:val="18"/>
                <w:szCs w:val="18"/>
              </w:rPr>
            </w:pPr>
            <w:r w:rsidDel="00000000" w:rsidR="00000000" w:rsidRPr="00000000">
              <w:rPr>
                <w:sz w:val="18"/>
                <w:szCs w:val="18"/>
                <w:rtl w:val="0"/>
              </w:rPr>
              <w:t xml:space="preserve">The Biological reference interval provided is for Adults.</w:t>
            </w:r>
          </w:p>
          <w:p w:rsidR="00000000" w:rsidDel="00000000" w:rsidP="00000000" w:rsidRDefault="00000000" w:rsidRPr="00000000" w14:paraId="00000017">
            <w:pPr>
              <w:rPr>
                <w:sz w:val="18"/>
                <w:szCs w:val="18"/>
              </w:rPr>
            </w:pPr>
            <w:r w:rsidDel="00000000" w:rsidR="00000000" w:rsidRPr="00000000">
              <w:rPr>
                <w:sz w:val="18"/>
                <w:szCs w:val="18"/>
                <w:rtl w:val="0"/>
              </w:rPr>
              <w:t xml:space="preserve">Interpretation: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44.64" w:type="dxa"/>
              <w:left w:w="-44.64" w:type="dxa"/>
              <w:bottom w:w="-44.64" w:type="dxa"/>
              <w:right w:w="-44.64" w:type="dxa"/>
            </w:tcMar>
          </w:tcPr>
          <w:p w:rsidR="00000000" w:rsidDel="00000000" w:rsidP="00000000" w:rsidRDefault="00000000" w:rsidRPr="00000000" w14:paraId="00000018">
            <w:pPr>
              <w:widowControl w:val="0"/>
              <w:spacing w:line="240" w:lineRule="auto"/>
              <w:rPr>
                <w:sz w:val="18"/>
                <w:szCs w:val="18"/>
              </w:rPr>
            </w:pPr>
            <w:r w:rsidDel="00000000" w:rsidR="00000000" w:rsidRPr="00000000">
              <w:rPr>
                <w:rtl w:val="0"/>
              </w:rPr>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70"/>
              <w:gridCol w:w="1155"/>
              <w:gridCol w:w="5340"/>
              <w:tblGridChange w:id="0">
                <w:tblGrid>
                  <w:gridCol w:w="1440"/>
                  <w:gridCol w:w="1170"/>
                  <w:gridCol w:w="1155"/>
                  <w:gridCol w:w="5340"/>
                </w:tblGrid>
              </w:tblGridChange>
            </w:tblGrid>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19">
                  <w:pPr>
                    <w:rPr>
                      <w:b w:val="1"/>
                      <w:sz w:val="18"/>
                      <w:szCs w:val="18"/>
                    </w:rPr>
                  </w:pPr>
                  <w:r w:rsidDel="00000000" w:rsidR="00000000" w:rsidRPr="00000000">
                    <w:rPr>
                      <w:b w:val="1"/>
                      <w:sz w:val="18"/>
                      <w:szCs w:val="18"/>
                      <w:rtl w:val="0"/>
                    </w:rPr>
                    <w:t xml:space="preserve"> TSH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1A">
                  <w:pPr>
                    <w:rPr>
                      <w:b w:val="1"/>
                      <w:sz w:val="18"/>
                      <w:szCs w:val="18"/>
                    </w:rPr>
                  </w:pPr>
                  <w:r w:rsidDel="00000000" w:rsidR="00000000" w:rsidRPr="00000000">
                    <w:rPr>
                      <w:b w:val="1"/>
                      <w:sz w:val="18"/>
                      <w:szCs w:val="18"/>
                      <w:rtl w:val="0"/>
                    </w:rPr>
                    <w:t xml:space="preserve"> Free T4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 Free T3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1C">
                  <w:pPr>
                    <w:rPr>
                      <w:b w:val="1"/>
                      <w:sz w:val="18"/>
                      <w:szCs w:val="18"/>
                    </w:rPr>
                  </w:pPr>
                  <w:r w:rsidDel="00000000" w:rsidR="00000000" w:rsidRPr="00000000">
                    <w:rPr>
                      <w:b w:val="1"/>
                      <w:sz w:val="18"/>
                      <w:szCs w:val="18"/>
                      <w:rtl w:val="0"/>
                    </w:rPr>
                    <w:t xml:space="preserve"> Condition</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1D">
                  <w:pPr>
                    <w:rPr>
                      <w:sz w:val="18"/>
                      <w:szCs w:val="18"/>
                    </w:rPr>
                  </w:pPr>
                  <w:r w:rsidDel="00000000" w:rsidR="00000000" w:rsidRPr="00000000">
                    <w:rPr>
                      <w:sz w:val="18"/>
                      <w:szCs w:val="18"/>
                      <w:rtl w:val="0"/>
                    </w:rPr>
                    <w:t xml:space="preserve"> Normal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1E">
                  <w:pPr>
                    <w:rPr>
                      <w:sz w:val="18"/>
                      <w:szCs w:val="18"/>
                    </w:rPr>
                  </w:pPr>
                  <w:r w:rsidDel="00000000" w:rsidR="00000000" w:rsidRPr="00000000">
                    <w:rPr>
                      <w:sz w:val="18"/>
                      <w:szCs w:val="18"/>
                      <w:rtl w:val="0"/>
                    </w:rPr>
                    <w:t xml:space="preserve"> Normal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1F">
                  <w:pPr>
                    <w:rPr>
                      <w:sz w:val="18"/>
                      <w:szCs w:val="18"/>
                    </w:rPr>
                  </w:pPr>
                  <w:r w:rsidDel="00000000" w:rsidR="00000000" w:rsidRPr="00000000">
                    <w:rPr>
                      <w:sz w:val="18"/>
                      <w:szCs w:val="18"/>
                      <w:rtl w:val="0"/>
                    </w:rPr>
                    <w:t xml:space="preserve"> Normal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0">
                  <w:pPr>
                    <w:widowControl w:val="0"/>
                    <w:spacing w:line="240" w:lineRule="auto"/>
                    <w:rPr>
                      <w:sz w:val="18"/>
                      <w:szCs w:val="18"/>
                    </w:rPr>
                  </w:pPr>
                  <w:r w:rsidDel="00000000" w:rsidR="00000000" w:rsidRPr="00000000">
                    <w:rPr>
                      <w:sz w:val="18"/>
                      <w:szCs w:val="18"/>
                      <w:rtl w:val="0"/>
                    </w:rPr>
                    <w:t xml:space="preserve">    ●   None</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21">
                  <w:pPr>
                    <w:widowControl w:val="0"/>
                    <w:spacing w:line="240" w:lineRule="auto"/>
                    <w:rPr>
                      <w:sz w:val="18"/>
                      <w:szCs w:val="18"/>
                    </w:rPr>
                  </w:pPr>
                  <w:r w:rsidDel="00000000" w:rsidR="00000000" w:rsidRPr="00000000">
                    <w:rPr>
                      <w:sz w:val="18"/>
                      <w:szCs w:val="18"/>
                      <w:rtl w:val="0"/>
                    </w:rPr>
                    <w:t xml:space="preserve"> Low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2">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4">
                  <w:pPr>
                    <w:rPr>
                      <w:sz w:val="18"/>
                      <w:szCs w:val="18"/>
                    </w:rPr>
                  </w:pPr>
                  <w:r w:rsidDel="00000000" w:rsidR="00000000" w:rsidRPr="00000000">
                    <w:rPr>
                      <w:sz w:val="18"/>
                      <w:szCs w:val="18"/>
                      <w:rtl w:val="0"/>
                    </w:rPr>
                    <w:t xml:space="preserve">    ●  Hyperthyroidism</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25">
                  <w:pPr>
                    <w:widowControl w:val="0"/>
                    <w:spacing w:line="240" w:lineRule="auto"/>
                    <w:rPr>
                      <w:sz w:val="18"/>
                      <w:szCs w:val="18"/>
                    </w:rPr>
                  </w:pPr>
                  <w:r w:rsidDel="00000000" w:rsidR="00000000" w:rsidRPr="00000000">
                    <w:rPr>
                      <w:sz w:val="18"/>
                      <w:szCs w:val="18"/>
                      <w:rtl w:val="0"/>
                    </w:rPr>
                    <w:t xml:space="preserve"> Low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6">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7">
                  <w:pPr>
                    <w:rPr>
                      <w:sz w:val="18"/>
                      <w:szCs w:val="18"/>
                    </w:rPr>
                  </w:pPr>
                  <w:r w:rsidDel="00000000" w:rsidR="00000000" w:rsidRPr="00000000">
                    <w:rPr>
                      <w:sz w:val="18"/>
                      <w:szCs w:val="18"/>
                      <w:rtl w:val="0"/>
                    </w:rPr>
                    <w:t xml:space="preserve"> Normal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8">
                  <w:pPr>
                    <w:rPr>
                      <w:sz w:val="18"/>
                      <w:szCs w:val="18"/>
                    </w:rPr>
                  </w:pPr>
                  <w:r w:rsidDel="00000000" w:rsidR="00000000" w:rsidRPr="00000000">
                    <w:rPr>
                      <w:sz w:val="18"/>
                      <w:szCs w:val="18"/>
                      <w:rtl w:val="0"/>
                    </w:rPr>
                    <w:t xml:space="preserve">    ●  Subclinical Hyperthyroidism</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 Low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C">
                  <w:pPr>
                    <w:rPr>
                      <w:sz w:val="18"/>
                      <w:szCs w:val="18"/>
                    </w:rPr>
                  </w:pPr>
                  <w:r w:rsidDel="00000000" w:rsidR="00000000" w:rsidRPr="00000000">
                    <w:rPr>
                      <w:sz w:val="18"/>
                      <w:szCs w:val="18"/>
                      <w:rtl w:val="0"/>
                    </w:rPr>
                    <w:t xml:space="preserve">    ●  T3 Toxicosis</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 Low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0">
                  <w:pPr>
                    <w:rPr>
                      <w:sz w:val="18"/>
                      <w:szCs w:val="18"/>
                    </w:rPr>
                  </w:pPr>
                  <w:r w:rsidDel="00000000" w:rsidR="00000000" w:rsidRPr="00000000">
                    <w:rPr>
                      <w:sz w:val="18"/>
                      <w:szCs w:val="18"/>
                      <w:rtl w:val="0"/>
                    </w:rPr>
                    <w:t xml:space="preserve">    ●  Thyroiditis</w:t>
                  </w:r>
                </w:p>
                <w:p w:rsidR="00000000" w:rsidDel="00000000" w:rsidP="00000000" w:rsidRDefault="00000000" w:rsidRPr="00000000" w14:paraId="00000031">
                  <w:pPr>
                    <w:rPr>
                      <w:sz w:val="18"/>
                      <w:szCs w:val="18"/>
                    </w:rPr>
                  </w:pPr>
                  <w:r w:rsidDel="00000000" w:rsidR="00000000" w:rsidRPr="00000000">
                    <w:rPr>
                      <w:sz w:val="18"/>
                      <w:szCs w:val="18"/>
                      <w:rtl w:val="0"/>
                    </w:rPr>
                    <w:t xml:space="preserve">    ●  T4 ingestion</w:t>
                  </w:r>
                </w:p>
                <w:p w:rsidR="00000000" w:rsidDel="00000000" w:rsidP="00000000" w:rsidRDefault="00000000" w:rsidRPr="00000000" w14:paraId="00000032">
                  <w:pPr>
                    <w:rPr>
                      <w:sz w:val="18"/>
                      <w:szCs w:val="18"/>
                    </w:rPr>
                  </w:pPr>
                  <w:r w:rsidDel="00000000" w:rsidR="00000000" w:rsidRPr="00000000">
                    <w:rPr>
                      <w:sz w:val="18"/>
                      <w:szCs w:val="18"/>
                      <w:rtl w:val="0"/>
                    </w:rPr>
                    <w:t xml:space="preserve">    ●  Hyperthyroidism in the elderly or comorbid illness</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 Low </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4">
                  <w:pPr>
                    <w:widowControl w:val="0"/>
                    <w:spacing w:line="240" w:lineRule="auto"/>
                    <w:rPr>
                      <w:sz w:val="18"/>
                      <w:szCs w:val="18"/>
                    </w:rPr>
                  </w:pPr>
                  <w:r w:rsidDel="00000000" w:rsidR="00000000" w:rsidRPr="00000000">
                    <w:rPr>
                      <w:sz w:val="18"/>
                      <w:szCs w:val="18"/>
                      <w:rtl w:val="0"/>
                    </w:rPr>
                    <w:t xml:space="preserve"> Low</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5">
                  <w:pPr>
                    <w:widowControl w:val="0"/>
                    <w:spacing w:line="240" w:lineRule="auto"/>
                    <w:rPr>
                      <w:sz w:val="18"/>
                      <w:szCs w:val="18"/>
                    </w:rPr>
                  </w:pPr>
                  <w:r w:rsidDel="00000000" w:rsidR="00000000" w:rsidRPr="00000000">
                    <w:rPr>
                      <w:sz w:val="18"/>
                      <w:szCs w:val="18"/>
                      <w:rtl w:val="0"/>
                    </w:rPr>
                    <w:t xml:space="preserve"> Low</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6">
                  <w:pPr>
                    <w:rPr>
                      <w:sz w:val="18"/>
                      <w:szCs w:val="18"/>
                    </w:rPr>
                  </w:pPr>
                  <w:r w:rsidDel="00000000" w:rsidR="00000000" w:rsidRPr="00000000">
                    <w:rPr>
                      <w:sz w:val="18"/>
                      <w:szCs w:val="18"/>
                      <w:rtl w:val="0"/>
                    </w:rPr>
                    <w:t xml:space="preserve">    ●  Euthyroid sick syndrome</w:t>
                  </w:r>
                </w:p>
                <w:p w:rsidR="00000000" w:rsidDel="00000000" w:rsidP="00000000" w:rsidRDefault="00000000" w:rsidRPr="00000000" w14:paraId="00000037">
                  <w:pPr>
                    <w:rPr>
                      <w:sz w:val="18"/>
                      <w:szCs w:val="18"/>
                    </w:rPr>
                  </w:pPr>
                  <w:r w:rsidDel="00000000" w:rsidR="00000000" w:rsidRPr="00000000">
                    <w:rPr>
                      <w:sz w:val="18"/>
                      <w:szCs w:val="18"/>
                      <w:rtl w:val="0"/>
                    </w:rPr>
                    <w:t xml:space="preserve">    ●  Central hypothyroidism</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B">
                  <w:pPr>
                    <w:rPr>
                      <w:sz w:val="18"/>
                      <w:szCs w:val="18"/>
                    </w:rPr>
                  </w:pPr>
                  <w:r w:rsidDel="00000000" w:rsidR="00000000" w:rsidRPr="00000000">
                    <w:rPr>
                      <w:sz w:val="18"/>
                      <w:szCs w:val="18"/>
                      <w:rtl w:val="0"/>
                    </w:rPr>
                    <w:t xml:space="preserve">    ●  Subclinical hypothyroidism</w:t>
                  </w:r>
                </w:p>
                <w:p w:rsidR="00000000" w:rsidDel="00000000" w:rsidP="00000000" w:rsidRDefault="00000000" w:rsidRPr="00000000" w14:paraId="0000003C">
                  <w:pPr>
                    <w:rPr>
                      <w:sz w:val="18"/>
                      <w:szCs w:val="18"/>
                    </w:rPr>
                  </w:pPr>
                  <w:r w:rsidDel="00000000" w:rsidR="00000000" w:rsidRPr="00000000">
                    <w:rPr>
                      <w:sz w:val="18"/>
                      <w:szCs w:val="18"/>
                      <w:rtl w:val="0"/>
                    </w:rPr>
                    <w:t xml:space="preserve">    ●  Recovery from euthyroid sick syndrome</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 High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 Low</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 Low</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0">
                  <w:pPr>
                    <w:rPr>
                      <w:sz w:val="18"/>
                      <w:szCs w:val="18"/>
                    </w:rPr>
                  </w:pPr>
                  <w:r w:rsidDel="00000000" w:rsidR="00000000" w:rsidRPr="00000000">
                    <w:rPr>
                      <w:sz w:val="18"/>
                      <w:szCs w:val="18"/>
                      <w:rtl w:val="0"/>
                    </w:rPr>
                    <w:t xml:space="preserve">    ●  Primary Hypothyroidism</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4">
                  <w:pPr>
                    <w:rPr>
                      <w:sz w:val="18"/>
                      <w:szCs w:val="18"/>
                    </w:rPr>
                  </w:pPr>
                  <w:r w:rsidDel="00000000" w:rsidR="00000000" w:rsidRPr="00000000">
                    <w:rPr>
                      <w:sz w:val="18"/>
                      <w:szCs w:val="18"/>
                      <w:rtl w:val="0"/>
                    </w:rPr>
                    <w:t xml:space="preserve">    ●  TSH producing pituitary adenoma</w:t>
                  </w:r>
                </w:p>
              </w:tc>
            </w:tr>
            <w:tr>
              <w:trPr>
                <w:cantSplit w:val="0"/>
                <w:tblHeader w:val="0"/>
              </w:trPr>
              <w:tc>
                <w:tcPr>
                  <w:tcMar>
                    <w:top w:w="-102.23999999999998" w:type="dxa"/>
                    <w:left w:w="-102.23999999999998" w:type="dxa"/>
                    <w:bottom w:w="-102.23999999999998" w:type="dxa"/>
                    <w:right w:w="-102.23999999999998" w:type="dxa"/>
                  </w:tcMar>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 Normal</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 High</w:t>
                  </w:r>
                </w:p>
              </w:tc>
              <w:tc>
                <w:tcPr>
                  <w:tcMar>
                    <w:top w:w="-102.23999999999998" w:type="dxa"/>
                    <w:left w:w="-102.23999999999998" w:type="dxa"/>
                    <w:bottom w:w="-102.23999999999998" w:type="dxa"/>
                    <w:right w:w="-102.23999999999998" w:type="dxa"/>
                  </w:tcMar>
                </w:tcPr>
                <w:p w:rsidR="00000000" w:rsidDel="00000000" w:rsidP="00000000" w:rsidRDefault="00000000" w:rsidRPr="00000000" w14:paraId="00000048">
                  <w:pPr>
                    <w:rPr>
                      <w:sz w:val="18"/>
                      <w:szCs w:val="18"/>
                    </w:rPr>
                  </w:pPr>
                  <w:r w:rsidDel="00000000" w:rsidR="00000000" w:rsidRPr="00000000">
                    <w:rPr>
                      <w:sz w:val="18"/>
                      <w:szCs w:val="18"/>
                      <w:rtl w:val="0"/>
                    </w:rPr>
                    <w:t xml:space="preserve">    ●  Thyroid hormone resistance syndrome</w:t>
                  </w:r>
                </w:p>
              </w:tc>
            </w:tr>
          </w:tbl>
          <w:p w:rsidR="00000000" w:rsidDel="00000000" w:rsidP="00000000" w:rsidRDefault="00000000" w:rsidRPr="00000000" w14:paraId="00000049">
            <w:pPr>
              <w:widowControl w:val="0"/>
              <w:spacing w:line="240" w:lineRule="auto"/>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44.64" w:type="dxa"/>
              <w:left w:w="-44.64" w:type="dxa"/>
              <w:bottom w:w="-44.64" w:type="dxa"/>
              <w:right w:w="-44.64" w:type="dxa"/>
            </w:tcMar>
          </w:tcPr>
          <w:p w:rsidR="00000000" w:rsidDel="00000000" w:rsidP="00000000" w:rsidRDefault="00000000" w:rsidRPr="00000000" w14:paraId="0000004A">
            <w:pPr>
              <w:rPr>
                <w:sz w:val="16"/>
                <w:szCs w:val="16"/>
              </w:rPr>
            </w:pPr>
            <w:r w:rsidDel="00000000" w:rsidR="00000000" w:rsidRPr="00000000">
              <w:rPr>
                <w:sz w:val="16"/>
                <w:szCs w:val="16"/>
                <w:rtl w:val="0"/>
              </w:rPr>
              <w:t xml:space="preserve">    ●  Please note test values may vary depending on the assay method used.</w:t>
            </w:r>
          </w:p>
          <w:p w:rsidR="00000000" w:rsidDel="00000000" w:rsidP="00000000" w:rsidRDefault="00000000" w:rsidRPr="00000000" w14:paraId="0000004B">
            <w:pPr>
              <w:rPr>
                <w:sz w:val="16"/>
                <w:szCs w:val="16"/>
              </w:rPr>
            </w:pPr>
            <w:r w:rsidDel="00000000" w:rsidR="00000000" w:rsidRPr="00000000">
              <w:rPr>
                <w:sz w:val="16"/>
                <w:szCs w:val="16"/>
                <w:rtl w:val="0"/>
              </w:rPr>
              <w:t xml:space="preserve">    ● TSH Levels are subjected to circadian variation, rising several hours before the onset of sleep, reaching peak levels between 11 pm and 6 am. Nadir concentrations are observed during the afternoon. Diurnal variation is TSH levels is approx 50% +/-, hence time of the day can influence the measured serum concentration.</w:t>
            </w:r>
          </w:p>
          <w:p w:rsidR="00000000" w:rsidDel="00000000" w:rsidP="00000000" w:rsidRDefault="00000000" w:rsidRPr="00000000" w14:paraId="0000004C">
            <w:pPr>
              <w:rPr>
                <w:sz w:val="16"/>
                <w:szCs w:val="16"/>
              </w:rPr>
            </w:pPr>
            <w:r w:rsidDel="00000000" w:rsidR="00000000" w:rsidRPr="00000000">
              <w:rPr>
                <w:sz w:val="16"/>
                <w:szCs w:val="16"/>
                <w:rtl w:val="0"/>
              </w:rPr>
              <w:t xml:space="preserve">    ●  For monitoring of therapy it is advisable to test parameters by the same assay method.The values with different methods cannot be used interchangeably due to difference in test procedures and reagent specificity.</w:t>
            </w:r>
          </w:p>
        </w:tc>
      </w:tr>
    </w:tbl>
    <w:p w:rsidR="00000000" w:rsidDel="00000000" w:rsidP="00000000" w:rsidRDefault="00000000" w:rsidRPr="00000000" w14:paraId="0000004D">
      <w:pPr>
        <w:pStyle w:val="Heading2"/>
        <w:rPr/>
      </w:pPr>
      <w:bookmarkStart w:colFirst="0" w:colLast="0" w:name="_qcwalh8zduiq" w:id="4"/>
      <w:bookmarkEnd w:id="4"/>
      <w:r w:rsidDel="00000000" w:rsidR="00000000" w:rsidRPr="00000000">
        <w:rPr>
          <w:rtl w:val="0"/>
        </w:rPr>
        <w:t xml:space="preserve">Note Table No 3 Anti-CCP</w:t>
      </w:r>
    </w:p>
    <w:p w:rsidR="00000000" w:rsidDel="00000000" w:rsidP="00000000" w:rsidRDefault="00000000" w:rsidRPr="00000000" w14:paraId="0000004E">
      <w:pPr>
        <w:rPr/>
      </w:pPr>
      <w:r w:rsidDel="00000000" w:rsidR="00000000" w:rsidRPr="00000000">
        <w:rPr>
          <w:rtl w:val="0"/>
        </w:rPr>
      </w:r>
    </w:p>
    <w:tbl>
      <w:tblPr>
        <w:tblStyle w:val="Table4"/>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4F">
            <w:pPr>
              <w:widowControl w:val="0"/>
              <w:spacing w:line="240" w:lineRule="auto"/>
              <w:jc w:val="both"/>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050">
            <w:pPr>
              <w:widowControl w:val="0"/>
              <w:spacing w:line="240" w:lineRule="auto"/>
              <w:jc w:val="both"/>
              <w:rPr>
                <w:sz w:val="18"/>
                <w:szCs w:val="18"/>
              </w:rPr>
            </w:pPr>
            <w:r w:rsidDel="00000000" w:rsidR="00000000" w:rsidRPr="00000000">
              <w:rPr>
                <w:sz w:val="18"/>
                <w:szCs w:val="18"/>
                <w:rtl w:val="0"/>
              </w:rPr>
              <w:t xml:space="preserve">Anti-CCP Assay: </w:t>
            </w:r>
          </w:p>
          <w:p w:rsidR="00000000" w:rsidDel="00000000" w:rsidP="00000000" w:rsidRDefault="00000000" w:rsidRPr="00000000" w14:paraId="00000051">
            <w:pPr>
              <w:widowControl w:val="0"/>
              <w:spacing w:line="240" w:lineRule="auto"/>
              <w:jc w:val="both"/>
              <w:rPr>
                <w:sz w:val="18"/>
                <w:szCs w:val="18"/>
              </w:rPr>
            </w:pPr>
            <w:r w:rsidDel="00000000" w:rsidR="00000000" w:rsidRPr="00000000">
              <w:rPr>
                <w:sz w:val="18"/>
                <w:szCs w:val="18"/>
                <w:rtl w:val="0"/>
              </w:rPr>
              <w:t xml:space="preserve">1. Specimens with concentration less than the cut off value are negative for Anti-CCP. </w:t>
            </w:r>
          </w:p>
          <w:p w:rsidR="00000000" w:rsidDel="00000000" w:rsidP="00000000" w:rsidRDefault="00000000" w:rsidRPr="00000000" w14:paraId="00000052">
            <w:pPr>
              <w:widowControl w:val="0"/>
              <w:spacing w:line="240" w:lineRule="auto"/>
              <w:jc w:val="both"/>
              <w:rPr>
                <w:sz w:val="18"/>
                <w:szCs w:val="18"/>
              </w:rPr>
            </w:pPr>
            <w:r w:rsidDel="00000000" w:rsidR="00000000" w:rsidRPr="00000000">
              <w:rPr>
                <w:sz w:val="18"/>
                <w:szCs w:val="18"/>
                <w:rtl w:val="0"/>
              </w:rPr>
              <w:t xml:space="preserve">2. Specimens with concentration greater than or equal to the cut off value are positive for Anti-CCP.</w:t>
            </w:r>
          </w:p>
          <w:p w:rsidR="00000000" w:rsidDel="00000000" w:rsidP="00000000" w:rsidRDefault="00000000" w:rsidRPr="00000000" w14:paraId="00000053">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54">
            <w:pPr>
              <w:widowControl w:val="0"/>
              <w:spacing w:line="240" w:lineRule="auto"/>
              <w:jc w:val="both"/>
              <w:rPr>
                <w:b w:val="1"/>
                <w:sz w:val="18"/>
                <w:szCs w:val="18"/>
              </w:rPr>
            </w:pPr>
            <w:r w:rsidDel="00000000" w:rsidR="00000000" w:rsidRPr="00000000">
              <w:rPr>
                <w:b w:val="1"/>
                <w:sz w:val="18"/>
                <w:szCs w:val="18"/>
                <w:rtl w:val="0"/>
              </w:rPr>
              <w:t xml:space="preserve">CLINICAL SIGNIFICANCE:</w:t>
            </w:r>
          </w:p>
          <w:p w:rsidR="00000000" w:rsidDel="00000000" w:rsidP="00000000" w:rsidRDefault="00000000" w:rsidRPr="00000000" w14:paraId="00000055">
            <w:pPr>
              <w:widowControl w:val="0"/>
              <w:spacing w:line="240" w:lineRule="auto"/>
              <w:jc w:val="both"/>
              <w:rPr>
                <w:sz w:val="18"/>
                <w:szCs w:val="18"/>
              </w:rPr>
            </w:pPr>
            <w:r w:rsidDel="00000000" w:rsidR="00000000" w:rsidRPr="00000000">
              <w:rPr>
                <w:sz w:val="18"/>
                <w:szCs w:val="18"/>
                <w:rtl w:val="0"/>
              </w:rPr>
              <w:t xml:space="preserve">Rheumatoid arthritis (RA) is an inflammatory rheumatic disorder with a worldwide prevalence of about 0.5-1%. The serum of RA patients contains a variety of antibodies directed against self-antigens. The most widely known of these autoantibodies is the rheumatoid factor (RF) antibody directed against the constant domain of IgG molecules. Although the RF test has good sensitivity for RA, it is not very specific for the disease as it can also be detected in the serum of patients with other rheumatic or inflammatory diseases and even in a substantial percentage of the healthy (elderly) population. The RF antibodies are sensitive but not very specific markers; In contrast, Anti-CCPs are characterized by a specificity of over 90% in patients affected by RA and are detectable in a very early asymptomatic stage in the approximately 70% of RA patients whereas only 2% of the control subjects resulted positive. Therefore, the presence of Anti-CCP antibodies can be used in the diagnosis of RA, particularly in the case of erosive arthritis, in childhood in the case of juvenile RA. The Anti-CCP antibody test, together with the determination of RF, increases the ratio of sensitivity/specificity. The simultaneous positive result of a sample to RF and CCP has a positive predictive value of about 100%. The advantage of CCP antibodies is a higher sensitivity and specificity for the diagnosis of rheumatoid arthritis in comparison to the rheumatoid factors alone. Anti-CCP is often found at a very early stage of the disease and it has a high predictive value for development of the disease.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2ajvldlml85f" w:id="5"/>
      <w:bookmarkEnd w:id="5"/>
      <w:r w:rsidDel="00000000" w:rsidR="00000000" w:rsidRPr="00000000">
        <w:rPr>
          <w:rtl w:val="0"/>
        </w:rPr>
        <w:t xml:space="preserve">Note Table No 4 Vitamin D</w:t>
      </w:r>
    </w:p>
    <w:p w:rsidR="00000000" w:rsidDel="00000000" w:rsidP="00000000" w:rsidRDefault="00000000" w:rsidRPr="00000000" w14:paraId="00000059">
      <w:pPr>
        <w:rPr>
          <w:b w:val="1"/>
          <w:sz w:val="20"/>
          <w:szCs w:val="20"/>
        </w:rPr>
      </w:pPr>
      <w:r w:rsidDel="00000000" w:rsidR="00000000" w:rsidRPr="00000000">
        <w:rPr>
          <w:rtl w:val="0"/>
        </w:rPr>
      </w:r>
    </w:p>
    <w:tbl>
      <w:tblPr>
        <w:tblStyle w:val="Table5"/>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5A">
            <w:pPr>
              <w:rPr>
                <w:b w:val="1"/>
                <w:sz w:val="18"/>
                <w:szCs w:val="18"/>
              </w:rPr>
            </w:pPr>
            <w:r w:rsidDel="00000000" w:rsidR="00000000" w:rsidRPr="00000000">
              <w:rPr>
                <w:b w:val="1"/>
                <w:sz w:val="18"/>
                <w:szCs w:val="18"/>
                <w:rtl w:val="0"/>
              </w:rPr>
              <w:t xml:space="preserve">Reference Range :</w:t>
            </w:r>
          </w:p>
          <w:p w:rsidR="00000000" w:rsidDel="00000000" w:rsidP="00000000" w:rsidRDefault="00000000" w:rsidRPr="00000000" w14:paraId="0000005B">
            <w:pPr>
              <w:rPr>
                <w:sz w:val="18"/>
                <w:szCs w:val="18"/>
              </w:rPr>
            </w:pPr>
            <w:r w:rsidDel="00000000" w:rsidR="00000000" w:rsidRPr="00000000">
              <w:rPr>
                <w:sz w:val="18"/>
                <w:szCs w:val="18"/>
                <w:rtl w:val="0"/>
              </w:rPr>
              <w:t xml:space="preserve">Deficiency: &lt; 20</w:t>
            </w:r>
          </w:p>
          <w:p w:rsidR="00000000" w:rsidDel="00000000" w:rsidP="00000000" w:rsidRDefault="00000000" w:rsidRPr="00000000" w14:paraId="0000005C">
            <w:pPr>
              <w:rPr>
                <w:sz w:val="18"/>
                <w:szCs w:val="18"/>
              </w:rPr>
            </w:pPr>
            <w:r w:rsidDel="00000000" w:rsidR="00000000" w:rsidRPr="00000000">
              <w:rPr>
                <w:sz w:val="18"/>
                <w:szCs w:val="18"/>
                <w:rtl w:val="0"/>
              </w:rPr>
              <w:t xml:space="preserve">Insufficiency: 20 - &lt;29</w:t>
            </w:r>
          </w:p>
          <w:p w:rsidR="00000000" w:rsidDel="00000000" w:rsidP="00000000" w:rsidRDefault="00000000" w:rsidRPr="00000000" w14:paraId="0000005D">
            <w:pPr>
              <w:rPr>
                <w:sz w:val="18"/>
                <w:szCs w:val="18"/>
              </w:rPr>
            </w:pPr>
            <w:r w:rsidDel="00000000" w:rsidR="00000000" w:rsidRPr="00000000">
              <w:rPr>
                <w:sz w:val="18"/>
                <w:szCs w:val="18"/>
                <w:rtl w:val="0"/>
              </w:rPr>
              <w:t xml:space="preserve">Sufficient: 30-100</w:t>
            </w:r>
          </w:p>
          <w:p w:rsidR="00000000" w:rsidDel="00000000" w:rsidP="00000000" w:rsidRDefault="00000000" w:rsidRPr="00000000" w14:paraId="0000005E">
            <w:pPr>
              <w:rPr>
                <w:sz w:val="18"/>
                <w:szCs w:val="18"/>
              </w:rPr>
            </w:pPr>
            <w:r w:rsidDel="00000000" w:rsidR="00000000" w:rsidRPr="00000000">
              <w:rPr>
                <w:sz w:val="18"/>
                <w:szCs w:val="18"/>
                <w:rtl w:val="0"/>
              </w:rPr>
              <w:t xml:space="preserve">Toxicity : &gt; 100</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061">
            <w:pPr>
              <w:jc w:val="both"/>
              <w:rPr>
                <w:b w:val="1"/>
                <w:sz w:val="18"/>
                <w:szCs w:val="18"/>
              </w:rPr>
            </w:pPr>
            <w:r w:rsidDel="00000000" w:rsidR="00000000" w:rsidRPr="00000000">
              <w:rPr>
                <w:sz w:val="18"/>
                <w:szCs w:val="18"/>
                <w:rtl w:val="0"/>
              </w:rPr>
              <w:t xml:space="preserve">Vitamin D is a group of fat-soluble steroid hormone precursors responsible for increasing intestinal absorption of calcium, magnesium, and phosphate, and multiple other biological effects, which is mainly produced in the skin by exposure to sunlight. Vitamin D from the skin synthesis is biologically inactive; hydroxylation in the liver and kidney is required for activation. In humans, the most important compounds in this group are vitamin D3 and vitamin D2, both of them can be ingested from the diet and from supplements. Only a few foods contain vitamin D. The major natural source of the vitamin is synthesis of vitamin D3 in the skin from cholesterol through a chemical reaction that is dependent on sun exposure. Vitamin D is transported to the liver in combination with a binding protein in the bloodstream, converted to 25-hydroxyvitamin D in the liver, and then converted to 1,25-hydroxyvitamin D in the kidney. This is an active ingredient in which vitamin D functions. The 1,25 hydroxy vitamin D content in the circulation is extremely low, with a half-life of only 4 h. This primary circulating form of vitamin D (25-OH) is biologically inactive with levels approximately 1000-fold greater than the circulating 1,25-dihydroxy vitamin D. The half-life of circulating vitamin D (25-OH) is 3 weeks. Vitamin D can regulate the balance of calcium and phosphorus metabolism and bone formation, and is closely related to cardiovascular disease, autoimmune diseases, diabetes and hypertension etc.</w:t>
            </w:r>
            <w:r w:rsidDel="00000000" w:rsidR="00000000" w:rsidRPr="00000000">
              <w:rPr>
                <w:rtl w:val="0"/>
              </w:rPr>
            </w:r>
          </w:p>
        </w:tc>
      </w:tr>
    </w:tbl>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vifir2ci2o3f" w:id="6"/>
      <w:bookmarkEnd w:id="6"/>
      <w:r w:rsidDel="00000000" w:rsidR="00000000" w:rsidRPr="00000000">
        <w:rPr>
          <w:rtl w:val="0"/>
        </w:rPr>
        <w:t xml:space="preserve">Note Table No 5 Vitamin B12</w:t>
      </w:r>
    </w:p>
    <w:tbl>
      <w:tblPr>
        <w:tblStyle w:val="Table6"/>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66">
            <w:pPr>
              <w:widowControl w:val="0"/>
              <w:spacing w:line="240" w:lineRule="auto"/>
              <w:rPr>
                <w:b w:val="1"/>
                <w:sz w:val="18"/>
                <w:szCs w:val="18"/>
              </w:rPr>
            </w:pPr>
            <w:r w:rsidDel="00000000" w:rsidR="00000000" w:rsidRPr="00000000">
              <w:rPr>
                <w:b w:val="1"/>
                <w:sz w:val="18"/>
                <w:szCs w:val="18"/>
                <w:rtl w:val="0"/>
              </w:rPr>
              <w:t xml:space="preserve">Summary :</w:t>
            </w:r>
          </w:p>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Vitamin B 12 along with folate is essential for DNA synthesis and myelin formation.</w:t>
            </w:r>
          </w:p>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Vitamin B 12 deficiency can be because of nutritional deficiency, malabsorption and other gastrointestinal causes. The test is ordered primarily to help diagnose the cause of microcytic/ megaloblastic anemia.</w:t>
            </w:r>
          </w:p>
          <w:p w:rsidR="00000000" w:rsidDel="00000000" w:rsidP="00000000" w:rsidRDefault="00000000" w:rsidRPr="00000000" w14:paraId="0000006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A">
            <w:pPr>
              <w:widowControl w:val="0"/>
              <w:spacing w:line="240" w:lineRule="auto"/>
              <w:rPr>
                <w:sz w:val="18"/>
                <w:szCs w:val="18"/>
              </w:rPr>
            </w:pPr>
            <w:r w:rsidDel="00000000" w:rsidR="00000000" w:rsidRPr="00000000">
              <w:rPr>
                <w:b w:val="1"/>
                <w:sz w:val="18"/>
                <w:szCs w:val="18"/>
                <w:rtl w:val="0"/>
              </w:rPr>
              <w:t xml:space="preserve">Decreased levels</w:t>
            </w:r>
            <w:r w:rsidDel="00000000" w:rsidR="00000000" w:rsidRPr="00000000">
              <w:rPr>
                <w:sz w:val="18"/>
                <w:szCs w:val="18"/>
                <w:rtl w:val="0"/>
              </w:rPr>
              <w:t xml:space="preserve"> are seen in anemia, normal near term pregnancy, vegetarianism, partial gastrectomy/ ileal damage, celiac disease, with oral contraceptive use, parasitic competition, pancreatic deficiency, treated epilepsy, smoking, hemodialysis and advancing age.</w:t>
            </w:r>
          </w:p>
          <w:p w:rsidR="00000000" w:rsidDel="00000000" w:rsidP="00000000" w:rsidRDefault="00000000" w:rsidRPr="00000000" w14:paraId="0000006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6C">
            <w:pPr>
              <w:widowControl w:val="0"/>
              <w:spacing w:line="240" w:lineRule="auto"/>
              <w:rPr>
                <w:sz w:val="18"/>
                <w:szCs w:val="18"/>
              </w:rPr>
            </w:pPr>
            <w:r w:rsidDel="00000000" w:rsidR="00000000" w:rsidRPr="00000000">
              <w:rPr>
                <w:b w:val="1"/>
                <w:sz w:val="18"/>
                <w:szCs w:val="18"/>
                <w:rtl w:val="0"/>
              </w:rPr>
              <w:t xml:space="preserve">Increased levels</w:t>
            </w:r>
            <w:r w:rsidDel="00000000" w:rsidR="00000000" w:rsidRPr="00000000">
              <w:rPr>
                <w:sz w:val="18"/>
                <w:szCs w:val="18"/>
                <w:rtl w:val="0"/>
              </w:rPr>
              <w:t xml:space="preserve"> are seen in renal failure, hepatocellular disorders, myeloproliferative disorders and at times with excess supplementation of vitamins pills.</w:t>
            </w:r>
          </w:p>
          <w:p w:rsidR="00000000" w:rsidDel="00000000" w:rsidP="00000000" w:rsidRDefault="00000000" w:rsidRPr="00000000" w14:paraId="0000006D">
            <w:pPr>
              <w:widowControl w:val="0"/>
              <w:spacing w:line="240" w:lineRule="auto"/>
              <w:rPr/>
            </w:pPr>
            <w:r w:rsidDel="00000000" w:rsidR="00000000" w:rsidRPr="00000000">
              <w:rPr>
                <w:sz w:val="18"/>
                <w:szCs w:val="18"/>
                <w:rtl w:val="0"/>
              </w:rPr>
              <w:t xml:space="preserve">*Please note test values may vary depending on the assay method used.</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hhugftxewe2o" w:id="7"/>
      <w:bookmarkEnd w:id="7"/>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m2auh157wo8r" w:id="8"/>
      <w:bookmarkEnd w:id="8"/>
      <w:r w:rsidDel="00000000" w:rsidR="00000000" w:rsidRPr="00000000">
        <w:rPr>
          <w:rtl w:val="0"/>
        </w:rPr>
        <w:t xml:space="preserve">Note Table No 6 TSH</w:t>
      </w:r>
    </w:p>
    <w:tbl>
      <w:tblPr>
        <w:tblStyle w:val="Table7"/>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71">
            <w:pPr>
              <w:widowControl w:val="0"/>
              <w:spacing w:line="240" w:lineRule="auto"/>
              <w:jc w:val="both"/>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072">
            <w:pPr>
              <w:widowControl w:val="0"/>
              <w:spacing w:line="240" w:lineRule="auto"/>
              <w:jc w:val="both"/>
              <w:rPr>
                <w:sz w:val="18"/>
                <w:szCs w:val="18"/>
              </w:rPr>
            </w:pPr>
            <w:r w:rsidDel="00000000" w:rsidR="00000000" w:rsidRPr="00000000">
              <w:rPr>
                <w:sz w:val="18"/>
                <w:szCs w:val="18"/>
                <w:rtl w:val="0"/>
              </w:rPr>
              <w:t xml:space="preserve">TSH (thyroid stimulating hormone) is a peptide hormone synthesized and secreted by thyrotropic cells in the anterior pituitary gland, which regulates the endocrine function of the thyroid gland. The determination of serum or plasma levels of TSH is recognized as a sensitive method in the diagnosis of primary and secondary hypothyroidism. TSH is secreted by the anterior lobe of the pituitary gland and induces the production and release of T4 (thyroxine) and T3 (triiodothyronine) from the thyroid gland.</w:t>
            </w:r>
          </w:p>
          <w:p w:rsidR="00000000" w:rsidDel="00000000" w:rsidP="00000000" w:rsidRDefault="00000000" w:rsidRPr="00000000" w14:paraId="00000073">
            <w:pPr>
              <w:widowControl w:val="0"/>
              <w:spacing w:line="240" w:lineRule="auto"/>
              <w:jc w:val="both"/>
              <w:rPr>
                <w:sz w:val="20"/>
                <w:szCs w:val="20"/>
              </w:rPr>
            </w:pPr>
            <w:r w:rsidDel="00000000" w:rsidR="00000000" w:rsidRPr="00000000">
              <w:rPr>
                <w:sz w:val="18"/>
                <w:szCs w:val="18"/>
                <w:rtl w:val="0"/>
              </w:rPr>
              <w:t xml:space="preserve">Although the concentration of TSH in the blood is extremely low, it is essential for the maintenance of normal thyroid function. The release of TSH is regulated by TRH (TSH-releasing hormone) produced by the hypothalamus. The levels of TSH and TRH are inversely related to the level of thyroid hormone. When there is a high level of thyroid hormone in the blood, less TRH is released by the hypothalamus, so less TSH is secreted by the pituitary. The opposite action will occur when there is decreased thyroid hormone in the blood. This process is known as a negative feedback mechanism and responsible for maintaining the proper blood levels of these hormones.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um3s5561nnc2" w:id="9"/>
      <w:bookmarkEnd w:id="9"/>
      <w:r w:rsidDel="00000000" w:rsidR="00000000" w:rsidRPr="00000000">
        <w:rPr>
          <w:rtl w:val="0"/>
        </w:rPr>
        <w:t xml:space="preserve">Note Table No 7 HBA1C</w:t>
      </w:r>
    </w:p>
    <w:tbl>
      <w:tblPr>
        <w:tblStyle w:val="Table8"/>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77">
            <w:pPr>
              <w:widowControl w:val="0"/>
              <w:spacing w:line="240" w:lineRule="auto"/>
              <w:jc w:val="both"/>
              <w:rPr>
                <w:b w:val="1"/>
                <w:sz w:val="18"/>
                <w:szCs w:val="18"/>
              </w:rPr>
            </w:pPr>
            <w:r w:rsidDel="00000000" w:rsidR="00000000" w:rsidRPr="00000000">
              <w:rPr>
                <w:b w:val="1"/>
                <w:sz w:val="18"/>
                <w:szCs w:val="18"/>
                <w:rtl w:val="0"/>
              </w:rPr>
              <w:t xml:space="preserve">Reference Range:</w:t>
            </w:r>
          </w:p>
          <w:p w:rsidR="00000000" w:rsidDel="00000000" w:rsidP="00000000" w:rsidRDefault="00000000" w:rsidRPr="00000000" w14:paraId="00000078">
            <w:pPr>
              <w:widowControl w:val="0"/>
              <w:spacing w:line="240" w:lineRule="auto"/>
              <w:jc w:val="both"/>
              <w:rPr>
                <w:sz w:val="18"/>
                <w:szCs w:val="18"/>
              </w:rPr>
            </w:pPr>
            <w:r w:rsidDel="00000000" w:rsidR="00000000" w:rsidRPr="00000000">
              <w:rPr>
                <w:sz w:val="18"/>
                <w:szCs w:val="18"/>
                <w:rtl w:val="0"/>
              </w:rPr>
              <w:t xml:space="preserve">Normal range :- 4-5.6</w:t>
            </w:r>
          </w:p>
          <w:p w:rsidR="00000000" w:rsidDel="00000000" w:rsidP="00000000" w:rsidRDefault="00000000" w:rsidRPr="00000000" w14:paraId="00000079">
            <w:pPr>
              <w:widowControl w:val="0"/>
              <w:spacing w:line="240" w:lineRule="auto"/>
              <w:jc w:val="both"/>
              <w:rPr>
                <w:sz w:val="18"/>
                <w:szCs w:val="18"/>
              </w:rPr>
            </w:pPr>
            <w:r w:rsidDel="00000000" w:rsidR="00000000" w:rsidRPr="00000000">
              <w:rPr>
                <w:sz w:val="18"/>
                <w:szCs w:val="18"/>
                <w:rtl w:val="0"/>
              </w:rPr>
              <w:t xml:space="preserve">Increased risk of Diabetes :- 5.7-6.4</w:t>
            </w:r>
          </w:p>
          <w:p w:rsidR="00000000" w:rsidDel="00000000" w:rsidP="00000000" w:rsidRDefault="00000000" w:rsidRPr="00000000" w14:paraId="0000007A">
            <w:pPr>
              <w:widowControl w:val="0"/>
              <w:spacing w:line="240" w:lineRule="auto"/>
              <w:jc w:val="both"/>
              <w:rPr>
                <w:sz w:val="18"/>
                <w:szCs w:val="18"/>
              </w:rPr>
            </w:pPr>
            <w:r w:rsidDel="00000000" w:rsidR="00000000" w:rsidRPr="00000000">
              <w:rPr>
                <w:sz w:val="18"/>
                <w:szCs w:val="18"/>
                <w:rtl w:val="0"/>
              </w:rPr>
              <w:t xml:space="preserve">Diabetes :- 6.5 and above</w:t>
            </w:r>
          </w:p>
          <w:p w:rsidR="00000000" w:rsidDel="00000000" w:rsidP="00000000" w:rsidRDefault="00000000" w:rsidRPr="00000000" w14:paraId="0000007B">
            <w:pPr>
              <w:widowControl w:val="0"/>
              <w:spacing w:line="240" w:lineRule="auto"/>
              <w:jc w:val="both"/>
              <w:rPr>
                <w:b w:val="1"/>
                <w:sz w:val="18"/>
                <w:szCs w:val="18"/>
              </w:rPr>
            </w:pPr>
            <w:r w:rsidDel="00000000" w:rsidR="00000000" w:rsidRPr="00000000">
              <w:rPr>
                <w:rtl w:val="0"/>
              </w:rPr>
            </w:r>
          </w:p>
          <w:p w:rsidR="00000000" w:rsidDel="00000000" w:rsidP="00000000" w:rsidRDefault="00000000" w:rsidRPr="00000000" w14:paraId="0000007C">
            <w:pPr>
              <w:widowControl w:val="0"/>
              <w:spacing w:line="240" w:lineRule="auto"/>
              <w:jc w:val="both"/>
              <w:rPr>
                <w:b w:val="1"/>
                <w:sz w:val="18"/>
                <w:szCs w:val="18"/>
              </w:rPr>
            </w:pPr>
            <w:r w:rsidDel="00000000" w:rsidR="00000000" w:rsidRPr="00000000">
              <w:rPr>
                <w:b w:val="1"/>
                <w:sz w:val="18"/>
                <w:szCs w:val="18"/>
                <w:rtl w:val="0"/>
              </w:rPr>
              <w:t xml:space="preserve">Summary:</w:t>
            </w:r>
          </w:p>
          <w:p w:rsidR="00000000" w:rsidDel="00000000" w:rsidP="00000000" w:rsidRDefault="00000000" w:rsidRPr="00000000" w14:paraId="0000007D">
            <w:pPr>
              <w:widowControl w:val="0"/>
              <w:spacing w:line="240" w:lineRule="auto"/>
              <w:jc w:val="both"/>
              <w:rPr>
                <w:sz w:val="18"/>
                <w:szCs w:val="18"/>
              </w:rPr>
            </w:pPr>
            <w:r w:rsidDel="00000000" w:rsidR="00000000" w:rsidRPr="00000000">
              <w:rPr>
                <w:sz w:val="18"/>
                <w:szCs w:val="18"/>
                <w:rtl w:val="0"/>
              </w:rPr>
              <w:t xml:space="preserve">HbA1c level reflects the mean glucose concentration over the previous period (approximately 8-12 weeks, depending on the individual) and provides a much better indication of long-term glycemic control than blood and urinary glucose determinations. This test is used to screen, diagnose and monitor prediabetes and diabetes.</w:t>
            </w:r>
          </w:p>
          <w:p w:rsidR="00000000" w:rsidDel="00000000" w:rsidP="00000000" w:rsidRDefault="00000000" w:rsidRPr="00000000" w14:paraId="0000007E">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7F">
            <w:pPr>
              <w:widowControl w:val="0"/>
              <w:spacing w:line="240" w:lineRule="auto"/>
              <w:jc w:val="both"/>
              <w:rPr>
                <w:sz w:val="18"/>
                <w:szCs w:val="18"/>
              </w:rPr>
            </w:pPr>
            <w:r w:rsidDel="00000000" w:rsidR="00000000" w:rsidRPr="00000000">
              <w:rPr>
                <w:sz w:val="18"/>
                <w:szCs w:val="18"/>
                <w:rtl w:val="0"/>
              </w:rPr>
              <w:t xml:space="preserve">The ADA recommends measurement of HbA1c (typically 3-4 times per year for type 1 and poorly controlled type 2 diabetic patients, and 2 times per year for well-controlled type 2 diabetic patients) to determine whether a patient's metabolic control has remained continuously within the target range.</w:t>
            </w:r>
          </w:p>
          <w:p w:rsidR="00000000" w:rsidDel="00000000" w:rsidP="00000000" w:rsidRDefault="00000000" w:rsidRPr="00000000" w14:paraId="00000080">
            <w:pPr>
              <w:widowControl w:val="0"/>
              <w:spacing w:line="240" w:lineRule="auto"/>
              <w:jc w:val="both"/>
              <w:rPr>
                <w:sz w:val="18"/>
                <w:szCs w:val="18"/>
              </w:rPr>
            </w:pPr>
            <w:r w:rsidDel="00000000" w:rsidR="00000000" w:rsidRPr="00000000">
              <w:rPr>
                <w:sz w:val="18"/>
                <w:szCs w:val="18"/>
                <w:rtl w:val="0"/>
              </w:rPr>
              <w:t xml:space="preserve">Certain health conditions can cause a higher hemoglobin A1c result such as:</w:t>
            </w:r>
          </w:p>
          <w:p w:rsidR="00000000" w:rsidDel="00000000" w:rsidP="00000000" w:rsidRDefault="00000000" w:rsidRPr="00000000" w14:paraId="00000081">
            <w:pPr>
              <w:widowControl w:val="0"/>
              <w:spacing w:line="240" w:lineRule="auto"/>
              <w:jc w:val="both"/>
              <w:rPr>
                <w:sz w:val="18"/>
                <w:szCs w:val="18"/>
              </w:rPr>
            </w:pPr>
            <w:r w:rsidDel="00000000" w:rsidR="00000000" w:rsidRPr="00000000">
              <w:rPr>
                <w:sz w:val="18"/>
                <w:szCs w:val="18"/>
                <w:rtl w:val="0"/>
              </w:rPr>
              <w:t xml:space="preserve">    ●   Anemia</w:t>
            </w:r>
          </w:p>
          <w:p w:rsidR="00000000" w:rsidDel="00000000" w:rsidP="00000000" w:rsidRDefault="00000000" w:rsidRPr="00000000" w14:paraId="00000082">
            <w:pPr>
              <w:widowControl w:val="0"/>
              <w:spacing w:line="240" w:lineRule="auto"/>
              <w:jc w:val="both"/>
              <w:rPr>
                <w:sz w:val="18"/>
                <w:szCs w:val="18"/>
              </w:rPr>
            </w:pPr>
            <w:r w:rsidDel="00000000" w:rsidR="00000000" w:rsidRPr="00000000">
              <w:rPr>
                <w:sz w:val="18"/>
                <w:szCs w:val="18"/>
                <w:rtl w:val="0"/>
              </w:rPr>
              <w:t xml:space="preserve">    ●   High-dose aspirin</w:t>
            </w:r>
          </w:p>
          <w:p w:rsidR="00000000" w:rsidDel="00000000" w:rsidP="00000000" w:rsidRDefault="00000000" w:rsidRPr="00000000" w14:paraId="00000083">
            <w:pPr>
              <w:widowControl w:val="0"/>
              <w:spacing w:line="240" w:lineRule="auto"/>
              <w:jc w:val="both"/>
              <w:rPr>
                <w:sz w:val="18"/>
                <w:szCs w:val="18"/>
              </w:rPr>
            </w:pPr>
            <w:r w:rsidDel="00000000" w:rsidR="00000000" w:rsidRPr="00000000">
              <w:rPr>
                <w:sz w:val="18"/>
                <w:szCs w:val="18"/>
                <w:rtl w:val="0"/>
              </w:rPr>
              <w:t xml:space="preserve">    ●   Iron, vitamin B12, or Folate deficiency</w:t>
            </w:r>
          </w:p>
          <w:p w:rsidR="00000000" w:rsidDel="00000000" w:rsidP="00000000" w:rsidRDefault="00000000" w:rsidRPr="00000000" w14:paraId="00000084">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85">
            <w:pPr>
              <w:widowControl w:val="0"/>
              <w:spacing w:line="240" w:lineRule="auto"/>
              <w:jc w:val="both"/>
              <w:rPr>
                <w:sz w:val="18"/>
                <w:szCs w:val="18"/>
              </w:rPr>
            </w:pPr>
            <w:r w:rsidDel="00000000" w:rsidR="00000000" w:rsidRPr="00000000">
              <w:rPr>
                <w:sz w:val="18"/>
                <w:szCs w:val="18"/>
                <w:rtl w:val="0"/>
              </w:rPr>
              <w:t xml:space="preserve">Factors that can lead to a lower hemoglobin A1c result include:</w:t>
            </w:r>
          </w:p>
          <w:p w:rsidR="00000000" w:rsidDel="00000000" w:rsidP="00000000" w:rsidRDefault="00000000" w:rsidRPr="00000000" w14:paraId="00000086">
            <w:pPr>
              <w:widowControl w:val="0"/>
              <w:spacing w:line="240" w:lineRule="auto"/>
              <w:jc w:val="both"/>
              <w:rPr>
                <w:sz w:val="18"/>
                <w:szCs w:val="18"/>
              </w:rPr>
            </w:pPr>
            <w:r w:rsidDel="00000000" w:rsidR="00000000" w:rsidRPr="00000000">
              <w:rPr>
                <w:sz w:val="18"/>
                <w:szCs w:val="18"/>
                <w:rtl w:val="0"/>
              </w:rPr>
              <w:t xml:space="preserve">    ●   Pregnancy</w:t>
            </w:r>
          </w:p>
          <w:p w:rsidR="00000000" w:rsidDel="00000000" w:rsidP="00000000" w:rsidRDefault="00000000" w:rsidRPr="00000000" w14:paraId="00000087">
            <w:pPr>
              <w:widowControl w:val="0"/>
              <w:spacing w:line="240" w:lineRule="auto"/>
              <w:jc w:val="both"/>
              <w:rPr>
                <w:sz w:val="18"/>
                <w:szCs w:val="18"/>
              </w:rPr>
            </w:pPr>
            <w:r w:rsidDel="00000000" w:rsidR="00000000" w:rsidRPr="00000000">
              <w:rPr>
                <w:sz w:val="18"/>
                <w:szCs w:val="18"/>
                <w:rtl w:val="0"/>
              </w:rPr>
              <w:t xml:space="preserve">    ●   Chronic kidney disease and its treatment</w:t>
            </w:r>
          </w:p>
          <w:p w:rsidR="00000000" w:rsidDel="00000000" w:rsidP="00000000" w:rsidRDefault="00000000" w:rsidRPr="00000000" w14:paraId="00000088">
            <w:pPr>
              <w:widowControl w:val="0"/>
              <w:spacing w:line="240" w:lineRule="auto"/>
              <w:jc w:val="both"/>
              <w:rPr>
                <w:sz w:val="18"/>
                <w:szCs w:val="18"/>
              </w:rPr>
            </w:pPr>
            <w:r w:rsidDel="00000000" w:rsidR="00000000" w:rsidRPr="00000000">
              <w:rPr>
                <w:sz w:val="18"/>
                <w:szCs w:val="18"/>
                <w:rtl w:val="0"/>
              </w:rPr>
              <w:t xml:space="preserve">    ●   Blood transfusion recipients</w:t>
            </w:r>
          </w:p>
          <w:p w:rsidR="00000000" w:rsidDel="00000000" w:rsidP="00000000" w:rsidRDefault="00000000" w:rsidRPr="00000000" w14:paraId="00000089">
            <w:pPr>
              <w:widowControl w:val="0"/>
              <w:spacing w:line="240" w:lineRule="auto"/>
              <w:jc w:val="both"/>
              <w:rPr>
                <w:sz w:val="18"/>
                <w:szCs w:val="18"/>
              </w:rPr>
            </w:pPr>
            <w:r w:rsidDel="00000000" w:rsidR="00000000" w:rsidRPr="00000000">
              <w:rPr>
                <w:sz w:val="18"/>
                <w:szCs w:val="18"/>
                <w:rtl w:val="0"/>
              </w:rPr>
              <w:t xml:space="preserve">    ●   Inherited disorders affecting hemoglobin production, such as sickle cell disease</w:t>
            </w:r>
          </w:p>
          <w:p w:rsidR="00000000" w:rsidDel="00000000" w:rsidP="00000000" w:rsidRDefault="00000000" w:rsidRPr="00000000" w14:paraId="0000008A">
            <w:pPr>
              <w:widowControl w:val="0"/>
              <w:spacing w:line="240" w:lineRule="auto"/>
              <w:jc w:val="both"/>
              <w:rPr>
                <w:sz w:val="18"/>
                <w:szCs w:val="18"/>
              </w:rPr>
            </w:pPr>
            <w:r w:rsidDel="00000000" w:rsidR="00000000" w:rsidRPr="00000000">
              <w:rPr>
                <w:sz w:val="18"/>
                <w:szCs w:val="18"/>
                <w:rtl w:val="0"/>
              </w:rPr>
              <w:t xml:space="preserve">    ●   High alcohol consumption.</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z85h3ocixer3" w:id="10"/>
      <w:bookmarkEnd w:id="10"/>
      <w:r w:rsidDel="00000000" w:rsidR="00000000" w:rsidRPr="00000000">
        <w:rPr>
          <w:rtl w:val="0"/>
        </w:rPr>
        <w:t xml:space="preserve">Note Table No 8 IPTH</w:t>
      </w:r>
    </w:p>
    <w:tbl>
      <w:tblPr>
        <w:tblStyle w:val="Table9"/>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8F">
            <w:pPr>
              <w:widowControl w:val="0"/>
              <w:spacing w:line="240" w:lineRule="auto"/>
              <w:jc w:val="both"/>
              <w:rPr>
                <w:b w:val="1"/>
                <w:sz w:val="18"/>
                <w:szCs w:val="18"/>
              </w:rPr>
            </w:pPr>
            <w:r w:rsidDel="00000000" w:rsidR="00000000" w:rsidRPr="00000000">
              <w:rPr>
                <w:b w:val="1"/>
                <w:sz w:val="18"/>
                <w:szCs w:val="18"/>
                <w:rtl w:val="0"/>
              </w:rPr>
              <w:t xml:space="preserve">Summary :</w:t>
            </w:r>
          </w:p>
          <w:p w:rsidR="00000000" w:rsidDel="00000000" w:rsidP="00000000" w:rsidRDefault="00000000" w:rsidRPr="00000000" w14:paraId="00000090">
            <w:pPr>
              <w:widowControl w:val="0"/>
              <w:spacing w:line="240" w:lineRule="auto"/>
              <w:jc w:val="both"/>
              <w:rPr>
                <w:sz w:val="18"/>
                <w:szCs w:val="18"/>
              </w:rPr>
            </w:pPr>
            <w:r w:rsidDel="00000000" w:rsidR="00000000" w:rsidRPr="00000000">
              <w:rPr>
                <w:sz w:val="18"/>
                <w:szCs w:val="18"/>
                <w:rtl w:val="0"/>
              </w:rPr>
              <w:t xml:space="preserve">Parathyroid hormone regulates calcium and phosphorus metabolism and is the main hormone that maintains the body calcium balance.</w:t>
            </w:r>
          </w:p>
          <w:p w:rsidR="00000000" w:rsidDel="00000000" w:rsidP="00000000" w:rsidRDefault="00000000" w:rsidRPr="00000000" w14:paraId="00000091">
            <w:pPr>
              <w:widowControl w:val="0"/>
              <w:spacing w:line="240" w:lineRule="auto"/>
              <w:jc w:val="both"/>
              <w:rPr>
                <w:sz w:val="18"/>
                <w:szCs w:val="18"/>
              </w:rPr>
            </w:pPr>
            <w:r w:rsidDel="00000000" w:rsidR="00000000" w:rsidRPr="00000000">
              <w:rPr>
                <w:sz w:val="18"/>
                <w:szCs w:val="18"/>
                <w:rtl w:val="0"/>
              </w:rPr>
              <w:t xml:space="preserve">Its secretion level affects blood calcium and phosphorus level, and promotes blood calcium level. The level rises, and the blood phosphorus level drops.</w:t>
            </w:r>
          </w:p>
          <w:p w:rsidR="00000000" w:rsidDel="00000000" w:rsidP="00000000" w:rsidRDefault="00000000" w:rsidRPr="00000000" w14:paraId="00000092">
            <w:pPr>
              <w:widowControl w:val="0"/>
              <w:spacing w:line="240" w:lineRule="auto"/>
              <w:jc w:val="both"/>
              <w:rPr>
                <w:sz w:val="18"/>
                <w:szCs w:val="18"/>
              </w:rPr>
            </w:pPr>
            <w:r w:rsidDel="00000000" w:rsidR="00000000" w:rsidRPr="00000000">
              <w:rPr>
                <w:sz w:val="18"/>
                <w:szCs w:val="18"/>
                <w:rtl w:val="0"/>
              </w:rPr>
              <w:t xml:space="preserve">Parathyroid hormone detection can also be used to evaluate and treat other bone metabolic diseases including osteoporosis and renal bone diseases.</w:t>
            </w:r>
          </w:p>
          <w:p w:rsidR="00000000" w:rsidDel="00000000" w:rsidP="00000000" w:rsidRDefault="00000000" w:rsidRPr="00000000" w14:paraId="00000093">
            <w:pPr>
              <w:widowControl w:val="0"/>
              <w:spacing w:line="240" w:lineRule="auto"/>
              <w:jc w:val="both"/>
              <w:rPr>
                <w:sz w:val="18"/>
                <w:szCs w:val="18"/>
              </w:rPr>
            </w:pPr>
            <w:r w:rsidDel="00000000" w:rsidR="00000000" w:rsidRPr="00000000">
              <w:rPr>
                <w:sz w:val="18"/>
                <w:szCs w:val="18"/>
                <w:rtl w:val="0"/>
              </w:rPr>
              <w:t xml:space="preserve">Hyperthyroidism can lead to increased secretion of parathyroid hormone, which can be used to assess hyperthyroidism.</w:t>
            </w:r>
          </w:p>
          <w:p w:rsidR="00000000" w:rsidDel="00000000" w:rsidP="00000000" w:rsidRDefault="00000000" w:rsidRPr="00000000" w14:paraId="00000094">
            <w:pPr>
              <w:widowControl w:val="0"/>
              <w:spacing w:line="240" w:lineRule="auto"/>
              <w:jc w:val="both"/>
              <w:rPr>
                <w:sz w:val="18"/>
                <w:szCs w:val="18"/>
              </w:rPr>
            </w:pPr>
            <w:r w:rsidDel="00000000" w:rsidR="00000000" w:rsidRPr="00000000">
              <w:rPr>
                <w:sz w:val="18"/>
                <w:szCs w:val="18"/>
                <w:rtl w:val="0"/>
              </w:rPr>
              <w:t xml:space="preserve">Therefore, the detection of parathyroid hormone has important clinical significance.</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rPr/>
      </w:pPr>
      <w:bookmarkStart w:colFirst="0" w:colLast="0" w:name="_vuzofb5z80o1" w:id="11"/>
      <w:bookmarkEnd w:id="11"/>
      <w:r w:rsidDel="00000000" w:rsidR="00000000" w:rsidRPr="00000000">
        <w:rPr>
          <w:rtl w:val="0"/>
        </w:rPr>
        <w:t xml:space="preserve">Note Table No 9 VDRL</w:t>
      </w:r>
    </w:p>
    <w:tbl>
      <w:tblPr>
        <w:tblStyle w:val="Table10"/>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blHeader w:val="0"/>
        </w:trPr>
        <w:tc>
          <w:tcPr/>
          <w:p w:rsidR="00000000" w:rsidDel="00000000" w:rsidP="00000000" w:rsidRDefault="00000000" w:rsidRPr="00000000" w14:paraId="00000098">
            <w:pPr>
              <w:widowControl w:val="0"/>
              <w:spacing w:line="240" w:lineRule="auto"/>
              <w:jc w:val="both"/>
              <w:rPr>
                <w:sz w:val="18"/>
                <w:szCs w:val="18"/>
              </w:rPr>
            </w:pPr>
            <w:r w:rsidDel="00000000" w:rsidR="00000000" w:rsidRPr="00000000">
              <w:rPr>
                <w:b w:val="1"/>
                <w:sz w:val="18"/>
                <w:szCs w:val="18"/>
                <w:rtl w:val="0"/>
              </w:rPr>
              <w:t xml:space="preserve">Summary</w:t>
            </w:r>
            <w:r w:rsidDel="00000000" w:rsidR="00000000" w:rsidRPr="00000000">
              <w:rPr>
                <w:sz w:val="18"/>
                <w:szCs w:val="18"/>
                <w:rtl w:val="0"/>
              </w:rPr>
              <w:t xml:space="preserve">:</w:t>
            </w:r>
          </w:p>
          <w:p w:rsidR="00000000" w:rsidDel="00000000" w:rsidP="00000000" w:rsidRDefault="00000000" w:rsidRPr="00000000" w14:paraId="00000099">
            <w:pPr>
              <w:widowControl w:val="0"/>
              <w:spacing w:line="240" w:lineRule="auto"/>
              <w:jc w:val="both"/>
              <w:rPr>
                <w:sz w:val="18"/>
                <w:szCs w:val="18"/>
              </w:rPr>
            </w:pPr>
            <w:r w:rsidDel="00000000" w:rsidR="00000000" w:rsidRPr="00000000">
              <w:rPr>
                <w:sz w:val="18"/>
                <w:szCs w:val="18"/>
                <w:rtl w:val="0"/>
              </w:rPr>
              <w:t xml:space="preserve">VDRL is a screening test for Syphilis. Syphilis is a sexually transmitted (venereal) disease caused by the spirichere Treponema pallidum.After infection the host forms Treponemal andtibodies to Treponemal pallidum, in addition, the host also forms Non Treponemal anti lipoidal antibodies in response to the lipoidal material released from the damage host cells. These antibodies are traditionally referred to as Reagin.</w:t>
            </w:r>
          </w:p>
          <w:p w:rsidR="00000000" w:rsidDel="00000000" w:rsidP="00000000" w:rsidRDefault="00000000" w:rsidRPr="00000000" w14:paraId="0000009A">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9B">
            <w:pPr>
              <w:widowControl w:val="0"/>
              <w:spacing w:line="240" w:lineRule="auto"/>
              <w:jc w:val="both"/>
              <w:rPr>
                <w:b w:val="1"/>
                <w:sz w:val="18"/>
                <w:szCs w:val="18"/>
              </w:rPr>
            </w:pPr>
            <w:r w:rsidDel="00000000" w:rsidR="00000000" w:rsidRPr="00000000">
              <w:rPr>
                <w:b w:val="1"/>
                <w:sz w:val="18"/>
                <w:szCs w:val="18"/>
                <w:rtl w:val="0"/>
              </w:rPr>
              <w:t xml:space="preserve">Interpretation of Result:</w:t>
            </w:r>
          </w:p>
          <w:p w:rsidR="00000000" w:rsidDel="00000000" w:rsidP="00000000" w:rsidRDefault="00000000" w:rsidRPr="00000000" w14:paraId="0000009C">
            <w:pPr>
              <w:widowControl w:val="0"/>
              <w:spacing w:line="240" w:lineRule="auto"/>
              <w:jc w:val="both"/>
              <w:rPr>
                <w:sz w:val="18"/>
                <w:szCs w:val="18"/>
              </w:rPr>
            </w:pPr>
            <w:r w:rsidDel="00000000" w:rsidR="00000000" w:rsidRPr="00000000">
              <w:rPr>
                <w:sz w:val="18"/>
                <w:szCs w:val="18"/>
                <w:rtl w:val="0"/>
              </w:rPr>
              <w:t xml:space="preserve">  The titre of anti lipoidal antibodies is the highest dilution of the test.</w:t>
            </w:r>
          </w:p>
          <w:p w:rsidR="00000000" w:rsidDel="00000000" w:rsidP="00000000" w:rsidRDefault="00000000" w:rsidRPr="00000000" w14:paraId="0000009D">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9E">
            <w:pPr>
              <w:widowControl w:val="0"/>
              <w:spacing w:line="240" w:lineRule="auto"/>
              <w:jc w:val="both"/>
              <w:rPr>
                <w:sz w:val="18"/>
                <w:szCs w:val="18"/>
              </w:rPr>
            </w:pPr>
            <w:r w:rsidDel="00000000" w:rsidR="00000000" w:rsidRPr="00000000">
              <w:rPr>
                <w:b w:val="1"/>
                <w:sz w:val="18"/>
                <w:szCs w:val="18"/>
                <w:rtl w:val="0"/>
              </w:rPr>
              <w:t xml:space="preserve">Note</w:t>
            </w:r>
            <w:r w:rsidDel="00000000" w:rsidR="00000000" w:rsidRPr="00000000">
              <w:rPr>
                <w:sz w:val="18"/>
                <w:szCs w:val="18"/>
                <w:rtl w:val="0"/>
              </w:rPr>
              <w:t xml:space="preserve">:</w:t>
            </w:r>
          </w:p>
          <w:p w:rsidR="00000000" w:rsidDel="00000000" w:rsidP="00000000" w:rsidRDefault="00000000" w:rsidRPr="00000000" w14:paraId="0000009F">
            <w:pPr>
              <w:widowControl w:val="0"/>
              <w:spacing w:line="240" w:lineRule="auto"/>
              <w:jc w:val="both"/>
              <w:rPr>
                <w:sz w:val="18"/>
                <w:szCs w:val="18"/>
              </w:rPr>
            </w:pPr>
            <w:r w:rsidDel="00000000" w:rsidR="00000000" w:rsidRPr="00000000">
              <w:rPr>
                <w:sz w:val="18"/>
                <w:szCs w:val="18"/>
                <w:rtl w:val="0"/>
              </w:rPr>
              <w:t xml:space="preserve">  It is strongly recommended that the result of the test should be correlate with clinical findings.</w:t>
            </w:r>
          </w:p>
        </w:tc>
      </w:tr>
    </w:tbl>
    <w:p w:rsidR="00000000" w:rsidDel="00000000" w:rsidP="00000000" w:rsidRDefault="00000000" w:rsidRPr="00000000" w14:paraId="000000A0">
      <w:pPr>
        <w:rPr/>
      </w:pPr>
      <w:r w:rsidDel="00000000" w:rsidR="00000000" w:rsidRPr="00000000">
        <w:rPr>
          <w:rtl w:val="0"/>
        </w:rPr>
      </w:r>
    </w:p>
    <w:sectPr>
      <w:headerReference r:id="rId6" w:type="default"/>
      <w:footerReference r:id="rId7" w:type="default"/>
      <w:type w:val="nextPage"/>
      <w:pgSz w:h="16838" w:w="11906" w:orient="portrait"/>
      <w:pgMar w:bottom="144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